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29d1_6k.htm"/>
      <w:bookmarkStart w:id="1" w:name="kstm262042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SECURITIES AND EXCHANGE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001-42040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SCHMID Group N.V.</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Robert-Bosch-Str. 32-36,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72250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Freudenstadt, Germany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+49 7441 538 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$20.0 Million Convertible Notes Financing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an investment agreement with an institutional investor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pursuant to which the Company will issue and sell senior convertible notes in an aggregate principal amount of $20.0 million convertible into ordinary shares of the Company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a private placement to the Investor (the "</w:t>
      </w:r>
      <w:r>
        <w:rPr>
          <w:rFonts w:ascii="Times New Roman;Times;Serif" w:hAnsi="Times New Roman;Times;Serif"/>
          <w:b/>
          <w:i w:val="false"/>
          <w:caps w:val="false"/>
          <w:smallCaps w:val="false"/>
          <w:sz w:val="20"/>
        </w:rPr>
        <w:t>Investment Agreement</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Notes have been issued pursuant an indenture attached hereto as Exhibit 10.1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The Company has also entered into a registration rights agreement dated July 14, 2026 pursuant to which the Company agreed to file a registration statement covering the resale of the shares issuable upon conversion of the Notes attached hereto as Exhibit 10.2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In addition, the Company has also entered into a subordination agreement in relation to the Notes attached hereto as Exhibit 10.3 and an amended and restated subordination agreement in relation to the convertible notes issued pursuant to an indenture dated January 21, 2026 attached hereto as Exhibit 10.4 (the "</w:t>
      </w:r>
      <w:r>
        <w:rPr>
          <w:rFonts w:ascii="Times New Roman;Times;Serif" w:hAnsi="Times New Roman;Times;Serif"/>
          <w:b/>
          <w:i w:val="false"/>
          <w:caps w:val="false"/>
          <w:smallCaps w:val="false"/>
          <w:sz w:val="20"/>
        </w:rPr>
        <w:t>Subordination Agreements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Indenture, Registration Rights Agreement and Subordination Agreements do not purport to be complete and are qualified in its entirety by reference to such agreements which are annexed to this Form 6-K as Exhibits 10.1, 10.2, 10.3 and 10.4.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state’s securities laws, and are being issued and sold pursuant to an exemption from registration provided for under the Securities Act. Accordingly, these securities may not be offered or sold in the United States, except pursuant to an effective registration statement or an applicable exemption from the registration requirements of the Securities Act. The Company has agreed to file a registration statement with the U.S. Securities and Exchange Commission registering the resale of the ordinary shares issuable upon conversion of the Notes. Any offering of the securities under the resale registration statement will only be made by means of a 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Press Releases Furnished as Exhibits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issued a press release providing a business update on the second quarter of 2026 and an update to the Company's full year 2026 guidance as well as announcing the closing of the $20 million convertible notes financing, which is furnished herewith as Exhibit 99.1.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Form 6-K, including the information contained in Exhibit 10.1, 10.2, 10.3, 10.4 and Exhibit 99.1 shall not be deemed to be “filed” for the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Caution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relating to planned financing transactions of the Company and the Company's future financial performance. Actual results could differ materially from those expressed in or implied by the forward-looking statements due to a number of risks and uncertainties, unexpected delays in securing financing or changes to financing agreements and the other risks and uncertainties described in the Company’s SEC reports and under the heading “Risk Factors” in its most recent annual report on Form 20-F which are available at www.sec.gov. These forward-looking statements speak only as of the date of this report. Except as required by law, the Company does not undertake any obligation to update or revise its forward-looking statements to reflect events or circumstances after the date of this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exhibits are furnished herewith</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90"/>
        <w:gridCol w:w="9315"/>
      </w:tblGrid>
      <w:tr>
        <w:trPr/>
        <w:tc>
          <w:tcPr>
            <w:tcW w:w="890" w:type="dxa"/>
            <w:tcBorders/>
            <w:vAlign w:val="center"/>
          </w:tcPr>
          <w:p>
            <w:pPr>
              <w:pStyle w:val="TableContents"/>
              <w:bidi w:val="0"/>
              <w:spacing w:before="0" w:after="283"/>
              <w:jc w:val="left"/>
              <w:rPr/>
            </w:pPr>
            <w:r>
              <w:rPr>
                <w:b/>
              </w:rPr>
              <w:t>Exhibit</w:t>
            </w:r>
            <w:r>
              <w:rPr/>
              <w:t xml:space="preserve"> </w:t>
            </w:r>
            <w:r>
              <w:rPr>
                <w:b/>
              </w:rPr>
              <w:br/>
              <w:t>Number</w:t>
            </w:r>
          </w:p>
        </w:tc>
        <w:tc>
          <w:tcPr>
            <w:tcW w:w="931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20429d1_ex10-1.htm">
              <w:r>
                <w:rPr>
                  <w:rStyle w:val="InternetLink"/>
                  <w:sz w:val="20"/>
                </w:rPr>
                <w:t>10.1</w:t>
              </w:r>
            </w:hyperlink>
          </w:p>
        </w:tc>
        <w:tc>
          <w:tcPr>
            <w:tcW w:w="9315" w:type="dxa"/>
            <w:tcBorders/>
            <w:vAlign w:val="center"/>
          </w:tcPr>
          <w:p>
            <w:pPr>
              <w:pStyle w:val="TableContents"/>
              <w:bidi w:val="0"/>
              <w:spacing w:before="0" w:after="283"/>
              <w:jc w:val="left"/>
              <w:rPr/>
            </w:pPr>
            <w:hyperlink w:anchor="tm2620429d1_ex10-1.htm">
              <w:r>
                <w:rPr>
                  <w:rStyle w:val="InternetLink"/>
                  <w:sz w:val="20"/>
                </w:rPr>
                <w:t>Indenture dated July 14, 2026 (including exhibits and schedules thereto)</w:t>
              </w:r>
            </w:hyperlink>
          </w:p>
        </w:tc>
      </w:tr>
      <w:tr>
        <w:trPr/>
        <w:tc>
          <w:tcPr>
            <w:tcW w:w="890" w:type="dxa"/>
            <w:tcBorders/>
            <w:vAlign w:val="center"/>
          </w:tcPr>
          <w:p>
            <w:pPr>
              <w:pStyle w:val="TableContents"/>
              <w:bidi w:val="0"/>
              <w:spacing w:before="0" w:after="283"/>
              <w:jc w:val="left"/>
              <w:rPr/>
            </w:pPr>
            <w:hyperlink w:anchor="tm2620429d1_ex10-2.htm">
              <w:r>
                <w:rPr>
                  <w:rStyle w:val="InternetLink"/>
                  <w:sz w:val="20"/>
                </w:rPr>
                <w:t>10.2</w:t>
              </w:r>
            </w:hyperlink>
          </w:p>
        </w:tc>
        <w:tc>
          <w:tcPr>
            <w:tcW w:w="9315" w:type="dxa"/>
            <w:tcBorders/>
            <w:vAlign w:val="center"/>
          </w:tcPr>
          <w:p>
            <w:pPr>
              <w:pStyle w:val="TableContents"/>
              <w:bidi w:val="0"/>
              <w:spacing w:before="0" w:after="283"/>
              <w:jc w:val="left"/>
              <w:rPr/>
            </w:pPr>
            <w:hyperlink w:anchor="tm2620429d1_ex10-2.htm">
              <w:r>
                <w:rPr>
                  <w:rStyle w:val="InternetLink"/>
                  <w:sz w:val="20"/>
                </w:rPr>
                <w:t>Registration Rights Agreement dated July 14, 2026 (including exhibits and schedules thereto)</w:t>
              </w:r>
            </w:hyperlink>
          </w:p>
        </w:tc>
      </w:tr>
      <w:tr>
        <w:trPr/>
        <w:tc>
          <w:tcPr>
            <w:tcW w:w="890" w:type="dxa"/>
            <w:tcBorders/>
            <w:vAlign w:val="center"/>
          </w:tcPr>
          <w:p>
            <w:pPr>
              <w:pStyle w:val="TableContents"/>
              <w:bidi w:val="0"/>
              <w:spacing w:before="0" w:after="283"/>
              <w:jc w:val="left"/>
              <w:rPr/>
            </w:pPr>
            <w:hyperlink w:anchor="tm2620429d1_ex10-3.htm">
              <w:r>
                <w:rPr>
                  <w:rStyle w:val="InternetLink"/>
                  <w:sz w:val="20"/>
                </w:rPr>
                <w:t>10.3</w:t>
              </w:r>
            </w:hyperlink>
          </w:p>
        </w:tc>
        <w:tc>
          <w:tcPr>
            <w:tcW w:w="9315" w:type="dxa"/>
            <w:tcBorders/>
            <w:vAlign w:val="center"/>
          </w:tcPr>
          <w:p>
            <w:pPr>
              <w:pStyle w:val="TableContents"/>
              <w:bidi w:val="0"/>
              <w:spacing w:before="0" w:after="283"/>
              <w:jc w:val="left"/>
              <w:rPr/>
            </w:pPr>
            <w:hyperlink w:anchor="tm2620429d1_ex10-3.htm">
              <w:r>
                <w:rPr>
                  <w:rStyle w:val="InternetLink"/>
                  <w:sz w:val="20"/>
                </w:rPr>
                <w:t>Subordination Agreement dated July 14, 2026 (including exhibits and schedules thereto)</w:t>
              </w:r>
            </w:hyperlink>
          </w:p>
        </w:tc>
      </w:tr>
      <w:tr>
        <w:trPr/>
        <w:tc>
          <w:tcPr>
            <w:tcW w:w="890" w:type="dxa"/>
            <w:tcBorders/>
            <w:vAlign w:val="center"/>
          </w:tcPr>
          <w:p>
            <w:pPr>
              <w:pStyle w:val="TableContents"/>
              <w:bidi w:val="0"/>
              <w:spacing w:before="0" w:after="283"/>
              <w:jc w:val="left"/>
              <w:rPr/>
            </w:pPr>
            <w:hyperlink w:anchor="tm2620429d1_ex10-4.htm">
              <w:r>
                <w:rPr>
                  <w:rStyle w:val="InternetLink"/>
                  <w:sz w:val="20"/>
                </w:rPr>
                <w:t>10.4</w:t>
              </w:r>
            </w:hyperlink>
          </w:p>
        </w:tc>
        <w:tc>
          <w:tcPr>
            <w:tcW w:w="9315" w:type="dxa"/>
            <w:tcBorders/>
            <w:vAlign w:val="center"/>
          </w:tcPr>
          <w:p>
            <w:pPr>
              <w:pStyle w:val="TableContents"/>
              <w:bidi w:val="0"/>
              <w:spacing w:before="0" w:after="283"/>
              <w:jc w:val="left"/>
              <w:rPr/>
            </w:pPr>
            <w:hyperlink w:anchor="tm2620429d1_ex10-4.htm">
              <w:r>
                <w:rPr>
                  <w:rStyle w:val="InternetLink"/>
                  <w:sz w:val="20"/>
                </w:rPr>
                <w:t>Amended and Restated Subordination Agreement dated July 14, 2026 (including exhibits and schedules thereto)</w:t>
              </w:r>
            </w:hyperlink>
          </w:p>
        </w:tc>
      </w:tr>
      <w:tr>
        <w:trPr/>
        <w:tc>
          <w:tcPr>
            <w:tcW w:w="890" w:type="dxa"/>
            <w:tcBorders/>
            <w:vAlign w:val="center"/>
          </w:tcPr>
          <w:p>
            <w:pPr>
              <w:pStyle w:val="TableContents"/>
              <w:bidi w:val="0"/>
              <w:spacing w:before="0" w:after="283"/>
              <w:jc w:val="left"/>
              <w:rPr/>
            </w:pPr>
            <w:hyperlink w:anchor="tm2620429d1_ex99-1.htm">
              <w:r>
                <w:rPr>
                  <w:rStyle w:val="InternetLink"/>
                  <w:sz w:val="20"/>
                </w:rPr>
                <w:t>99.1</w:t>
              </w:r>
            </w:hyperlink>
          </w:p>
        </w:tc>
        <w:tc>
          <w:tcPr>
            <w:tcW w:w="9315" w:type="dxa"/>
            <w:tcBorders/>
            <w:vAlign w:val="center"/>
          </w:tcPr>
          <w:p>
            <w:pPr>
              <w:pStyle w:val="TableContents"/>
              <w:bidi w:val="0"/>
              <w:spacing w:before="0" w:after="283"/>
              <w:jc w:val="left"/>
              <w:rPr/>
            </w:pPr>
            <w:hyperlink w:anchor="tm2620429d1_ex99-1.htm">
              <w:r>
                <w:rPr>
                  <w:rStyle w:val="InternetLink"/>
                  <w:sz w:val="20"/>
                </w:rPr>
                <w:t>Press release dated July 14, 2026 – SCHMID Group N.V. Provides Second Quarter 2026 Business Update and Full Year 2026 Guidance Update</w:t>
              </w:r>
            </w:hyperlink>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730"/>
        <w:gridCol w:w="545"/>
        <w:gridCol w:w="1895"/>
      </w:tblGrid>
      <w:tr>
        <w:trPr/>
        <w:tc>
          <w:tcPr>
            <w:tcW w:w="1730" w:type="dxa"/>
            <w:tcBorders/>
            <w:vAlign w:val="center"/>
          </w:tcPr>
          <w:p>
            <w:pPr>
              <w:pStyle w:val="TableContents"/>
              <w:bidi w:val="0"/>
              <w:spacing w:before="0" w:after="283"/>
              <w:jc w:val="left"/>
              <w:rPr>
                <w:sz w:val="20"/>
              </w:rPr>
            </w:pPr>
            <w:r>
              <w:rPr>
                <w:sz w:val="20"/>
              </w:rPr>
              <w:t>Dated: July 14, 2026</w:t>
            </w:r>
          </w:p>
        </w:tc>
        <w:tc>
          <w:tcPr>
            <w:tcW w:w="2440" w:type="dxa"/>
            <w:gridSpan w:val="2"/>
            <w:tcBorders/>
            <w:vAlign w:val="center"/>
          </w:tcPr>
          <w:p>
            <w:pPr>
              <w:pStyle w:val="TableContents"/>
              <w:bidi w:val="0"/>
              <w:spacing w:before="0" w:after="283"/>
              <w:jc w:val="left"/>
              <w:rPr>
                <w:b/>
                <w:sz w:val="20"/>
              </w:rPr>
            </w:pPr>
            <w:r>
              <w:rPr>
                <w:b/>
                <w:sz w:val="20"/>
              </w:rPr>
              <w:t>SCHMID Group N.V.</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Arthur Schuetz</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95" w:type="dxa"/>
            <w:tcBorders/>
            <w:vAlign w:val="center"/>
          </w:tcPr>
          <w:p>
            <w:pPr>
              <w:pStyle w:val="TableContents"/>
              <w:bidi w:val="0"/>
              <w:spacing w:before="0" w:after="283"/>
              <w:jc w:val="left"/>
              <w:rPr>
                <w:sz w:val="20"/>
              </w:rPr>
            </w:pPr>
            <w:r>
              <w:rPr>
                <w:sz w:val="20"/>
              </w:rPr>
              <w:t>Arthur Schuetz</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pPr>
      <w:bookmarkStart w:id="2" w:name="tm2620429d1_ex10-1.htm"/>
      <w:bookmarkStart w:id="3" w:name="kstm2620429d1_ex101"/>
      <w:bookmarkEnd w:id="2"/>
      <w:bookmarkEnd w:id="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PARTY HERETO FROM TIME TO TIME,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SAVINGS FUND SOCIETY, FSB,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Convertible Senior PIK Toggle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r>
              <w:rPr/>
              <w:t>Article 1 DEFINITIONS</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1.01   Definitions</w:t>
            </w:r>
          </w:p>
        </w:tc>
        <w:tc>
          <w:tcPr>
            <w:tcW w:w="275" w:type="dxa"/>
            <w:tcBorders/>
            <w:vAlign w:val="center"/>
          </w:tcPr>
          <w:p>
            <w:pPr>
              <w:pStyle w:val="TableContents"/>
              <w:bidi w:val="0"/>
              <w:spacing w:before="0" w:after="283"/>
              <w:jc w:val="right"/>
              <w:rPr/>
            </w:pPr>
            <w:r>
              <w:rPr/>
              <w:t>1</w:t>
            </w:r>
          </w:p>
        </w:tc>
      </w:tr>
      <w:tr>
        <w:trPr/>
        <w:tc>
          <w:tcPr>
            <w:tcW w:w="9930" w:type="dxa"/>
            <w:tcBorders/>
            <w:vAlign w:val="center"/>
          </w:tcPr>
          <w:p>
            <w:pPr>
              <w:pStyle w:val="TableContents"/>
              <w:bidi w:val="0"/>
              <w:spacing w:before="0" w:after="283"/>
              <w:jc w:val="left"/>
              <w:rPr/>
            </w:pPr>
            <w:r>
              <w:rPr/>
              <w:t>Section 1.02   References to Interest</w:t>
            </w:r>
          </w:p>
        </w:tc>
        <w:tc>
          <w:tcPr>
            <w:tcW w:w="275" w:type="dxa"/>
            <w:tcBorders/>
            <w:vAlign w:val="center"/>
          </w:tcPr>
          <w:p>
            <w:pPr>
              <w:pStyle w:val="TableContents"/>
              <w:bidi w:val="0"/>
              <w:spacing w:before="0" w:after="283"/>
              <w:jc w:val="right"/>
              <w:rPr/>
            </w:pPr>
            <w:r>
              <w:rPr/>
              <w:t>16</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540"/>
              <w:jc w:val="right"/>
              <w:rPr/>
            </w:pPr>
            <w:r>
              <w:rPr/>
              <w:t> </w:t>
            </w:r>
          </w:p>
        </w:tc>
      </w:tr>
      <w:tr>
        <w:trPr/>
        <w:tc>
          <w:tcPr>
            <w:tcW w:w="9930" w:type="dxa"/>
            <w:tcBorders/>
            <w:vAlign w:val="center"/>
          </w:tcPr>
          <w:p>
            <w:pPr>
              <w:pStyle w:val="TableContents"/>
              <w:bidi w:val="0"/>
              <w:spacing w:before="0" w:after="283"/>
              <w:jc w:val="left"/>
              <w:rPr/>
            </w:pPr>
            <w:r>
              <w:rPr/>
              <w:t>Article 2 ISSUE, DESCRIPTION, EXECUTION,  REGISTRATION AND EXCHANGE OF NOTES</w:t>
            </w:r>
          </w:p>
        </w:tc>
        <w:tc>
          <w:tcPr>
            <w:tcW w:w="275" w:type="dxa"/>
            <w:tcBorders/>
            <w:vAlign w:val="center"/>
          </w:tcPr>
          <w:p>
            <w:pPr>
              <w:pStyle w:val="TableContents"/>
              <w:bidi w:val="0"/>
              <w:spacing w:before="0" w:after="283"/>
              <w:ind w:left="0" w:right="0" w:hanging="540"/>
              <w:jc w:val="right"/>
              <w:rPr/>
            </w:pPr>
            <w:r>
              <w:rPr/>
              <w:t>16</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2.01   Designation and Amount</w:t>
            </w:r>
          </w:p>
        </w:tc>
        <w:tc>
          <w:tcPr>
            <w:tcW w:w="275" w:type="dxa"/>
            <w:tcBorders/>
            <w:vAlign w:val="center"/>
          </w:tcPr>
          <w:p>
            <w:pPr>
              <w:pStyle w:val="TableContents"/>
              <w:bidi w:val="0"/>
              <w:spacing w:before="0" w:after="283"/>
              <w:jc w:val="right"/>
              <w:rPr/>
            </w:pPr>
            <w:r>
              <w:rPr/>
              <w:t>16</w:t>
            </w:r>
          </w:p>
        </w:tc>
      </w:tr>
      <w:tr>
        <w:trPr/>
        <w:tc>
          <w:tcPr>
            <w:tcW w:w="9930" w:type="dxa"/>
            <w:tcBorders/>
            <w:vAlign w:val="center"/>
          </w:tcPr>
          <w:p>
            <w:pPr>
              <w:pStyle w:val="TableContents"/>
              <w:bidi w:val="0"/>
              <w:spacing w:before="0" w:after="283"/>
              <w:jc w:val="left"/>
              <w:rPr/>
            </w:pPr>
            <w:r>
              <w:rPr/>
              <w:t>Section 2.02   Form of Notes</w:t>
            </w:r>
          </w:p>
        </w:tc>
        <w:tc>
          <w:tcPr>
            <w:tcW w:w="275" w:type="dxa"/>
            <w:tcBorders/>
            <w:vAlign w:val="center"/>
          </w:tcPr>
          <w:p>
            <w:pPr>
              <w:pStyle w:val="TableContents"/>
              <w:bidi w:val="0"/>
              <w:spacing w:before="0" w:after="283"/>
              <w:jc w:val="right"/>
              <w:rPr/>
            </w:pPr>
            <w:r>
              <w:rPr/>
              <w:t>17</w:t>
            </w:r>
          </w:p>
        </w:tc>
      </w:tr>
      <w:tr>
        <w:trPr/>
        <w:tc>
          <w:tcPr>
            <w:tcW w:w="9930" w:type="dxa"/>
            <w:tcBorders/>
            <w:vAlign w:val="center"/>
          </w:tcPr>
          <w:p>
            <w:pPr>
              <w:pStyle w:val="TableContents"/>
              <w:bidi w:val="0"/>
              <w:spacing w:before="0" w:after="283"/>
              <w:jc w:val="left"/>
              <w:rPr/>
            </w:pPr>
            <w:r>
              <w:rPr/>
              <w:t>Section 2.03   Date and Denomination of Notes; Payments of Interest and Defaulted Amounts</w:t>
            </w:r>
          </w:p>
        </w:tc>
        <w:tc>
          <w:tcPr>
            <w:tcW w:w="275" w:type="dxa"/>
            <w:tcBorders/>
            <w:vAlign w:val="center"/>
          </w:tcPr>
          <w:p>
            <w:pPr>
              <w:pStyle w:val="TableContents"/>
              <w:bidi w:val="0"/>
              <w:spacing w:before="0" w:after="283"/>
              <w:jc w:val="right"/>
              <w:rPr/>
            </w:pPr>
            <w:r>
              <w:rPr/>
              <w:t>17</w:t>
            </w:r>
          </w:p>
        </w:tc>
      </w:tr>
      <w:tr>
        <w:trPr/>
        <w:tc>
          <w:tcPr>
            <w:tcW w:w="9930" w:type="dxa"/>
            <w:tcBorders/>
            <w:vAlign w:val="center"/>
          </w:tcPr>
          <w:p>
            <w:pPr>
              <w:pStyle w:val="TableContents"/>
              <w:bidi w:val="0"/>
              <w:spacing w:before="0" w:after="283"/>
              <w:jc w:val="left"/>
              <w:rPr/>
            </w:pPr>
            <w:r>
              <w:rPr/>
              <w:t>Section 2.04   Execution, Authentication and Delivery of Notes</w:t>
            </w:r>
          </w:p>
        </w:tc>
        <w:tc>
          <w:tcPr>
            <w:tcW w:w="275" w:type="dxa"/>
            <w:tcBorders/>
            <w:vAlign w:val="center"/>
          </w:tcPr>
          <w:p>
            <w:pPr>
              <w:pStyle w:val="TableContents"/>
              <w:bidi w:val="0"/>
              <w:spacing w:before="0" w:after="283"/>
              <w:jc w:val="right"/>
              <w:rPr/>
            </w:pPr>
            <w:r>
              <w:rPr/>
              <w:t>22</w:t>
            </w:r>
          </w:p>
        </w:tc>
      </w:tr>
      <w:tr>
        <w:trPr/>
        <w:tc>
          <w:tcPr>
            <w:tcW w:w="9930" w:type="dxa"/>
            <w:tcBorders/>
            <w:vAlign w:val="center"/>
          </w:tcPr>
          <w:p>
            <w:pPr>
              <w:pStyle w:val="TableContents"/>
              <w:bidi w:val="0"/>
              <w:spacing w:before="0" w:after="283"/>
              <w:jc w:val="left"/>
              <w:rPr/>
            </w:pPr>
            <w:r>
              <w:rPr/>
              <w:t>Section 2.05   Exchange and Registration of Transfer of Notes; Restrictions on Transfer; Depositary</w:t>
            </w:r>
          </w:p>
        </w:tc>
        <w:tc>
          <w:tcPr>
            <w:tcW w:w="275" w:type="dxa"/>
            <w:tcBorders/>
            <w:vAlign w:val="center"/>
          </w:tcPr>
          <w:p>
            <w:pPr>
              <w:pStyle w:val="TableContents"/>
              <w:bidi w:val="0"/>
              <w:spacing w:before="0" w:after="283"/>
              <w:jc w:val="right"/>
              <w:rPr/>
            </w:pPr>
            <w:r>
              <w:rPr/>
              <w:t>22</w:t>
            </w:r>
          </w:p>
        </w:tc>
      </w:tr>
      <w:tr>
        <w:trPr/>
        <w:tc>
          <w:tcPr>
            <w:tcW w:w="9930" w:type="dxa"/>
            <w:tcBorders/>
            <w:vAlign w:val="center"/>
          </w:tcPr>
          <w:p>
            <w:pPr>
              <w:pStyle w:val="TableContents"/>
              <w:bidi w:val="0"/>
              <w:spacing w:before="0" w:after="283"/>
              <w:jc w:val="left"/>
              <w:rPr/>
            </w:pPr>
            <w:r>
              <w:rPr/>
              <w:t>Section 2.06   Mutilated, Destroyed, Lost or Stolen Notes</w:t>
            </w:r>
          </w:p>
        </w:tc>
        <w:tc>
          <w:tcPr>
            <w:tcW w:w="275" w:type="dxa"/>
            <w:tcBorders/>
            <w:vAlign w:val="center"/>
          </w:tcPr>
          <w:p>
            <w:pPr>
              <w:pStyle w:val="TableContents"/>
              <w:bidi w:val="0"/>
              <w:spacing w:before="0" w:after="283"/>
              <w:jc w:val="right"/>
              <w:rPr/>
            </w:pPr>
            <w:r>
              <w:rPr/>
              <w:t>30</w:t>
            </w:r>
          </w:p>
        </w:tc>
      </w:tr>
      <w:tr>
        <w:trPr/>
        <w:tc>
          <w:tcPr>
            <w:tcW w:w="9930" w:type="dxa"/>
            <w:tcBorders/>
            <w:vAlign w:val="center"/>
          </w:tcPr>
          <w:p>
            <w:pPr>
              <w:pStyle w:val="TableContents"/>
              <w:bidi w:val="0"/>
              <w:spacing w:before="0" w:after="283"/>
              <w:jc w:val="left"/>
              <w:rPr/>
            </w:pPr>
            <w:r>
              <w:rPr/>
              <w:t>Section 2.07   Temporary Notes</w:t>
            </w:r>
          </w:p>
        </w:tc>
        <w:tc>
          <w:tcPr>
            <w:tcW w:w="275" w:type="dxa"/>
            <w:tcBorders/>
            <w:vAlign w:val="center"/>
          </w:tcPr>
          <w:p>
            <w:pPr>
              <w:pStyle w:val="TableContents"/>
              <w:bidi w:val="0"/>
              <w:spacing w:before="0" w:after="283"/>
              <w:jc w:val="right"/>
              <w:rPr/>
            </w:pPr>
            <w:r>
              <w:rPr/>
              <w:t>31</w:t>
            </w:r>
          </w:p>
        </w:tc>
      </w:tr>
      <w:tr>
        <w:trPr/>
        <w:tc>
          <w:tcPr>
            <w:tcW w:w="9930" w:type="dxa"/>
            <w:tcBorders/>
            <w:vAlign w:val="center"/>
          </w:tcPr>
          <w:p>
            <w:pPr>
              <w:pStyle w:val="TableContents"/>
              <w:bidi w:val="0"/>
              <w:spacing w:before="0" w:after="283"/>
              <w:jc w:val="left"/>
              <w:rPr/>
            </w:pPr>
            <w:r>
              <w:rPr/>
              <w:t>Section 2.08   Cancellation of Notes Paid, Converted, Etc</w:t>
            </w:r>
          </w:p>
        </w:tc>
        <w:tc>
          <w:tcPr>
            <w:tcW w:w="275" w:type="dxa"/>
            <w:tcBorders/>
            <w:vAlign w:val="center"/>
          </w:tcPr>
          <w:p>
            <w:pPr>
              <w:pStyle w:val="TableContents"/>
              <w:bidi w:val="0"/>
              <w:spacing w:before="0" w:after="283"/>
              <w:jc w:val="right"/>
              <w:rPr/>
            </w:pPr>
            <w:r>
              <w:rPr/>
              <w:t>31</w:t>
            </w:r>
          </w:p>
        </w:tc>
      </w:tr>
      <w:tr>
        <w:trPr/>
        <w:tc>
          <w:tcPr>
            <w:tcW w:w="9930" w:type="dxa"/>
            <w:tcBorders/>
            <w:vAlign w:val="center"/>
          </w:tcPr>
          <w:p>
            <w:pPr>
              <w:pStyle w:val="TableContents"/>
              <w:bidi w:val="0"/>
              <w:spacing w:before="0" w:after="283"/>
              <w:jc w:val="left"/>
              <w:rPr/>
            </w:pPr>
            <w:r>
              <w:rPr/>
              <w:t>Section 2.09   CUSIP Numbers</w:t>
            </w:r>
          </w:p>
        </w:tc>
        <w:tc>
          <w:tcPr>
            <w:tcW w:w="275" w:type="dxa"/>
            <w:tcBorders/>
            <w:vAlign w:val="center"/>
          </w:tcPr>
          <w:p>
            <w:pPr>
              <w:pStyle w:val="TableContents"/>
              <w:bidi w:val="0"/>
              <w:spacing w:before="0" w:after="283"/>
              <w:jc w:val="right"/>
              <w:rPr/>
            </w:pPr>
            <w:r>
              <w:rPr/>
              <w:t>31</w:t>
            </w:r>
          </w:p>
        </w:tc>
      </w:tr>
      <w:tr>
        <w:trPr/>
        <w:tc>
          <w:tcPr>
            <w:tcW w:w="9930" w:type="dxa"/>
            <w:tcBorders/>
            <w:vAlign w:val="center"/>
          </w:tcPr>
          <w:p>
            <w:pPr>
              <w:pStyle w:val="TableContents"/>
              <w:bidi w:val="0"/>
              <w:spacing w:before="0" w:after="283"/>
              <w:jc w:val="left"/>
              <w:rPr/>
            </w:pPr>
            <w:r>
              <w:rPr/>
              <w:t>Section 2.10   Additional Notes; Repurchases</w:t>
            </w:r>
          </w:p>
        </w:tc>
        <w:tc>
          <w:tcPr>
            <w:tcW w:w="275" w:type="dxa"/>
            <w:tcBorders/>
            <w:vAlign w:val="center"/>
          </w:tcPr>
          <w:p>
            <w:pPr>
              <w:pStyle w:val="TableContents"/>
              <w:bidi w:val="0"/>
              <w:spacing w:before="0" w:after="283"/>
              <w:jc w:val="right"/>
              <w:rPr/>
            </w:pPr>
            <w:r>
              <w:rPr/>
              <w:t>31</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540"/>
              <w:jc w:val="right"/>
              <w:rPr/>
            </w:pPr>
            <w:r>
              <w:rPr/>
              <w:t> </w:t>
            </w:r>
          </w:p>
        </w:tc>
      </w:tr>
      <w:tr>
        <w:trPr/>
        <w:tc>
          <w:tcPr>
            <w:tcW w:w="9930" w:type="dxa"/>
            <w:tcBorders/>
            <w:vAlign w:val="center"/>
          </w:tcPr>
          <w:p>
            <w:pPr>
              <w:pStyle w:val="TableContents"/>
              <w:bidi w:val="0"/>
              <w:spacing w:before="0" w:after="283"/>
              <w:jc w:val="left"/>
              <w:rPr/>
            </w:pPr>
            <w:r>
              <w:rPr/>
              <w:t>Article 3 SATISFACTION AND DISCHARGE</w:t>
            </w:r>
          </w:p>
        </w:tc>
        <w:tc>
          <w:tcPr>
            <w:tcW w:w="275" w:type="dxa"/>
            <w:tcBorders/>
            <w:vAlign w:val="center"/>
          </w:tcPr>
          <w:p>
            <w:pPr>
              <w:pStyle w:val="TableContents"/>
              <w:bidi w:val="0"/>
              <w:spacing w:before="0" w:after="283"/>
              <w:ind w:left="0" w:right="0" w:hanging="540"/>
              <w:jc w:val="right"/>
              <w:rPr/>
            </w:pPr>
            <w:r>
              <w:rPr/>
              <w:t>32</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3.01   Satisfaction and Discharge</w:t>
            </w:r>
          </w:p>
        </w:tc>
        <w:tc>
          <w:tcPr>
            <w:tcW w:w="275" w:type="dxa"/>
            <w:tcBorders/>
            <w:vAlign w:val="center"/>
          </w:tcPr>
          <w:p>
            <w:pPr>
              <w:pStyle w:val="TableContents"/>
              <w:bidi w:val="0"/>
              <w:spacing w:before="0" w:after="283"/>
              <w:jc w:val="right"/>
              <w:rPr/>
            </w:pPr>
            <w:r>
              <w:rPr/>
              <w:t>32</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540"/>
              <w:jc w:val="right"/>
              <w:rPr/>
            </w:pPr>
            <w:r>
              <w:rPr/>
              <w:t> </w:t>
            </w:r>
          </w:p>
        </w:tc>
      </w:tr>
      <w:tr>
        <w:trPr/>
        <w:tc>
          <w:tcPr>
            <w:tcW w:w="9930" w:type="dxa"/>
            <w:tcBorders/>
            <w:vAlign w:val="center"/>
          </w:tcPr>
          <w:p>
            <w:pPr>
              <w:pStyle w:val="TableContents"/>
              <w:bidi w:val="0"/>
              <w:spacing w:before="0" w:after="283"/>
              <w:jc w:val="left"/>
              <w:rPr/>
            </w:pPr>
            <w:r>
              <w:rPr/>
              <w:t>Article 4 PARTICULAR COVENANTS OF THE COMPANY</w:t>
            </w:r>
          </w:p>
        </w:tc>
        <w:tc>
          <w:tcPr>
            <w:tcW w:w="275" w:type="dxa"/>
            <w:tcBorders/>
            <w:vAlign w:val="center"/>
          </w:tcPr>
          <w:p>
            <w:pPr>
              <w:pStyle w:val="TableContents"/>
              <w:bidi w:val="0"/>
              <w:spacing w:before="0" w:after="283"/>
              <w:ind w:left="0" w:right="0" w:hanging="540"/>
              <w:jc w:val="right"/>
              <w:rPr/>
            </w:pPr>
            <w:r>
              <w:rPr/>
              <w:t>32</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4.01   Payment of Principal and Interest</w:t>
            </w:r>
          </w:p>
        </w:tc>
        <w:tc>
          <w:tcPr>
            <w:tcW w:w="275" w:type="dxa"/>
            <w:tcBorders/>
            <w:vAlign w:val="center"/>
          </w:tcPr>
          <w:p>
            <w:pPr>
              <w:pStyle w:val="TableContents"/>
              <w:bidi w:val="0"/>
              <w:spacing w:before="0" w:after="283"/>
              <w:jc w:val="right"/>
              <w:rPr/>
            </w:pPr>
            <w:r>
              <w:rPr/>
              <w:t>32</w:t>
            </w:r>
          </w:p>
        </w:tc>
      </w:tr>
      <w:tr>
        <w:trPr/>
        <w:tc>
          <w:tcPr>
            <w:tcW w:w="9930" w:type="dxa"/>
            <w:tcBorders/>
            <w:vAlign w:val="center"/>
          </w:tcPr>
          <w:p>
            <w:pPr>
              <w:pStyle w:val="TableContents"/>
              <w:bidi w:val="0"/>
              <w:spacing w:before="0" w:after="283"/>
              <w:jc w:val="left"/>
              <w:rPr/>
            </w:pPr>
            <w:r>
              <w:rPr/>
              <w:t>Section 4.02   Maintenance of Office or Agency</w:t>
            </w:r>
          </w:p>
        </w:tc>
        <w:tc>
          <w:tcPr>
            <w:tcW w:w="275" w:type="dxa"/>
            <w:tcBorders/>
            <w:vAlign w:val="center"/>
          </w:tcPr>
          <w:p>
            <w:pPr>
              <w:pStyle w:val="TableContents"/>
              <w:bidi w:val="0"/>
              <w:spacing w:before="0" w:after="283"/>
              <w:jc w:val="right"/>
              <w:rPr/>
            </w:pPr>
            <w:r>
              <w:rPr/>
              <w:t>33</w:t>
            </w:r>
          </w:p>
        </w:tc>
      </w:tr>
      <w:tr>
        <w:trPr/>
        <w:tc>
          <w:tcPr>
            <w:tcW w:w="9930" w:type="dxa"/>
            <w:tcBorders/>
            <w:vAlign w:val="center"/>
          </w:tcPr>
          <w:p>
            <w:pPr>
              <w:pStyle w:val="TableContents"/>
              <w:bidi w:val="0"/>
              <w:spacing w:before="0" w:after="283"/>
              <w:jc w:val="left"/>
              <w:rPr/>
            </w:pPr>
            <w:r>
              <w:rPr/>
              <w:t>Section 4.03   Appointments to Fill Vacancies in Trustee’s Office</w:t>
            </w:r>
          </w:p>
        </w:tc>
        <w:tc>
          <w:tcPr>
            <w:tcW w:w="275" w:type="dxa"/>
            <w:tcBorders/>
            <w:vAlign w:val="center"/>
          </w:tcPr>
          <w:p>
            <w:pPr>
              <w:pStyle w:val="TableContents"/>
              <w:bidi w:val="0"/>
              <w:spacing w:before="0" w:after="283"/>
              <w:jc w:val="right"/>
              <w:rPr/>
            </w:pPr>
            <w:r>
              <w:rPr/>
              <w:t>33</w:t>
            </w:r>
          </w:p>
        </w:tc>
      </w:tr>
      <w:tr>
        <w:trPr/>
        <w:tc>
          <w:tcPr>
            <w:tcW w:w="9930" w:type="dxa"/>
            <w:tcBorders/>
            <w:vAlign w:val="center"/>
          </w:tcPr>
          <w:p>
            <w:pPr>
              <w:pStyle w:val="TableContents"/>
              <w:bidi w:val="0"/>
              <w:spacing w:before="0" w:after="283"/>
              <w:jc w:val="left"/>
              <w:rPr/>
            </w:pPr>
            <w:r>
              <w:rPr/>
              <w:t>Section 4.04   Provisions as to Paying Agent</w:t>
            </w:r>
          </w:p>
        </w:tc>
        <w:tc>
          <w:tcPr>
            <w:tcW w:w="275" w:type="dxa"/>
            <w:tcBorders/>
            <w:vAlign w:val="center"/>
          </w:tcPr>
          <w:p>
            <w:pPr>
              <w:pStyle w:val="TableContents"/>
              <w:bidi w:val="0"/>
              <w:spacing w:before="0" w:after="283"/>
              <w:jc w:val="right"/>
              <w:rPr/>
            </w:pPr>
            <w:r>
              <w:rPr/>
              <w:t>33</w:t>
            </w:r>
          </w:p>
        </w:tc>
      </w:tr>
      <w:tr>
        <w:trPr/>
        <w:tc>
          <w:tcPr>
            <w:tcW w:w="9930" w:type="dxa"/>
            <w:tcBorders/>
            <w:vAlign w:val="center"/>
          </w:tcPr>
          <w:p>
            <w:pPr>
              <w:pStyle w:val="TableContents"/>
              <w:bidi w:val="0"/>
              <w:spacing w:before="0" w:after="283"/>
              <w:jc w:val="left"/>
              <w:rPr/>
            </w:pPr>
            <w:r>
              <w:rPr/>
              <w:t>Section 4.05   Existence</w:t>
            </w:r>
          </w:p>
        </w:tc>
        <w:tc>
          <w:tcPr>
            <w:tcW w:w="275" w:type="dxa"/>
            <w:tcBorders/>
            <w:vAlign w:val="center"/>
          </w:tcPr>
          <w:p>
            <w:pPr>
              <w:pStyle w:val="TableContents"/>
              <w:bidi w:val="0"/>
              <w:spacing w:before="0" w:after="283"/>
              <w:jc w:val="right"/>
              <w:rPr/>
            </w:pPr>
            <w:r>
              <w:rPr/>
              <w:t>35</w:t>
            </w:r>
          </w:p>
        </w:tc>
      </w:tr>
      <w:tr>
        <w:trPr/>
        <w:tc>
          <w:tcPr>
            <w:tcW w:w="9930" w:type="dxa"/>
            <w:tcBorders/>
            <w:vAlign w:val="center"/>
          </w:tcPr>
          <w:p>
            <w:pPr>
              <w:pStyle w:val="TableContents"/>
              <w:bidi w:val="0"/>
              <w:spacing w:before="0" w:after="283"/>
              <w:jc w:val="left"/>
              <w:rPr/>
            </w:pPr>
            <w:r>
              <w:rPr/>
              <w:t>Section 4.06   Rule 144A Information Requirement and Annual Reports; Financial Statements</w:t>
            </w:r>
          </w:p>
        </w:tc>
        <w:tc>
          <w:tcPr>
            <w:tcW w:w="275" w:type="dxa"/>
            <w:tcBorders/>
            <w:vAlign w:val="center"/>
          </w:tcPr>
          <w:p>
            <w:pPr>
              <w:pStyle w:val="TableContents"/>
              <w:bidi w:val="0"/>
              <w:spacing w:before="0" w:after="283"/>
              <w:jc w:val="right"/>
              <w:rPr/>
            </w:pPr>
            <w:r>
              <w:rPr/>
              <w:t>35</w:t>
            </w:r>
          </w:p>
        </w:tc>
      </w:tr>
      <w:tr>
        <w:trPr/>
        <w:tc>
          <w:tcPr>
            <w:tcW w:w="9930" w:type="dxa"/>
            <w:tcBorders/>
            <w:vAlign w:val="center"/>
          </w:tcPr>
          <w:p>
            <w:pPr>
              <w:pStyle w:val="TableContents"/>
              <w:bidi w:val="0"/>
              <w:spacing w:before="0" w:after="283"/>
              <w:jc w:val="left"/>
              <w:rPr/>
            </w:pPr>
            <w:r>
              <w:rPr/>
              <w:t>Section 4.07   Investment Company Act</w:t>
            </w:r>
          </w:p>
        </w:tc>
        <w:tc>
          <w:tcPr>
            <w:tcW w:w="275" w:type="dxa"/>
            <w:tcBorders/>
            <w:vAlign w:val="center"/>
          </w:tcPr>
          <w:p>
            <w:pPr>
              <w:pStyle w:val="TableContents"/>
              <w:bidi w:val="0"/>
              <w:spacing w:before="0" w:after="283"/>
              <w:jc w:val="right"/>
              <w:rPr/>
            </w:pPr>
            <w:r>
              <w:rPr/>
              <w:t>36</w:t>
            </w:r>
          </w:p>
        </w:tc>
      </w:tr>
      <w:tr>
        <w:trPr/>
        <w:tc>
          <w:tcPr>
            <w:tcW w:w="9930" w:type="dxa"/>
            <w:tcBorders/>
            <w:vAlign w:val="center"/>
          </w:tcPr>
          <w:p>
            <w:pPr>
              <w:pStyle w:val="TableContents"/>
              <w:bidi w:val="0"/>
              <w:spacing w:before="0" w:after="283"/>
              <w:jc w:val="left"/>
              <w:rPr/>
            </w:pPr>
            <w:r>
              <w:rPr/>
              <w:t>Section 4.08   Stay, Extension and Usury Laws</w:t>
            </w:r>
          </w:p>
        </w:tc>
        <w:tc>
          <w:tcPr>
            <w:tcW w:w="275" w:type="dxa"/>
            <w:tcBorders/>
            <w:vAlign w:val="center"/>
          </w:tcPr>
          <w:p>
            <w:pPr>
              <w:pStyle w:val="TableContents"/>
              <w:bidi w:val="0"/>
              <w:spacing w:before="0" w:after="283"/>
              <w:jc w:val="right"/>
              <w:rPr/>
            </w:pPr>
            <w:r>
              <w:rPr/>
              <w:t>36</w:t>
            </w:r>
          </w:p>
        </w:tc>
      </w:tr>
      <w:tr>
        <w:trPr/>
        <w:tc>
          <w:tcPr>
            <w:tcW w:w="9930" w:type="dxa"/>
            <w:tcBorders/>
            <w:vAlign w:val="center"/>
          </w:tcPr>
          <w:p>
            <w:pPr>
              <w:pStyle w:val="TableContents"/>
              <w:bidi w:val="0"/>
              <w:spacing w:before="0" w:after="283"/>
              <w:jc w:val="left"/>
              <w:rPr/>
            </w:pPr>
            <w:r>
              <w:rPr/>
              <w:t>Section 4.09   Compliance Certificate; Statements as to Defaults</w:t>
            </w:r>
          </w:p>
        </w:tc>
        <w:tc>
          <w:tcPr>
            <w:tcW w:w="275" w:type="dxa"/>
            <w:tcBorders/>
            <w:vAlign w:val="center"/>
          </w:tcPr>
          <w:p>
            <w:pPr>
              <w:pStyle w:val="TableContents"/>
              <w:bidi w:val="0"/>
              <w:spacing w:before="0" w:after="283"/>
              <w:jc w:val="right"/>
              <w:rPr/>
            </w:pPr>
            <w:r>
              <w:rPr/>
              <w:t>36</w:t>
            </w:r>
          </w:p>
        </w:tc>
      </w:tr>
      <w:tr>
        <w:trPr/>
        <w:tc>
          <w:tcPr>
            <w:tcW w:w="9930" w:type="dxa"/>
            <w:tcBorders/>
            <w:vAlign w:val="center"/>
          </w:tcPr>
          <w:p>
            <w:pPr>
              <w:pStyle w:val="TableContents"/>
              <w:bidi w:val="0"/>
              <w:spacing w:before="0" w:after="283"/>
              <w:jc w:val="left"/>
              <w:rPr/>
            </w:pPr>
            <w:r>
              <w:rPr/>
              <w:t>Section 4.10   Further Instruments and Acts</w:t>
            </w:r>
          </w:p>
        </w:tc>
        <w:tc>
          <w:tcPr>
            <w:tcW w:w="275" w:type="dxa"/>
            <w:tcBorders/>
            <w:vAlign w:val="center"/>
          </w:tcPr>
          <w:p>
            <w:pPr>
              <w:pStyle w:val="TableContents"/>
              <w:bidi w:val="0"/>
              <w:spacing w:before="0" w:after="283"/>
              <w:jc w:val="right"/>
              <w:rPr/>
            </w:pPr>
            <w:r>
              <w:rPr/>
              <w:t>36</w:t>
            </w:r>
          </w:p>
        </w:tc>
      </w:tr>
      <w:tr>
        <w:trPr/>
        <w:tc>
          <w:tcPr>
            <w:tcW w:w="9930" w:type="dxa"/>
            <w:tcBorders/>
            <w:vAlign w:val="center"/>
          </w:tcPr>
          <w:p>
            <w:pPr>
              <w:pStyle w:val="TableContents"/>
              <w:bidi w:val="0"/>
              <w:spacing w:before="0" w:after="283"/>
              <w:jc w:val="left"/>
              <w:rPr/>
            </w:pPr>
            <w:r>
              <w:rPr/>
              <w:t>Section 4.11   Books and Records; Inspection</w:t>
            </w:r>
          </w:p>
        </w:tc>
        <w:tc>
          <w:tcPr>
            <w:tcW w:w="275" w:type="dxa"/>
            <w:tcBorders/>
            <w:vAlign w:val="center"/>
          </w:tcPr>
          <w:p>
            <w:pPr>
              <w:pStyle w:val="TableContents"/>
              <w:bidi w:val="0"/>
              <w:spacing w:before="0" w:after="283"/>
              <w:jc w:val="right"/>
              <w:rPr/>
            </w:pPr>
            <w:r>
              <w:rPr/>
              <w:t>37</w:t>
            </w:r>
          </w:p>
        </w:tc>
      </w:tr>
      <w:tr>
        <w:trPr/>
        <w:tc>
          <w:tcPr>
            <w:tcW w:w="9930" w:type="dxa"/>
            <w:tcBorders/>
            <w:vAlign w:val="center"/>
          </w:tcPr>
          <w:p>
            <w:pPr>
              <w:pStyle w:val="TableContents"/>
              <w:bidi w:val="0"/>
              <w:spacing w:before="0" w:after="283"/>
              <w:jc w:val="left"/>
              <w:rPr/>
            </w:pPr>
            <w:r>
              <w:rPr/>
              <w:t>Section 4.12   Payment of Taxes</w:t>
            </w:r>
          </w:p>
        </w:tc>
        <w:tc>
          <w:tcPr>
            <w:tcW w:w="275" w:type="dxa"/>
            <w:tcBorders/>
            <w:vAlign w:val="center"/>
          </w:tcPr>
          <w:p>
            <w:pPr>
              <w:pStyle w:val="TableContents"/>
              <w:bidi w:val="0"/>
              <w:spacing w:before="0" w:after="283"/>
              <w:jc w:val="right"/>
              <w:rPr/>
            </w:pPr>
            <w:r>
              <w:rPr/>
              <w:t>37</w:t>
            </w:r>
          </w:p>
        </w:tc>
      </w:tr>
      <w:tr>
        <w:trPr/>
        <w:tc>
          <w:tcPr>
            <w:tcW w:w="9930" w:type="dxa"/>
            <w:tcBorders/>
            <w:vAlign w:val="center"/>
          </w:tcPr>
          <w:p>
            <w:pPr>
              <w:pStyle w:val="TableContents"/>
              <w:bidi w:val="0"/>
              <w:spacing w:before="0" w:after="283"/>
              <w:jc w:val="left"/>
              <w:rPr/>
            </w:pPr>
            <w:r>
              <w:rPr/>
              <w:t>Section 4.13   Conduct of Business; Permits and Licenses</w:t>
            </w:r>
          </w:p>
        </w:tc>
        <w:tc>
          <w:tcPr>
            <w:tcW w:w="275" w:type="dxa"/>
            <w:tcBorders/>
            <w:vAlign w:val="center"/>
          </w:tcPr>
          <w:p>
            <w:pPr>
              <w:pStyle w:val="TableContents"/>
              <w:bidi w:val="0"/>
              <w:spacing w:before="0" w:after="283"/>
              <w:jc w:val="right"/>
              <w:rPr/>
            </w:pPr>
            <w:r>
              <w:rPr/>
              <w:t>37</w:t>
            </w:r>
          </w:p>
        </w:tc>
      </w:tr>
      <w:tr>
        <w:trPr/>
        <w:tc>
          <w:tcPr>
            <w:tcW w:w="9930" w:type="dxa"/>
            <w:tcBorders/>
            <w:vAlign w:val="center"/>
          </w:tcPr>
          <w:p>
            <w:pPr>
              <w:pStyle w:val="TableContents"/>
              <w:bidi w:val="0"/>
              <w:spacing w:before="0" w:after="283"/>
              <w:jc w:val="left"/>
              <w:rPr/>
            </w:pPr>
            <w:r>
              <w:rPr/>
              <w:t>Section 4.14   Compliance with Laws and Material Agreements</w:t>
            </w:r>
          </w:p>
        </w:tc>
        <w:tc>
          <w:tcPr>
            <w:tcW w:w="275" w:type="dxa"/>
            <w:tcBorders/>
            <w:vAlign w:val="center"/>
          </w:tcPr>
          <w:p>
            <w:pPr>
              <w:pStyle w:val="TableContents"/>
              <w:bidi w:val="0"/>
              <w:spacing w:before="0" w:after="283"/>
              <w:jc w:val="right"/>
              <w:rPr/>
            </w:pPr>
            <w:r>
              <w:rPr/>
              <w:t>37</w:t>
            </w:r>
          </w:p>
        </w:tc>
      </w:tr>
      <w:tr>
        <w:trPr/>
        <w:tc>
          <w:tcPr>
            <w:tcW w:w="9930" w:type="dxa"/>
            <w:tcBorders/>
            <w:vAlign w:val="center"/>
          </w:tcPr>
          <w:p>
            <w:pPr>
              <w:pStyle w:val="TableContents"/>
              <w:bidi w:val="0"/>
              <w:spacing w:before="0" w:after="283"/>
              <w:jc w:val="left"/>
              <w:rPr/>
            </w:pPr>
            <w:r>
              <w:rPr/>
              <w:t>Section 4.15   Use of Proceeds</w:t>
            </w:r>
          </w:p>
        </w:tc>
        <w:tc>
          <w:tcPr>
            <w:tcW w:w="275" w:type="dxa"/>
            <w:tcBorders/>
            <w:vAlign w:val="center"/>
          </w:tcPr>
          <w:p>
            <w:pPr>
              <w:pStyle w:val="TableContents"/>
              <w:bidi w:val="0"/>
              <w:spacing w:before="0" w:after="283"/>
              <w:jc w:val="right"/>
              <w:rPr/>
            </w:pPr>
            <w:r>
              <w:rPr/>
              <w:t>37</w:t>
            </w:r>
          </w:p>
        </w:tc>
      </w:tr>
      <w:tr>
        <w:trPr/>
        <w:tc>
          <w:tcPr>
            <w:tcW w:w="9930" w:type="dxa"/>
            <w:tcBorders/>
            <w:vAlign w:val="center"/>
          </w:tcPr>
          <w:p>
            <w:pPr>
              <w:pStyle w:val="TableContents"/>
              <w:bidi w:val="0"/>
              <w:spacing w:before="0" w:after="283"/>
              <w:jc w:val="left"/>
              <w:rPr/>
            </w:pPr>
            <w:r>
              <w:rPr/>
              <w:t>Section 4.16   Limitation on Indebtedness and Liens; Restricted Transactions</w:t>
            </w:r>
          </w:p>
        </w:tc>
        <w:tc>
          <w:tcPr>
            <w:tcW w:w="275" w:type="dxa"/>
            <w:tcBorders/>
            <w:vAlign w:val="center"/>
          </w:tcPr>
          <w:p>
            <w:pPr>
              <w:pStyle w:val="TableContents"/>
              <w:bidi w:val="0"/>
              <w:spacing w:before="0" w:after="283"/>
              <w:jc w:val="right"/>
              <w:rPr/>
            </w:pPr>
            <w:r>
              <w:rPr/>
              <w:t>37</w:t>
            </w:r>
          </w:p>
        </w:tc>
      </w:tr>
      <w:tr>
        <w:trPr/>
        <w:tc>
          <w:tcPr>
            <w:tcW w:w="9930" w:type="dxa"/>
            <w:tcBorders/>
            <w:vAlign w:val="center"/>
          </w:tcPr>
          <w:p>
            <w:pPr>
              <w:pStyle w:val="TableContents"/>
              <w:bidi w:val="0"/>
              <w:spacing w:before="0" w:after="283"/>
              <w:jc w:val="left"/>
              <w:rPr/>
            </w:pPr>
            <w:r>
              <w:rPr/>
              <w:t>Section 4.17   Mandatory Redemption</w:t>
            </w:r>
          </w:p>
        </w:tc>
        <w:tc>
          <w:tcPr>
            <w:tcW w:w="275" w:type="dxa"/>
            <w:tcBorders/>
            <w:vAlign w:val="center"/>
          </w:tcPr>
          <w:p>
            <w:pPr>
              <w:pStyle w:val="TableContents"/>
              <w:bidi w:val="0"/>
              <w:spacing w:before="0" w:after="283"/>
              <w:jc w:val="right"/>
              <w:rPr/>
            </w:pPr>
            <w:r>
              <w:rPr/>
              <w:t>38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670" w:type="dxa"/>
        <w:jc w:val="left"/>
        <w:tblInd w:w="0" w:type="dxa"/>
        <w:tblLayout w:type="fixed"/>
        <w:tblCellMar>
          <w:top w:w="0" w:type="dxa"/>
          <w:left w:w="0" w:type="dxa"/>
          <w:bottom w:w="0" w:type="dxa"/>
          <w:right w:w="0" w:type="dxa"/>
        </w:tblCellMar>
      </w:tblPr>
      <w:tblGrid>
        <w:gridCol w:w="9395"/>
        <w:gridCol w:w="275"/>
      </w:tblGrid>
      <w:tr>
        <w:trPr/>
        <w:tc>
          <w:tcPr>
            <w:tcW w:w="9395" w:type="dxa"/>
            <w:tcBorders/>
            <w:vAlign w:val="center"/>
          </w:tcPr>
          <w:p>
            <w:pPr>
              <w:pStyle w:val="TableContents"/>
              <w:bidi w:val="0"/>
              <w:spacing w:before="0" w:after="283"/>
              <w:ind w:left="0" w:right="0" w:hanging="540"/>
              <w:jc w:val="left"/>
              <w:rPr/>
            </w:pPr>
            <w:r>
              <w:rPr/>
              <w:t>Article 5 LISTS OF HOLDERS AND REPORTS BY THE COMPANY AND THE TRUSTEE</w:t>
            </w:r>
          </w:p>
        </w:tc>
        <w:tc>
          <w:tcPr>
            <w:tcW w:w="275" w:type="dxa"/>
            <w:tcBorders/>
            <w:vAlign w:val="center"/>
          </w:tcPr>
          <w:p>
            <w:pPr>
              <w:pStyle w:val="TableContents"/>
              <w:bidi w:val="0"/>
              <w:spacing w:before="0" w:after="283"/>
              <w:ind w:left="0" w:right="0" w:hanging="540"/>
              <w:jc w:val="right"/>
              <w:rPr/>
            </w:pPr>
            <w:r>
              <w:rPr/>
              <w:t>39</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395" w:type="dxa"/>
            <w:tcBorders/>
            <w:vAlign w:val="center"/>
          </w:tcPr>
          <w:p>
            <w:pPr>
              <w:pStyle w:val="TableContents"/>
              <w:bidi w:val="0"/>
              <w:spacing w:before="0" w:after="283"/>
              <w:jc w:val="left"/>
              <w:rPr/>
            </w:pPr>
            <w:r>
              <w:rPr/>
              <w:t>Section 5.01   Lists of Holders</w:t>
            </w:r>
          </w:p>
        </w:tc>
        <w:tc>
          <w:tcPr>
            <w:tcW w:w="275" w:type="dxa"/>
            <w:tcBorders/>
            <w:vAlign w:val="center"/>
          </w:tcPr>
          <w:p>
            <w:pPr>
              <w:pStyle w:val="TableContents"/>
              <w:bidi w:val="0"/>
              <w:spacing w:before="0" w:after="283"/>
              <w:jc w:val="right"/>
              <w:rPr/>
            </w:pPr>
            <w:r>
              <w:rPr/>
              <w:t>39</w:t>
            </w:r>
          </w:p>
        </w:tc>
      </w:tr>
      <w:tr>
        <w:trPr/>
        <w:tc>
          <w:tcPr>
            <w:tcW w:w="9395" w:type="dxa"/>
            <w:tcBorders/>
            <w:vAlign w:val="center"/>
          </w:tcPr>
          <w:p>
            <w:pPr>
              <w:pStyle w:val="TableContents"/>
              <w:bidi w:val="0"/>
              <w:spacing w:before="0" w:after="283"/>
              <w:jc w:val="left"/>
              <w:rPr/>
            </w:pPr>
            <w:r>
              <w:rPr/>
              <w:t>Section 5.02   Preservation and Disclosure of Lists</w:t>
            </w:r>
          </w:p>
        </w:tc>
        <w:tc>
          <w:tcPr>
            <w:tcW w:w="275" w:type="dxa"/>
            <w:tcBorders/>
            <w:vAlign w:val="center"/>
          </w:tcPr>
          <w:p>
            <w:pPr>
              <w:pStyle w:val="TableContents"/>
              <w:bidi w:val="0"/>
              <w:spacing w:before="0" w:after="283"/>
              <w:jc w:val="right"/>
              <w:rPr/>
            </w:pPr>
            <w:r>
              <w:rPr/>
              <w:t>39</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540"/>
              <w:jc w:val="right"/>
              <w:rPr/>
            </w:pPr>
            <w:r>
              <w:rPr/>
              <w:t> </w:t>
            </w:r>
          </w:p>
        </w:tc>
      </w:tr>
      <w:tr>
        <w:trPr/>
        <w:tc>
          <w:tcPr>
            <w:tcW w:w="9395" w:type="dxa"/>
            <w:tcBorders/>
            <w:vAlign w:val="center"/>
          </w:tcPr>
          <w:p>
            <w:pPr>
              <w:pStyle w:val="TableContents"/>
              <w:bidi w:val="0"/>
              <w:spacing w:before="0" w:after="283"/>
              <w:jc w:val="left"/>
              <w:rPr/>
            </w:pPr>
            <w:r>
              <w:rPr/>
              <w:t>Article 6 DEFAULTS AND REMEDIES</w:t>
            </w:r>
          </w:p>
        </w:tc>
        <w:tc>
          <w:tcPr>
            <w:tcW w:w="275" w:type="dxa"/>
            <w:tcBorders/>
            <w:vAlign w:val="center"/>
          </w:tcPr>
          <w:p>
            <w:pPr>
              <w:pStyle w:val="TableContents"/>
              <w:bidi w:val="0"/>
              <w:spacing w:before="0" w:after="283"/>
              <w:ind w:left="0" w:right="0" w:hanging="540"/>
              <w:jc w:val="right"/>
              <w:rPr/>
            </w:pPr>
            <w:r>
              <w:rPr/>
              <w:t>39</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395" w:type="dxa"/>
            <w:tcBorders/>
            <w:vAlign w:val="center"/>
          </w:tcPr>
          <w:p>
            <w:pPr>
              <w:pStyle w:val="TableContents"/>
              <w:bidi w:val="0"/>
              <w:spacing w:before="0" w:after="283"/>
              <w:jc w:val="left"/>
              <w:rPr/>
            </w:pPr>
            <w:r>
              <w:rPr/>
              <w:t>Section 6.01   Events of Default</w:t>
            </w:r>
          </w:p>
        </w:tc>
        <w:tc>
          <w:tcPr>
            <w:tcW w:w="275" w:type="dxa"/>
            <w:tcBorders/>
            <w:vAlign w:val="center"/>
          </w:tcPr>
          <w:p>
            <w:pPr>
              <w:pStyle w:val="TableContents"/>
              <w:bidi w:val="0"/>
              <w:spacing w:before="0" w:after="283"/>
              <w:jc w:val="right"/>
              <w:rPr/>
            </w:pPr>
            <w:r>
              <w:rPr/>
              <w:t>39</w:t>
            </w:r>
          </w:p>
        </w:tc>
      </w:tr>
      <w:tr>
        <w:trPr/>
        <w:tc>
          <w:tcPr>
            <w:tcW w:w="9395" w:type="dxa"/>
            <w:tcBorders/>
            <w:vAlign w:val="center"/>
          </w:tcPr>
          <w:p>
            <w:pPr>
              <w:pStyle w:val="TableContents"/>
              <w:bidi w:val="0"/>
              <w:spacing w:before="0" w:after="283"/>
              <w:jc w:val="left"/>
              <w:rPr/>
            </w:pPr>
            <w:r>
              <w:rPr/>
              <w:t>Section 6.02   Acceleration; Rescission and Annulment</w:t>
            </w:r>
          </w:p>
        </w:tc>
        <w:tc>
          <w:tcPr>
            <w:tcW w:w="275" w:type="dxa"/>
            <w:tcBorders/>
            <w:vAlign w:val="center"/>
          </w:tcPr>
          <w:p>
            <w:pPr>
              <w:pStyle w:val="TableContents"/>
              <w:bidi w:val="0"/>
              <w:spacing w:before="0" w:after="283"/>
              <w:jc w:val="right"/>
              <w:rPr/>
            </w:pPr>
            <w:r>
              <w:rPr/>
              <w:t>42</w:t>
            </w:r>
          </w:p>
        </w:tc>
      </w:tr>
      <w:tr>
        <w:trPr/>
        <w:tc>
          <w:tcPr>
            <w:tcW w:w="9395" w:type="dxa"/>
            <w:tcBorders/>
            <w:vAlign w:val="center"/>
          </w:tcPr>
          <w:p>
            <w:pPr>
              <w:pStyle w:val="TableContents"/>
              <w:bidi w:val="0"/>
              <w:spacing w:before="0" w:after="283"/>
              <w:jc w:val="left"/>
              <w:rPr/>
            </w:pPr>
            <w:r>
              <w:rPr/>
              <w:t>Section 6.03   [Reserved.]</w:t>
            </w:r>
          </w:p>
        </w:tc>
        <w:tc>
          <w:tcPr>
            <w:tcW w:w="275" w:type="dxa"/>
            <w:tcBorders/>
            <w:vAlign w:val="center"/>
          </w:tcPr>
          <w:p>
            <w:pPr>
              <w:pStyle w:val="TableContents"/>
              <w:bidi w:val="0"/>
              <w:spacing w:before="0" w:after="283"/>
              <w:jc w:val="right"/>
              <w:rPr/>
            </w:pPr>
            <w:r>
              <w:rPr/>
              <w:t>43</w:t>
            </w:r>
          </w:p>
        </w:tc>
      </w:tr>
      <w:tr>
        <w:trPr/>
        <w:tc>
          <w:tcPr>
            <w:tcW w:w="9395" w:type="dxa"/>
            <w:tcBorders/>
            <w:vAlign w:val="center"/>
          </w:tcPr>
          <w:p>
            <w:pPr>
              <w:pStyle w:val="TableContents"/>
              <w:bidi w:val="0"/>
              <w:spacing w:before="0" w:after="283"/>
              <w:jc w:val="left"/>
              <w:rPr/>
            </w:pPr>
            <w:r>
              <w:rPr/>
              <w:t>Section 6.04   Payments of Notes on Default; Suit Therefor</w:t>
            </w:r>
          </w:p>
        </w:tc>
        <w:tc>
          <w:tcPr>
            <w:tcW w:w="275" w:type="dxa"/>
            <w:tcBorders/>
            <w:vAlign w:val="center"/>
          </w:tcPr>
          <w:p>
            <w:pPr>
              <w:pStyle w:val="TableContents"/>
              <w:bidi w:val="0"/>
              <w:spacing w:before="0" w:after="283"/>
              <w:jc w:val="right"/>
              <w:rPr/>
            </w:pPr>
            <w:r>
              <w:rPr/>
              <w:t>43</w:t>
            </w:r>
          </w:p>
        </w:tc>
      </w:tr>
      <w:tr>
        <w:trPr/>
        <w:tc>
          <w:tcPr>
            <w:tcW w:w="9395" w:type="dxa"/>
            <w:tcBorders/>
            <w:vAlign w:val="center"/>
          </w:tcPr>
          <w:p>
            <w:pPr>
              <w:pStyle w:val="TableContents"/>
              <w:bidi w:val="0"/>
              <w:spacing w:before="0" w:after="283"/>
              <w:jc w:val="left"/>
              <w:rPr/>
            </w:pPr>
            <w:r>
              <w:rPr/>
              <w:t>Section 6.05   Application of Monies or Property Collected by Trustee</w:t>
            </w:r>
          </w:p>
        </w:tc>
        <w:tc>
          <w:tcPr>
            <w:tcW w:w="275" w:type="dxa"/>
            <w:tcBorders/>
            <w:vAlign w:val="center"/>
          </w:tcPr>
          <w:p>
            <w:pPr>
              <w:pStyle w:val="TableContents"/>
              <w:bidi w:val="0"/>
              <w:spacing w:before="0" w:after="283"/>
              <w:jc w:val="right"/>
              <w:rPr/>
            </w:pPr>
            <w:r>
              <w:rPr/>
              <w:t>44</w:t>
            </w:r>
          </w:p>
        </w:tc>
      </w:tr>
      <w:tr>
        <w:trPr/>
        <w:tc>
          <w:tcPr>
            <w:tcW w:w="9395" w:type="dxa"/>
            <w:tcBorders/>
            <w:vAlign w:val="center"/>
          </w:tcPr>
          <w:p>
            <w:pPr>
              <w:pStyle w:val="TableContents"/>
              <w:bidi w:val="0"/>
              <w:spacing w:before="0" w:after="283"/>
              <w:jc w:val="left"/>
              <w:rPr/>
            </w:pPr>
            <w:r>
              <w:rPr/>
              <w:t>Section 6.06   Proceedings by Holders</w:t>
            </w:r>
          </w:p>
        </w:tc>
        <w:tc>
          <w:tcPr>
            <w:tcW w:w="275" w:type="dxa"/>
            <w:tcBorders/>
            <w:vAlign w:val="center"/>
          </w:tcPr>
          <w:p>
            <w:pPr>
              <w:pStyle w:val="TableContents"/>
              <w:bidi w:val="0"/>
              <w:spacing w:before="0" w:after="283"/>
              <w:jc w:val="right"/>
              <w:rPr/>
            </w:pPr>
            <w:r>
              <w:rPr/>
              <w:t>45</w:t>
            </w:r>
          </w:p>
        </w:tc>
      </w:tr>
      <w:tr>
        <w:trPr/>
        <w:tc>
          <w:tcPr>
            <w:tcW w:w="9395" w:type="dxa"/>
            <w:tcBorders/>
            <w:vAlign w:val="center"/>
          </w:tcPr>
          <w:p>
            <w:pPr>
              <w:pStyle w:val="TableContents"/>
              <w:bidi w:val="0"/>
              <w:spacing w:before="0" w:after="283"/>
              <w:jc w:val="left"/>
              <w:rPr/>
            </w:pPr>
            <w:r>
              <w:rPr/>
              <w:t>Section 6.07   Proceedings by Trustee</w:t>
            </w:r>
          </w:p>
        </w:tc>
        <w:tc>
          <w:tcPr>
            <w:tcW w:w="275" w:type="dxa"/>
            <w:tcBorders/>
            <w:vAlign w:val="center"/>
          </w:tcPr>
          <w:p>
            <w:pPr>
              <w:pStyle w:val="TableContents"/>
              <w:bidi w:val="0"/>
              <w:spacing w:before="0" w:after="283"/>
              <w:jc w:val="right"/>
              <w:rPr/>
            </w:pPr>
            <w:r>
              <w:rPr/>
              <w:t>46</w:t>
            </w:r>
          </w:p>
        </w:tc>
      </w:tr>
      <w:tr>
        <w:trPr/>
        <w:tc>
          <w:tcPr>
            <w:tcW w:w="9395" w:type="dxa"/>
            <w:tcBorders/>
            <w:vAlign w:val="center"/>
          </w:tcPr>
          <w:p>
            <w:pPr>
              <w:pStyle w:val="TableContents"/>
              <w:bidi w:val="0"/>
              <w:spacing w:before="0" w:after="283"/>
              <w:jc w:val="left"/>
              <w:rPr/>
            </w:pPr>
            <w:r>
              <w:rPr/>
              <w:t>Section 6.08   Remedies Cumulative and Continuing</w:t>
            </w:r>
          </w:p>
        </w:tc>
        <w:tc>
          <w:tcPr>
            <w:tcW w:w="275" w:type="dxa"/>
            <w:tcBorders/>
            <w:vAlign w:val="center"/>
          </w:tcPr>
          <w:p>
            <w:pPr>
              <w:pStyle w:val="TableContents"/>
              <w:bidi w:val="0"/>
              <w:spacing w:before="0" w:after="283"/>
              <w:jc w:val="right"/>
              <w:rPr/>
            </w:pPr>
            <w:r>
              <w:rPr/>
              <w:t>46</w:t>
            </w:r>
          </w:p>
        </w:tc>
      </w:tr>
      <w:tr>
        <w:trPr/>
        <w:tc>
          <w:tcPr>
            <w:tcW w:w="9395" w:type="dxa"/>
            <w:tcBorders/>
            <w:vAlign w:val="center"/>
          </w:tcPr>
          <w:p>
            <w:pPr>
              <w:pStyle w:val="TableContents"/>
              <w:bidi w:val="0"/>
              <w:spacing w:before="0" w:after="283"/>
              <w:jc w:val="left"/>
              <w:rPr/>
            </w:pPr>
            <w:r>
              <w:rPr/>
              <w:t>Section 6.09   Direction of Proceedings and Waiver of Defaults by Majority of Holders</w:t>
            </w:r>
          </w:p>
        </w:tc>
        <w:tc>
          <w:tcPr>
            <w:tcW w:w="275" w:type="dxa"/>
            <w:tcBorders/>
            <w:vAlign w:val="center"/>
          </w:tcPr>
          <w:p>
            <w:pPr>
              <w:pStyle w:val="TableContents"/>
              <w:bidi w:val="0"/>
              <w:spacing w:before="0" w:after="283"/>
              <w:jc w:val="right"/>
              <w:rPr/>
            </w:pPr>
            <w:r>
              <w:rPr/>
              <w:t>47</w:t>
            </w:r>
          </w:p>
        </w:tc>
      </w:tr>
      <w:tr>
        <w:trPr/>
        <w:tc>
          <w:tcPr>
            <w:tcW w:w="9395" w:type="dxa"/>
            <w:tcBorders/>
            <w:vAlign w:val="center"/>
          </w:tcPr>
          <w:p>
            <w:pPr>
              <w:pStyle w:val="TableContents"/>
              <w:bidi w:val="0"/>
              <w:spacing w:before="0" w:after="283"/>
              <w:jc w:val="left"/>
              <w:rPr/>
            </w:pPr>
            <w:r>
              <w:rPr/>
              <w:t>Section 6.10   Notice of Defaults</w:t>
            </w:r>
          </w:p>
        </w:tc>
        <w:tc>
          <w:tcPr>
            <w:tcW w:w="275" w:type="dxa"/>
            <w:tcBorders/>
            <w:vAlign w:val="center"/>
          </w:tcPr>
          <w:p>
            <w:pPr>
              <w:pStyle w:val="TableContents"/>
              <w:bidi w:val="0"/>
              <w:spacing w:before="0" w:after="283"/>
              <w:jc w:val="right"/>
              <w:rPr/>
            </w:pPr>
            <w:r>
              <w:rPr/>
              <w:t>47</w:t>
            </w:r>
          </w:p>
        </w:tc>
      </w:tr>
      <w:tr>
        <w:trPr/>
        <w:tc>
          <w:tcPr>
            <w:tcW w:w="9395" w:type="dxa"/>
            <w:tcBorders/>
            <w:vAlign w:val="center"/>
          </w:tcPr>
          <w:p>
            <w:pPr>
              <w:pStyle w:val="TableContents"/>
              <w:bidi w:val="0"/>
              <w:spacing w:before="0" w:after="283"/>
              <w:jc w:val="left"/>
              <w:rPr/>
            </w:pPr>
            <w:r>
              <w:rPr/>
              <w:t>Section 6.11   Undertaking to Pay Costs</w:t>
            </w:r>
          </w:p>
        </w:tc>
        <w:tc>
          <w:tcPr>
            <w:tcW w:w="275" w:type="dxa"/>
            <w:tcBorders/>
            <w:vAlign w:val="center"/>
          </w:tcPr>
          <w:p>
            <w:pPr>
              <w:pStyle w:val="TableContents"/>
              <w:bidi w:val="0"/>
              <w:spacing w:before="0" w:after="283"/>
              <w:jc w:val="right"/>
              <w:rPr/>
            </w:pPr>
            <w:r>
              <w:rPr/>
              <w:t>48</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395" w:type="dxa"/>
            <w:tcBorders/>
            <w:vAlign w:val="center"/>
          </w:tcPr>
          <w:p>
            <w:pPr>
              <w:pStyle w:val="TableContents"/>
              <w:bidi w:val="0"/>
              <w:spacing w:before="0" w:after="283"/>
              <w:jc w:val="left"/>
              <w:rPr/>
            </w:pPr>
            <w:r>
              <w:rPr/>
              <w:t>Article 7 CONCERNING THE TRUSTEE</w:t>
            </w:r>
          </w:p>
        </w:tc>
        <w:tc>
          <w:tcPr>
            <w:tcW w:w="275" w:type="dxa"/>
            <w:tcBorders/>
            <w:vAlign w:val="center"/>
          </w:tcPr>
          <w:p>
            <w:pPr>
              <w:pStyle w:val="TableContents"/>
              <w:bidi w:val="0"/>
              <w:spacing w:before="0" w:after="283"/>
              <w:jc w:val="right"/>
              <w:rPr/>
            </w:pPr>
            <w:r>
              <w:rPr/>
              <w:t>48</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395" w:type="dxa"/>
            <w:tcBorders/>
            <w:vAlign w:val="center"/>
          </w:tcPr>
          <w:p>
            <w:pPr>
              <w:pStyle w:val="TableContents"/>
              <w:bidi w:val="0"/>
              <w:spacing w:before="0" w:after="283"/>
              <w:jc w:val="left"/>
              <w:rPr/>
            </w:pPr>
            <w:r>
              <w:rPr/>
              <w:t>Section 7.01   Duties and Responsibilities of Trustee</w:t>
            </w:r>
          </w:p>
        </w:tc>
        <w:tc>
          <w:tcPr>
            <w:tcW w:w="275" w:type="dxa"/>
            <w:tcBorders/>
            <w:vAlign w:val="center"/>
          </w:tcPr>
          <w:p>
            <w:pPr>
              <w:pStyle w:val="TableContents"/>
              <w:bidi w:val="0"/>
              <w:spacing w:before="0" w:after="283"/>
              <w:jc w:val="right"/>
              <w:rPr/>
            </w:pPr>
            <w:r>
              <w:rPr/>
              <w:t>48</w:t>
            </w:r>
          </w:p>
        </w:tc>
      </w:tr>
      <w:tr>
        <w:trPr/>
        <w:tc>
          <w:tcPr>
            <w:tcW w:w="9395" w:type="dxa"/>
            <w:tcBorders/>
            <w:vAlign w:val="center"/>
          </w:tcPr>
          <w:p>
            <w:pPr>
              <w:pStyle w:val="TableContents"/>
              <w:bidi w:val="0"/>
              <w:spacing w:before="0" w:after="283"/>
              <w:jc w:val="left"/>
              <w:rPr/>
            </w:pPr>
            <w:r>
              <w:rPr/>
              <w:t>Section 7.02   Rights of the Trustee</w:t>
            </w:r>
          </w:p>
        </w:tc>
        <w:tc>
          <w:tcPr>
            <w:tcW w:w="275" w:type="dxa"/>
            <w:tcBorders/>
            <w:vAlign w:val="center"/>
          </w:tcPr>
          <w:p>
            <w:pPr>
              <w:pStyle w:val="TableContents"/>
              <w:bidi w:val="0"/>
              <w:spacing w:before="0" w:after="283"/>
              <w:jc w:val="right"/>
              <w:rPr/>
            </w:pPr>
            <w:r>
              <w:rPr/>
              <w:t>50</w:t>
            </w:r>
          </w:p>
        </w:tc>
      </w:tr>
      <w:tr>
        <w:trPr/>
        <w:tc>
          <w:tcPr>
            <w:tcW w:w="9395" w:type="dxa"/>
            <w:tcBorders/>
            <w:vAlign w:val="center"/>
          </w:tcPr>
          <w:p>
            <w:pPr>
              <w:pStyle w:val="TableContents"/>
              <w:bidi w:val="0"/>
              <w:spacing w:before="0" w:after="283"/>
              <w:jc w:val="left"/>
              <w:rPr/>
            </w:pPr>
            <w:r>
              <w:rPr/>
              <w:t>Section 7.03   No Responsibility for Recitals, Etc</w:t>
            </w:r>
          </w:p>
        </w:tc>
        <w:tc>
          <w:tcPr>
            <w:tcW w:w="275" w:type="dxa"/>
            <w:tcBorders/>
            <w:vAlign w:val="center"/>
          </w:tcPr>
          <w:p>
            <w:pPr>
              <w:pStyle w:val="TableContents"/>
              <w:bidi w:val="0"/>
              <w:spacing w:before="0" w:after="283"/>
              <w:jc w:val="right"/>
              <w:rPr/>
            </w:pPr>
            <w:r>
              <w:rPr/>
              <w:t>51</w:t>
            </w:r>
          </w:p>
        </w:tc>
      </w:tr>
      <w:tr>
        <w:trPr/>
        <w:tc>
          <w:tcPr>
            <w:tcW w:w="9395" w:type="dxa"/>
            <w:tcBorders/>
            <w:vAlign w:val="center"/>
          </w:tcPr>
          <w:p>
            <w:pPr>
              <w:pStyle w:val="TableContents"/>
              <w:bidi w:val="0"/>
              <w:spacing w:before="0" w:after="283"/>
              <w:jc w:val="left"/>
              <w:rPr/>
            </w:pPr>
            <w:r>
              <w:rPr/>
              <w:t>Section 7.04   Trustee, Paying Agents, Conversion Agents or Note Registrar May Own Notes</w:t>
            </w:r>
          </w:p>
        </w:tc>
        <w:tc>
          <w:tcPr>
            <w:tcW w:w="275" w:type="dxa"/>
            <w:tcBorders/>
            <w:vAlign w:val="center"/>
          </w:tcPr>
          <w:p>
            <w:pPr>
              <w:pStyle w:val="TableContents"/>
              <w:bidi w:val="0"/>
              <w:spacing w:before="0" w:after="283"/>
              <w:jc w:val="right"/>
              <w:rPr/>
            </w:pPr>
            <w:r>
              <w:rPr/>
              <w:t>52</w:t>
            </w:r>
          </w:p>
        </w:tc>
      </w:tr>
      <w:tr>
        <w:trPr/>
        <w:tc>
          <w:tcPr>
            <w:tcW w:w="9395" w:type="dxa"/>
            <w:tcBorders/>
            <w:vAlign w:val="center"/>
          </w:tcPr>
          <w:p>
            <w:pPr>
              <w:pStyle w:val="TableContents"/>
              <w:bidi w:val="0"/>
              <w:spacing w:before="0" w:after="283"/>
              <w:jc w:val="left"/>
              <w:rPr/>
            </w:pPr>
            <w:r>
              <w:rPr/>
              <w:t>Section 7.05   Monies and Shares of Common Stock to Be Held in Trust</w:t>
            </w:r>
          </w:p>
        </w:tc>
        <w:tc>
          <w:tcPr>
            <w:tcW w:w="275" w:type="dxa"/>
            <w:tcBorders/>
            <w:vAlign w:val="center"/>
          </w:tcPr>
          <w:p>
            <w:pPr>
              <w:pStyle w:val="TableContents"/>
              <w:bidi w:val="0"/>
              <w:spacing w:before="0" w:after="283"/>
              <w:jc w:val="right"/>
              <w:rPr/>
            </w:pPr>
            <w:r>
              <w:rPr/>
              <w:t>52</w:t>
            </w:r>
          </w:p>
        </w:tc>
      </w:tr>
      <w:tr>
        <w:trPr/>
        <w:tc>
          <w:tcPr>
            <w:tcW w:w="9395" w:type="dxa"/>
            <w:tcBorders/>
            <w:vAlign w:val="center"/>
          </w:tcPr>
          <w:p>
            <w:pPr>
              <w:pStyle w:val="TableContents"/>
              <w:bidi w:val="0"/>
              <w:spacing w:before="0" w:after="283"/>
              <w:jc w:val="left"/>
              <w:rPr/>
            </w:pPr>
            <w:r>
              <w:rPr/>
              <w:t>Section 7.06   Compensation and Expenses of Trustee</w:t>
            </w:r>
          </w:p>
        </w:tc>
        <w:tc>
          <w:tcPr>
            <w:tcW w:w="275" w:type="dxa"/>
            <w:tcBorders/>
            <w:vAlign w:val="center"/>
          </w:tcPr>
          <w:p>
            <w:pPr>
              <w:pStyle w:val="TableContents"/>
              <w:bidi w:val="0"/>
              <w:spacing w:before="0" w:after="283"/>
              <w:jc w:val="right"/>
              <w:rPr/>
            </w:pPr>
            <w:r>
              <w:rPr/>
              <w:t>52</w:t>
            </w:r>
          </w:p>
        </w:tc>
      </w:tr>
      <w:tr>
        <w:trPr/>
        <w:tc>
          <w:tcPr>
            <w:tcW w:w="9395" w:type="dxa"/>
            <w:tcBorders/>
            <w:vAlign w:val="center"/>
          </w:tcPr>
          <w:p>
            <w:pPr>
              <w:pStyle w:val="TableContents"/>
              <w:bidi w:val="0"/>
              <w:spacing w:before="0" w:after="283"/>
              <w:jc w:val="left"/>
              <w:rPr/>
            </w:pPr>
            <w:r>
              <w:rPr/>
              <w:t>Section 7.07   Officer’s Certificate as Evidence</w:t>
            </w:r>
          </w:p>
        </w:tc>
        <w:tc>
          <w:tcPr>
            <w:tcW w:w="275" w:type="dxa"/>
            <w:tcBorders/>
            <w:vAlign w:val="center"/>
          </w:tcPr>
          <w:p>
            <w:pPr>
              <w:pStyle w:val="TableContents"/>
              <w:bidi w:val="0"/>
              <w:spacing w:before="0" w:after="283"/>
              <w:jc w:val="right"/>
              <w:rPr/>
            </w:pPr>
            <w:r>
              <w:rPr/>
              <w:t>53</w:t>
            </w:r>
          </w:p>
        </w:tc>
      </w:tr>
      <w:tr>
        <w:trPr/>
        <w:tc>
          <w:tcPr>
            <w:tcW w:w="9395" w:type="dxa"/>
            <w:tcBorders/>
            <w:vAlign w:val="center"/>
          </w:tcPr>
          <w:p>
            <w:pPr>
              <w:pStyle w:val="TableContents"/>
              <w:bidi w:val="0"/>
              <w:spacing w:before="0" w:after="283"/>
              <w:jc w:val="left"/>
              <w:rPr/>
            </w:pPr>
            <w:r>
              <w:rPr/>
              <w:t>Section 7.08   Eligibility of Trustee</w:t>
            </w:r>
          </w:p>
        </w:tc>
        <w:tc>
          <w:tcPr>
            <w:tcW w:w="275" w:type="dxa"/>
            <w:tcBorders/>
            <w:vAlign w:val="center"/>
          </w:tcPr>
          <w:p>
            <w:pPr>
              <w:pStyle w:val="TableContents"/>
              <w:bidi w:val="0"/>
              <w:spacing w:before="0" w:after="283"/>
              <w:jc w:val="right"/>
              <w:rPr/>
            </w:pPr>
            <w:r>
              <w:rPr/>
              <w:t>53</w:t>
            </w:r>
          </w:p>
        </w:tc>
      </w:tr>
      <w:tr>
        <w:trPr/>
        <w:tc>
          <w:tcPr>
            <w:tcW w:w="9395" w:type="dxa"/>
            <w:tcBorders/>
            <w:vAlign w:val="center"/>
          </w:tcPr>
          <w:p>
            <w:pPr>
              <w:pStyle w:val="TableContents"/>
              <w:bidi w:val="0"/>
              <w:spacing w:before="0" w:after="283"/>
              <w:jc w:val="left"/>
              <w:rPr/>
            </w:pPr>
            <w:r>
              <w:rPr/>
              <w:t>Section 7.09   Resignation or Removal of Trustee</w:t>
            </w:r>
          </w:p>
        </w:tc>
        <w:tc>
          <w:tcPr>
            <w:tcW w:w="275" w:type="dxa"/>
            <w:tcBorders/>
            <w:vAlign w:val="center"/>
          </w:tcPr>
          <w:p>
            <w:pPr>
              <w:pStyle w:val="TableContents"/>
              <w:bidi w:val="0"/>
              <w:spacing w:before="0" w:after="283"/>
              <w:jc w:val="right"/>
              <w:rPr/>
            </w:pPr>
            <w:r>
              <w:rPr/>
              <w:t>53</w:t>
            </w:r>
          </w:p>
        </w:tc>
      </w:tr>
      <w:tr>
        <w:trPr/>
        <w:tc>
          <w:tcPr>
            <w:tcW w:w="9395" w:type="dxa"/>
            <w:tcBorders/>
            <w:vAlign w:val="center"/>
          </w:tcPr>
          <w:p>
            <w:pPr>
              <w:pStyle w:val="TableContents"/>
              <w:bidi w:val="0"/>
              <w:spacing w:before="0" w:after="283"/>
              <w:jc w:val="left"/>
              <w:rPr/>
            </w:pPr>
            <w:r>
              <w:rPr/>
              <w:t>Section 7.10   Acceptance by Successor Trustee</w:t>
            </w:r>
          </w:p>
        </w:tc>
        <w:tc>
          <w:tcPr>
            <w:tcW w:w="275" w:type="dxa"/>
            <w:tcBorders/>
            <w:vAlign w:val="center"/>
          </w:tcPr>
          <w:p>
            <w:pPr>
              <w:pStyle w:val="TableContents"/>
              <w:bidi w:val="0"/>
              <w:spacing w:before="0" w:after="283"/>
              <w:jc w:val="right"/>
              <w:rPr/>
            </w:pPr>
            <w:r>
              <w:rPr/>
              <w:t>54</w:t>
            </w:r>
          </w:p>
        </w:tc>
      </w:tr>
      <w:tr>
        <w:trPr/>
        <w:tc>
          <w:tcPr>
            <w:tcW w:w="9395" w:type="dxa"/>
            <w:tcBorders/>
            <w:vAlign w:val="center"/>
          </w:tcPr>
          <w:p>
            <w:pPr>
              <w:pStyle w:val="TableContents"/>
              <w:bidi w:val="0"/>
              <w:spacing w:before="0" w:after="283"/>
              <w:jc w:val="left"/>
              <w:rPr/>
            </w:pPr>
            <w:r>
              <w:rPr/>
              <w:t>Section 7.11   Succession by Merger, Etc.</w:t>
            </w:r>
          </w:p>
        </w:tc>
        <w:tc>
          <w:tcPr>
            <w:tcW w:w="275" w:type="dxa"/>
            <w:tcBorders/>
            <w:vAlign w:val="center"/>
          </w:tcPr>
          <w:p>
            <w:pPr>
              <w:pStyle w:val="TableContents"/>
              <w:bidi w:val="0"/>
              <w:spacing w:before="0" w:after="283"/>
              <w:jc w:val="right"/>
              <w:rPr/>
            </w:pPr>
            <w:r>
              <w:rPr/>
              <w:t>55</w:t>
            </w:r>
          </w:p>
        </w:tc>
      </w:tr>
      <w:tr>
        <w:trPr/>
        <w:tc>
          <w:tcPr>
            <w:tcW w:w="9395" w:type="dxa"/>
            <w:tcBorders/>
            <w:vAlign w:val="center"/>
          </w:tcPr>
          <w:p>
            <w:pPr>
              <w:pStyle w:val="TableContents"/>
              <w:bidi w:val="0"/>
              <w:spacing w:before="0" w:after="283"/>
              <w:jc w:val="left"/>
              <w:rPr/>
            </w:pPr>
            <w:r>
              <w:rPr/>
              <w:t>Section 7.12   Trustee’s Application for Instructions from the Company</w:t>
            </w:r>
          </w:p>
        </w:tc>
        <w:tc>
          <w:tcPr>
            <w:tcW w:w="275" w:type="dxa"/>
            <w:tcBorders/>
            <w:vAlign w:val="center"/>
          </w:tcPr>
          <w:p>
            <w:pPr>
              <w:pStyle w:val="TableContents"/>
              <w:bidi w:val="0"/>
              <w:spacing w:before="0" w:after="283"/>
              <w:jc w:val="right"/>
              <w:rPr/>
            </w:pPr>
            <w:r>
              <w:rPr/>
              <w:t>55</w:t>
            </w:r>
          </w:p>
        </w:tc>
      </w:tr>
      <w:tr>
        <w:trPr/>
        <w:tc>
          <w:tcPr>
            <w:tcW w:w="9395" w:type="dxa"/>
            <w:tcBorders/>
            <w:vAlign w:val="center"/>
          </w:tcPr>
          <w:p>
            <w:pPr>
              <w:pStyle w:val="TableContents"/>
              <w:bidi w:val="0"/>
              <w:spacing w:before="0" w:after="283"/>
              <w:jc w:val="left"/>
              <w:rPr/>
            </w:pPr>
            <w:r>
              <w:rPr/>
              <w:t>Section 7.13   Subordination Agreement</w:t>
            </w:r>
          </w:p>
        </w:tc>
        <w:tc>
          <w:tcPr>
            <w:tcW w:w="275" w:type="dxa"/>
            <w:tcBorders/>
            <w:vAlign w:val="center"/>
          </w:tcPr>
          <w:p>
            <w:pPr>
              <w:pStyle w:val="TableContents"/>
              <w:bidi w:val="0"/>
              <w:spacing w:before="0" w:after="283"/>
              <w:jc w:val="right"/>
              <w:rPr/>
            </w:pPr>
            <w:r>
              <w:rPr/>
              <w:t>56</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395" w:type="dxa"/>
            <w:tcBorders/>
            <w:vAlign w:val="center"/>
          </w:tcPr>
          <w:p>
            <w:pPr>
              <w:pStyle w:val="TableContents"/>
              <w:bidi w:val="0"/>
              <w:spacing w:before="0" w:after="283"/>
              <w:jc w:val="left"/>
              <w:rPr/>
            </w:pPr>
            <w:r>
              <w:rPr/>
              <w:t>Article 8 CONCERNING THE HOLDERS</w:t>
            </w:r>
          </w:p>
        </w:tc>
        <w:tc>
          <w:tcPr>
            <w:tcW w:w="275" w:type="dxa"/>
            <w:tcBorders/>
            <w:vAlign w:val="center"/>
          </w:tcPr>
          <w:p>
            <w:pPr>
              <w:pStyle w:val="TableContents"/>
              <w:bidi w:val="0"/>
              <w:spacing w:before="0" w:after="283"/>
              <w:jc w:val="right"/>
              <w:rPr/>
            </w:pPr>
            <w:r>
              <w:rPr/>
              <w:t>56</w:t>
            </w:r>
          </w:p>
        </w:tc>
      </w:tr>
      <w:tr>
        <w:trPr/>
        <w:tc>
          <w:tcPr>
            <w:tcW w:w="939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395" w:type="dxa"/>
            <w:tcBorders/>
            <w:vAlign w:val="center"/>
          </w:tcPr>
          <w:p>
            <w:pPr>
              <w:pStyle w:val="TableContents"/>
              <w:bidi w:val="0"/>
              <w:spacing w:before="0" w:after="283"/>
              <w:jc w:val="left"/>
              <w:rPr/>
            </w:pPr>
            <w:r>
              <w:rPr/>
              <w:t>Section 8.01   Action by Holders</w:t>
            </w:r>
          </w:p>
        </w:tc>
        <w:tc>
          <w:tcPr>
            <w:tcW w:w="275" w:type="dxa"/>
            <w:tcBorders/>
            <w:vAlign w:val="center"/>
          </w:tcPr>
          <w:p>
            <w:pPr>
              <w:pStyle w:val="TableContents"/>
              <w:bidi w:val="0"/>
              <w:spacing w:before="0" w:after="283"/>
              <w:jc w:val="right"/>
              <w:rPr/>
            </w:pPr>
            <w:r>
              <w:rPr/>
              <w:t>56</w:t>
            </w:r>
          </w:p>
        </w:tc>
      </w:tr>
      <w:tr>
        <w:trPr/>
        <w:tc>
          <w:tcPr>
            <w:tcW w:w="9395" w:type="dxa"/>
            <w:tcBorders/>
            <w:vAlign w:val="center"/>
          </w:tcPr>
          <w:p>
            <w:pPr>
              <w:pStyle w:val="TableContents"/>
              <w:bidi w:val="0"/>
              <w:spacing w:before="0" w:after="283"/>
              <w:jc w:val="left"/>
              <w:rPr/>
            </w:pPr>
            <w:r>
              <w:rPr/>
              <w:t>Section 8.02   Proof of Execution by Holders</w:t>
            </w:r>
          </w:p>
        </w:tc>
        <w:tc>
          <w:tcPr>
            <w:tcW w:w="275" w:type="dxa"/>
            <w:tcBorders/>
            <w:vAlign w:val="center"/>
          </w:tcPr>
          <w:p>
            <w:pPr>
              <w:pStyle w:val="TableContents"/>
              <w:bidi w:val="0"/>
              <w:spacing w:before="0" w:after="283"/>
              <w:jc w:val="right"/>
              <w:rPr/>
            </w:pPr>
            <w:r>
              <w:rPr/>
              <w:t>56</w:t>
            </w:r>
          </w:p>
        </w:tc>
      </w:tr>
      <w:tr>
        <w:trPr/>
        <w:tc>
          <w:tcPr>
            <w:tcW w:w="9395" w:type="dxa"/>
            <w:tcBorders/>
            <w:vAlign w:val="center"/>
          </w:tcPr>
          <w:p>
            <w:pPr>
              <w:pStyle w:val="TableContents"/>
              <w:bidi w:val="0"/>
              <w:spacing w:before="0" w:after="283"/>
              <w:jc w:val="left"/>
              <w:rPr/>
            </w:pPr>
            <w:r>
              <w:rPr/>
              <w:t>Section 8.03   Who Are Deemed Absolute Owners</w:t>
            </w:r>
          </w:p>
        </w:tc>
        <w:tc>
          <w:tcPr>
            <w:tcW w:w="275" w:type="dxa"/>
            <w:tcBorders/>
            <w:vAlign w:val="center"/>
          </w:tcPr>
          <w:p>
            <w:pPr>
              <w:pStyle w:val="TableContents"/>
              <w:bidi w:val="0"/>
              <w:spacing w:before="0" w:after="283"/>
              <w:jc w:val="right"/>
              <w:rPr/>
            </w:pPr>
            <w:r>
              <w:rPr/>
              <w:t>56</w:t>
            </w:r>
          </w:p>
        </w:tc>
      </w:tr>
      <w:tr>
        <w:trPr/>
        <w:tc>
          <w:tcPr>
            <w:tcW w:w="9395" w:type="dxa"/>
            <w:tcBorders/>
            <w:vAlign w:val="center"/>
          </w:tcPr>
          <w:p>
            <w:pPr>
              <w:pStyle w:val="TableContents"/>
              <w:bidi w:val="0"/>
              <w:spacing w:before="0" w:after="283"/>
              <w:jc w:val="left"/>
              <w:rPr/>
            </w:pPr>
            <w:r>
              <w:rPr/>
              <w:t>Section 8.04   Company-Owned Notes Disregarded</w:t>
            </w:r>
          </w:p>
        </w:tc>
        <w:tc>
          <w:tcPr>
            <w:tcW w:w="275" w:type="dxa"/>
            <w:tcBorders/>
            <w:vAlign w:val="center"/>
          </w:tcPr>
          <w:p>
            <w:pPr>
              <w:pStyle w:val="TableContents"/>
              <w:bidi w:val="0"/>
              <w:spacing w:before="0" w:after="283"/>
              <w:jc w:val="right"/>
              <w:rPr/>
            </w:pPr>
            <w:r>
              <w:rPr/>
              <w:t>57</w:t>
            </w:r>
          </w:p>
        </w:tc>
      </w:tr>
      <w:tr>
        <w:trPr/>
        <w:tc>
          <w:tcPr>
            <w:tcW w:w="9395" w:type="dxa"/>
            <w:tcBorders/>
            <w:vAlign w:val="center"/>
          </w:tcPr>
          <w:p>
            <w:pPr>
              <w:pStyle w:val="TableContents"/>
              <w:bidi w:val="0"/>
              <w:spacing w:before="0" w:after="283"/>
              <w:jc w:val="left"/>
              <w:rPr/>
            </w:pPr>
            <w:r>
              <w:rPr/>
              <w:t>Section 8.05   Revocation of Consents; Future Holders Bound</w:t>
            </w:r>
          </w:p>
        </w:tc>
        <w:tc>
          <w:tcPr>
            <w:tcW w:w="275" w:type="dxa"/>
            <w:tcBorders/>
            <w:vAlign w:val="center"/>
          </w:tcPr>
          <w:p>
            <w:pPr>
              <w:pStyle w:val="TableContents"/>
              <w:bidi w:val="0"/>
              <w:spacing w:before="0" w:after="283"/>
              <w:jc w:val="right"/>
              <w:rPr/>
            </w:pPr>
            <w:r>
              <w:rPr/>
              <w:t>57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r>
              <w:rPr/>
              <w:t>Article 9 HOLDERS’ MEETINGS</w:t>
            </w:r>
          </w:p>
        </w:tc>
        <w:tc>
          <w:tcPr>
            <w:tcW w:w="275" w:type="dxa"/>
            <w:tcBorders/>
            <w:vAlign w:val="center"/>
          </w:tcPr>
          <w:p>
            <w:pPr>
              <w:pStyle w:val="TableContents"/>
              <w:bidi w:val="0"/>
              <w:spacing w:before="0" w:after="283"/>
              <w:jc w:val="right"/>
              <w:rPr/>
            </w:pPr>
            <w:r>
              <w:rPr/>
              <w:t>58</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9.01   Purpose of Meetings</w:t>
            </w:r>
          </w:p>
        </w:tc>
        <w:tc>
          <w:tcPr>
            <w:tcW w:w="275" w:type="dxa"/>
            <w:tcBorders/>
            <w:vAlign w:val="center"/>
          </w:tcPr>
          <w:p>
            <w:pPr>
              <w:pStyle w:val="TableContents"/>
              <w:bidi w:val="0"/>
              <w:spacing w:before="0" w:after="283"/>
              <w:jc w:val="right"/>
              <w:rPr/>
            </w:pPr>
            <w:r>
              <w:rPr/>
              <w:t>58</w:t>
            </w:r>
          </w:p>
        </w:tc>
      </w:tr>
      <w:tr>
        <w:trPr/>
        <w:tc>
          <w:tcPr>
            <w:tcW w:w="9930" w:type="dxa"/>
            <w:tcBorders/>
            <w:vAlign w:val="center"/>
          </w:tcPr>
          <w:p>
            <w:pPr>
              <w:pStyle w:val="TableContents"/>
              <w:bidi w:val="0"/>
              <w:spacing w:before="0" w:after="283"/>
              <w:jc w:val="left"/>
              <w:rPr/>
            </w:pPr>
            <w:r>
              <w:rPr/>
              <w:t>Section 9.02   Call of Meetings by Trustee</w:t>
            </w:r>
          </w:p>
        </w:tc>
        <w:tc>
          <w:tcPr>
            <w:tcW w:w="275" w:type="dxa"/>
            <w:tcBorders/>
            <w:vAlign w:val="center"/>
          </w:tcPr>
          <w:p>
            <w:pPr>
              <w:pStyle w:val="TableContents"/>
              <w:bidi w:val="0"/>
              <w:spacing w:before="0" w:after="283"/>
              <w:jc w:val="right"/>
              <w:rPr/>
            </w:pPr>
            <w:r>
              <w:rPr/>
              <w:t>58</w:t>
            </w:r>
          </w:p>
        </w:tc>
      </w:tr>
      <w:tr>
        <w:trPr/>
        <w:tc>
          <w:tcPr>
            <w:tcW w:w="9930" w:type="dxa"/>
            <w:tcBorders/>
            <w:vAlign w:val="center"/>
          </w:tcPr>
          <w:p>
            <w:pPr>
              <w:pStyle w:val="TableContents"/>
              <w:bidi w:val="0"/>
              <w:spacing w:before="0" w:after="283"/>
              <w:jc w:val="left"/>
              <w:rPr/>
            </w:pPr>
            <w:r>
              <w:rPr/>
              <w:t>Section 9.03   Call of Meetings by Company or Holders</w:t>
            </w:r>
          </w:p>
        </w:tc>
        <w:tc>
          <w:tcPr>
            <w:tcW w:w="275" w:type="dxa"/>
            <w:tcBorders/>
            <w:vAlign w:val="center"/>
          </w:tcPr>
          <w:p>
            <w:pPr>
              <w:pStyle w:val="TableContents"/>
              <w:bidi w:val="0"/>
              <w:spacing w:before="0" w:after="283"/>
              <w:jc w:val="right"/>
              <w:rPr/>
            </w:pPr>
            <w:r>
              <w:rPr/>
              <w:t>58</w:t>
            </w:r>
          </w:p>
        </w:tc>
      </w:tr>
      <w:tr>
        <w:trPr/>
        <w:tc>
          <w:tcPr>
            <w:tcW w:w="9930" w:type="dxa"/>
            <w:tcBorders/>
            <w:vAlign w:val="center"/>
          </w:tcPr>
          <w:p>
            <w:pPr>
              <w:pStyle w:val="TableContents"/>
              <w:bidi w:val="0"/>
              <w:spacing w:before="0" w:after="283"/>
              <w:jc w:val="left"/>
              <w:rPr/>
            </w:pPr>
            <w:r>
              <w:rPr/>
              <w:t>Section 9.04   Qualifications for Voting</w:t>
            </w:r>
          </w:p>
        </w:tc>
        <w:tc>
          <w:tcPr>
            <w:tcW w:w="275" w:type="dxa"/>
            <w:tcBorders/>
            <w:vAlign w:val="center"/>
          </w:tcPr>
          <w:p>
            <w:pPr>
              <w:pStyle w:val="TableContents"/>
              <w:bidi w:val="0"/>
              <w:spacing w:before="0" w:after="283"/>
              <w:jc w:val="right"/>
              <w:rPr/>
            </w:pPr>
            <w:r>
              <w:rPr/>
              <w:t>58</w:t>
            </w:r>
          </w:p>
        </w:tc>
      </w:tr>
      <w:tr>
        <w:trPr/>
        <w:tc>
          <w:tcPr>
            <w:tcW w:w="9930" w:type="dxa"/>
            <w:tcBorders/>
            <w:vAlign w:val="center"/>
          </w:tcPr>
          <w:p>
            <w:pPr>
              <w:pStyle w:val="TableContents"/>
              <w:bidi w:val="0"/>
              <w:spacing w:before="0" w:after="283"/>
              <w:jc w:val="left"/>
              <w:rPr/>
            </w:pPr>
            <w:r>
              <w:rPr/>
              <w:t>Section 9.05   Regulations</w:t>
            </w:r>
          </w:p>
        </w:tc>
        <w:tc>
          <w:tcPr>
            <w:tcW w:w="275" w:type="dxa"/>
            <w:tcBorders/>
            <w:vAlign w:val="center"/>
          </w:tcPr>
          <w:p>
            <w:pPr>
              <w:pStyle w:val="TableContents"/>
              <w:bidi w:val="0"/>
              <w:spacing w:before="0" w:after="283"/>
              <w:jc w:val="right"/>
              <w:rPr/>
            </w:pPr>
            <w:r>
              <w:rPr/>
              <w:t>59</w:t>
            </w:r>
          </w:p>
        </w:tc>
      </w:tr>
      <w:tr>
        <w:trPr/>
        <w:tc>
          <w:tcPr>
            <w:tcW w:w="9930" w:type="dxa"/>
            <w:tcBorders/>
            <w:vAlign w:val="center"/>
          </w:tcPr>
          <w:p>
            <w:pPr>
              <w:pStyle w:val="TableContents"/>
              <w:bidi w:val="0"/>
              <w:spacing w:before="0" w:after="283"/>
              <w:jc w:val="left"/>
              <w:rPr/>
            </w:pPr>
            <w:r>
              <w:rPr/>
              <w:t>Section 9.06   Voting</w:t>
            </w:r>
          </w:p>
        </w:tc>
        <w:tc>
          <w:tcPr>
            <w:tcW w:w="275" w:type="dxa"/>
            <w:tcBorders/>
            <w:vAlign w:val="center"/>
          </w:tcPr>
          <w:p>
            <w:pPr>
              <w:pStyle w:val="TableContents"/>
              <w:bidi w:val="0"/>
              <w:spacing w:before="0" w:after="283"/>
              <w:jc w:val="right"/>
              <w:rPr/>
            </w:pPr>
            <w:r>
              <w:rPr/>
              <w:t>59</w:t>
            </w:r>
          </w:p>
        </w:tc>
      </w:tr>
      <w:tr>
        <w:trPr/>
        <w:tc>
          <w:tcPr>
            <w:tcW w:w="9930" w:type="dxa"/>
            <w:tcBorders/>
            <w:vAlign w:val="center"/>
          </w:tcPr>
          <w:p>
            <w:pPr>
              <w:pStyle w:val="TableContents"/>
              <w:bidi w:val="0"/>
              <w:spacing w:before="0" w:after="283"/>
              <w:jc w:val="left"/>
              <w:rPr/>
            </w:pPr>
            <w:r>
              <w:rPr/>
              <w:t>Section 9.07   No Delay of Rights by Meeting</w:t>
            </w:r>
          </w:p>
        </w:tc>
        <w:tc>
          <w:tcPr>
            <w:tcW w:w="275" w:type="dxa"/>
            <w:tcBorders/>
            <w:vAlign w:val="center"/>
          </w:tcPr>
          <w:p>
            <w:pPr>
              <w:pStyle w:val="TableContents"/>
              <w:bidi w:val="0"/>
              <w:spacing w:before="0" w:after="283"/>
              <w:jc w:val="right"/>
              <w:rPr/>
            </w:pPr>
            <w:r>
              <w:rPr/>
              <w:t>60</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10 SUPPLEMENTAL INDENTURES</w:t>
            </w:r>
          </w:p>
        </w:tc>
        <w:tc>
          <w:tcPr>
            <w:tcW w:w="275" w:type="dxa"/>
            <w:tcBorders/>
            <w:vAlign w:val="center"/>
          </w:tcPr>
          <w:p>
            <w:pPr>
              <w:pStyle w:val="TableContents"/>
              <w:bidi w:val="0"/>
              <w:spacing w:before="0" w:after="283"/>
              <w:jc w:val="right"/>
              <w:rPr/>
            </w:pPr>
            <w:r>
              <w:rPr/>
              <w:t>60</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10.01   Supplemental Indentures Without Consent of Holders</w:t>
            </w:r>
          </w:p>
        </w:tc>
        <w:tc>
          <w:tcPr>
            <w:tcW w:w="275" w:type="dxa"/>
            <w:tcBorders/>
            <w:vAlign w:val="center"/>
          </w:tcPr>
          <w:p>
            <w:pPr>
              <w:pStyle w:val="TableContents"/>
              <w:bidi w:val="0"/>
              <w:spacing w:before="0" w:after="283"/>
              <w:jc w:val="right"/>
              <w:rPr/>
            </w:pPr>
            <w:r>
              <w:rPr/>
              <w:t>60</w:t>
            </w:r>
          </w:p>
        </w:tc>
      </w:tr>
      <w:tr>
        <w:trPr/>
        <w:tc>
          <w:tcPr>
            <w:tcW w:w="9930" w:type="dxa"/>
            <w:tcBorders/>
            <w:vAlign w:val="center"/>
          </w:tcPr>
          <w:p>
            <w:pPr>
              <w:pStyle w:val="TableContents"/>
              <w:bidi w:val="0"/>
              <w:spacing w:before="0" w:after="283"/>
              <w:jc w:val="left"/>
              <w:rPr/>
            </w:pPr>
            <w:r>
              <w:rPr/>
              <w:t>Section 10.02   Supplemental Indentures with Consent of Holders</w:t>
            </w:r>
          </w:p>
        </w:tc>
        <w:tc>
          <w:tcPr>
            <w:tcW w:w="275" w:type="dxa"/>
            <w:tcBorders/>
            <w:vAlign w:val="center"/>
          </w:tcPr>
          <w:p>
            <w:pPr>
              <w:pStyle w:val="TableContents"/>
              <w:bidi w:val="0"/>
              <w:spacing w:before="0" w:after="283"/>
              <w:jc w:val="right"/>
              <w:rPr/>
            </w:pPr>
            <w:r>
              <w:rPr/>
              <w:t>61</w:t>
            </w:r>
          </w:p>
        </w:tc>
      </w:tr>
      <w:tr>
        <w:trPr/>
        <w:tc>
          <w:tcPr>
            <w:tcW w:w="9930" w:type="dxa"/>
            <w:tcBorders/>
            <w:vAlign w:val="center"/>
          </w:tcPr>
          <w:p>
            <w:pPr>
              <w:pStyle w:val="TableContents"/>
              <w:bidi w:val="0"/>
              <w:spacing w:before="0" w:after="283"/>
              <w:jc w:val="left"/>
              <w:rPr/>
            </w:pPr>
            <w:r>
              <w:rPr/>
              <w:t>Section 10.03   Effect of Supplemental Indentures</w:t>
            </w:r>
          </w:p>
        </w:tc>
        <w:tc>
          <w:tcPr>
            <w:tcW w:w="275" w:type="dxa"/>
            <w:tcBorders/>
            <w:vAlign w:val="center"/>
          </w:tcPr>
          <w:p>
            <w:pPr>
              <w:pStyle w:val="TableContents"/>
              <w:bidi w:val="0"/>
              <w:spacing w:before="0" w:after="283"/>
              <w:jc w:val="right"/>
              <w:rPr/>
            </w:pPr>
            <w:r>
              <w:rPr/>
              <w:t>62</w:t>
            </w:r>
          </w:p>
        </w:tc>
      </w:tr>
      <w:tr>
        <w:trPr/>
        <w:tc>
          <w:tcPr>
            <w:tcW w:w="9930" w:type="dxa"/>
            <w:tcBorders/>
            <w:vAlign w:val="center"/>
          </w:tcPr>
          <w:p>
            <w:pPr>
              <w:pStyle w:val="TableContents"/>
              <w:bidi w:val="0"/>
              <w:spacing w:before="0" w:after="283"/>
              <w:jc w:val="left"/>
              <w:rPr/>
            </w:pPr>
            <w:r>
              <w:rPr/>
              <w:t>Section 10.04   Notation on Notes</w:t>
            </w:r>
          </w:p>
        </w:tc>
        <w:tc>
          <w:tcPr>
            <w:tcW w:w="275" w:type="dxa"/>
            <w:tcBorders/>
            <w:vAlign w:val="center"/>
          </w:tcPr>
          <w:p>
            <w:pPr>
              <w:pStyle w:val="TableContents"/>
              <w:bidi w:val="0"/>
              <w:spacing w:before="0" w:after="283"/>
              <w:jc w:val="right"/>
              <w:rPr/>
            </w:pPr>
            <w:r>
              <w:rPr/>
              <w:t>62</w:t>
            </w:r>
          </w:p>
        </w:tc>
      </w:tr>
      <w:tr>
        <w:trPr/>
        <w:tc>
          <w:tcPr>
            <w:tcW w:w="9930" w:type="dxa"/>
            <w:tcBorders/>
            <w:vAlign w:val="center"/>
          </w:tcPr>
          <w:p>
            <w:pPr>
              <w:pStyle w:val="TableContents"/>
              <w:bidi w:val="0"/>
              <w:spacing w:before="0" w:after="283"/>
              <w:jc w:val="left"/>
              <w:rPr/>
            </w:pPr>
            <w:r>
              <w:rPr/>
              <w:t>Section 10.05   Evidence of Compliance of Supplemental Indenture to Be Furnished Trustee</w:t>
            </w:r>
          </w:p>
        </w:tc>
        <w:tc>
          <w:tcPr>
            <w:tcW w:w="275" w:type="dxa"/>
            <w:tcBorders/>
            <w:vAlign w:val="center"/>
          </w:tcPr>
          <w:p>
            <w:pPr>
              <w:pStyle w:val="TableContents"/>
              <w:bidi w:val="0"/>
              <w:spacing w:before="0" w:after="283"/>
              <w:jc w:val="right"/>
              <w:rPr/>
            </w:pPr>
            <w:r>
              <w:rPr/>
              <w:t>63</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11 CONSOLIDATION, MERGER, SALE, CONVEYANCE AND LEASE</w:t>
            </w:r>
          </w:p>
        </w:tc>
        <w:tc>
          <w:tcPr>
            <w:tcW w:w="275" w:type="dxa"/>
            <w:tcBorders/>
            <w:vAlign w:val="center"/>
          </w:tcPr>
          <w:p>
            <w:pPr>
              <w:pStyle w:val="TableContents"/>
              <w:bidi w:val="0"/>
              <w:spacing w:before="0" w:after="283"/>
              <w:jc w:val="right"/>
              <w:rPr/>
            </w:pPr>
            <w:r>
              <w:rPr/>
              <w:t>63</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11.01   Company May Consolidate, Etc. on Certain Terms</w:t>
            </w:r>
          </w:p>
        </w:tc>
        <w:tc>
          <w:tcPr>
            <w:tcW w:w="275" w:type="dxa"/>
            <w:tcBorders/>
            <w:vAlign w:val="center"/>
          </w:tcPr>
          <w:p>
            <w:pPr>
              <w:pStyle w:val="TableContents"/>
              <w:bidi w:val="0"/>
              <w:spacing w:before="0" w:after="283"/>
              <w:jc w:val="right"/>
              <w:rPr/>
            </w:pPr>
            <w:r>
              <w:rPr/>
              <w:t>63</w:t>
            </w:r>
          </w:p>
        </w:tc>
      </w:tr>
      <w:tr>
        <w:trPr/>
        <w:tc>
          <w:tcPr>
            <w:tcW w:w="9930" w:type="dxa"/>
            <w:tcBorders/>
            <w:vAlign w:val="center"/>
          </w:tcPr>
          <w:p>
            <w:pPr>
              <w:pStyle w:val="TableContents"/>
              <w:bidi w:val="0"/>
              <w:spacing w:before="0" w:after="283"/>
              <w:jc w:val="left"/>
              <w:rPr/>
            </w:pPr>
            <w:r>
              <w:rPr/>
              <w:t>Section 11.02   Successor Corporation to Be Substituted</w:t>
            </w:r>
          </w:p>
        </w:tc>
        <w:tc>
          <w:tcPr>
            <w:tcW w:w="275" w:type="dxa"/>
            <w:tcBorders/>
            <w:vAlign w:val="center"/>
          </w:tcPr>
          <w:p>
            <w:pPr>
              <w:pStyle w:val="TableContents"/>
              <w:bidi w:val="0"/>
              <w:spacing w:before="0" w:after="283"/>
              <w:jc w:val="right"/>
              <w:rPr/>
            </w:pPr>
            <w:r>
              <w:rPr/>
              <w:t>64</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12 IMMUNITY OF INCORPORATORS, STOCKHOLDERS, OFFICERS AND DIRECTORS</w:t>
            </w:r>
          </w:p>
        </w:tc>
        <w:tc>
          <w:tcPr>
            <w:tcW w:w="275" w:type="dxa"/>
            <w:tcBorders/>
            <w:vAlign w:val="center"/>
          </w:tcPr>
          <w:p>
            <w:pPr>
              <w:pStyle w:val="TableContents"/>
              <w:bidi w:val="0"/>
              <w:spacing w:before="0" w:after="283"/>
              <w:jc w:val="right"/>
              <w:rPr/>
            </w:pPr>
            <w:r>
              <w:rPr/>
              <w:t>64</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12.01   Indenture, Notes and Note Guarantees Solely Corporate Obligations</w:t>
            </w:r>
          </w:p>
        </w:tc>
        <w:tc>
          <w:tcPr>
            <w:tcW w:w="275" w:type="dxa"/>
            <w:tcBorders/>
            <w:vAlign w:val="center"/>
          </w:tcPr>
          <w:p>
            <w:pPr>
              <w:pStyle w:val="TableContents"/>
              <w:bidi w:val="0"/>
              <w:spacing w:before="0" w:after="283"/>
              <w:jc w:val="right"/>
              <w:rPr/>
            </w:pPr>
            <w:r>
              <w:rPr/>
              <w:t>64</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13 Guarantees</w:t>
            </w:r>
          </w:p>
        </w:tc>
        <w:tc>
          <w:tcPr>
            <w:tcW w:w="275" w:type="dxa"/>
            <w:tcBorders/>
            <w:vAlign w:val="center"/>
          </w:tcPr>
          <w:p>
            <w:pPr>
              <w:pStyle w:val="TableContents"/>
              <w:bidi w:val="0"/>
              <w:spacing w:before="0" w:after="283"/>
              <w:jc w:val="right"/>
              <w:rPr/>
            </w:pPr>
            <w:r>
              <w:rPr/>
              <w:t>65</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13.01   Guarantees</w:t>
            </w:r>
          </w:p>
        </w:tc>
        <w:tc>
          <w:tcPr>
            <w:tcW w:w="275" w:type="dxa"/>
            <w:tcBorders/>
            <w:vAlign w:val="center"/>
          </w:tcPr>
          <w:p>
            <w:pPr>
              <w:pStyle w:val="TableContents"/>
              <w:bidi w:val="0"/>
              <w:spacing w:before="0" w:after="283"/>
              <w:jc w:val="right"/>
              <w:rPr/>
            </w:pPr>
            <w:r>
              <w:rPr/>
              <w:t>65</w:t>
            </w:r>
          </w:p>
        </w:tc>
      </w:tr>
      <w:tr>
        <w:trPr/>
        <w:tc>
          <w:tcPr>
            <w:tcW w:w="9930" w:type="dxa"/>
            <w:tcBorders/>
            <w:vAlign w:val="center"/>
          </w:tcPr>
          <w:p>
            <w:pPr>
              <w:pStyle w:val="TableContents"/>
              <w:bidi w:val="0"/>
              <w:spacing w:before="0" w:after="283"/>
              <w:jc w:val="left"/>
              <w:rPr/>
            </w:pPr>
            <w:r>
              <w:rPr/>
              <w:t>Section 13.02   No Subrogation</w:t>
            </w:r>
          </w:p>
        </w:tc>
        <w:tc>
          <w:tcPr>
            <w:tcW w:w="275" w:type="dxa"/>
            <w:tcBorders/>
            <w:vAlign w:val="center"/>
          </w:tcPr>
          <w:p>
            <w:pPr>
              <w:pStyle w:val="TableContents"/>
              <w:bidi w:val="0"/>
              <w:spacing w:before="0" w:after="283"/>
              <w:jc w:val="right"/>
              <w:rPr/>
            </w:pPr>
            <w:r>
              <w:rPr/>
              <w:t>66</w:t>
            </w:r>
          </w:p>
        </w:tc>
      </w:tr>
      <w:tr>
        <w:trPr/>
        <w:tc>
          <w:tcPr>
            <w:tcW w:w="9930" w:type="dxa"/>
            <w:tcBorders/>
            <w:vAlign w:val="center"/>
          </w:tcPr>
          <w:p>
            <w:pPr>
              <w:pStyle w:val="TableContents"/>
              <w:bidi w:val="0"/>
              <w:spacing w:before="0" w:after="283"/>
              <w:jc w:val="left"/>
              <w:rPr/>
            </w:pPr>
            <w:r>
              <w:rPr/>
              <w:t>Section 13.03   Consideration</w:t>
            </w:r>
          </w:p>
        </w:tc>
        <w:tc>
          <w:tcPr>
            <w:tcW w:w="275" w:type="dxa"/>
            <w:tcBorders/>
            <w:vAlign w:val="center"/>
          </w:tcPr>
          <w:p>
            <w:pPr>
              <w:pStyle w:val="TableContents"/>
              <w:bidi w:val="0"/>
              <w:spacing w:before="0" w:after="283"/>
              <w:jc w:val="right"/>
              <w:rPr/>
            </w:pPr>
            <w:r>
              <w:rPr/>
              <w:t>66</w:t>
            </w:r>
          </w:p>
        </w:tc>
      </w:tr>
      <w:tr>
        <w:trPr/>
        <w:tc>
          <w:tcPr>
            <w:tcW w:w="9930" w:type="dxa"/>
            <w:tcBorders/>
            <w:vAlign w:val="center"/>
          </w:tcPr>
          <w:p>
            <w:pPr>
              <w:pStyle w:val="TableContents"/>
              <w:bidi w:val="0"/>
              <w:spacing w:before="0" w:after="283"/>
              <w:jc w:val="left"/>
              <w:rPr/>
            </w:pPr>
            <w:r>
              <w:rPr/>
              <w:t>Section 13.04   Limitation on Guarantor Liability</w:t>
            </w:r>
          </w:p>
        </w:tc>
        <w:tc>
          <w:tcPr>
            <w:tcW w:w="275" w:type="dxa"/>
            <w:tcBorders/>
            <w:vAlign w:val="center"/>
          </w:tcPr>
          <w:p>
            <w:pPr>
              <w:pStyle w:val="TableContents"/>
              <w:bidi w:val="0"/>
              <w:spacing w:before="0" w:after="283"/>
              <w:jc w:val="right"/>
              <w:rPr/>
            </w:pPr>
            <w:r>
              <w:rPr/>
              <w:t>67</w:t>
            </w:r>
          </w:p>
        </w:tc>
      </w:tr>
      <w:tr>
        <w:trPr/>
        <w:tc>
          <w:tcPr>
            <w:tcW w:w="9930" w:type="dxa"/>
            <w:tcBorders/>
            <w:vAlign w:val="center"/>
          </w:tcPr>
          <w:p>
            <w:pPr>
              <w:pStyle w:val="TableContents"/>
              <w:bidi w:val="0"/>
              <w:spacing w:before="0" w:after="283"/>
              <w:jc w:val="left"/>
              <w:rPr/>
            </w:pPr>
            <w:r>
              <w:rPr/>
              <w:t>Section 13.05   Execution and Delivery</w:t>
            </w:r>
          </w:p>
        </w:tc>
        <w:tc>
          <w:tcPr>
            <w:tcW w:w="275" w:type="dxa"/>
            <w:tcBorders/>
            <w:vAlign w:val="center"/>
          </w:tcPr>
          <w:p>
            <w:pPr>
              <w:pStyle w:val="TableContents"/>
              <w:bidi w:val="0"/>
              <w:spacing w:before="0" w:after="283"/>
              <w:jc w:val="right"/>
              <w:rPr/>
            </w:pPr>
            <w:r>
              <w:rPr/>
              <w:t>67</w:t>
            </w:r>
          </w:p>
        </w:tc>
      </w:tr>
      <w:tr>
        <w:trPr/>
        <w:tc>
          <w:tcPr>
            <w:tcW w:w="9930" w:type="dxa"/>
            <w:tcBorders/>
            <w:vAlign w:val="center"/>
          </w:tcPr>
          <w:p>
            <w:pPr>
              <w:pStyle w:val="TableContents"/>
              <w:bidi w:val="0"/>
              <w:spacing w:before="0" w:after="283"/>
              <w:jc w:val="left"/>
              <w:rPr/>
            </w:pPr>
            <w:r>
              <w:rPr/>
              <w:t>Section 13.06   Release of Guarantors</w:t>
            </w:r>
          </w:p>
        </w:tc>
        <w:tc>
          <w:tcPr>
            <w:tcW w:w="275" w:type="dxa"/>
            <w:tcBorders/>
            <w:vAlign w:val="center"/>
          </w:tcPr>
          <w:p>
            <w:pPr>
              <w:pStyle w:val="TableContents"/>
              <w:bidi w:val="0"/>
              <w:spacing w:before="0" w:after="283"/>
              <w:jc w:val="right"/>
              <w:rPr/>
            </w:pPr>
            <w:r>
              <w:rPr/>
              <w:t>68</w:t>
            </w:r>
          </w:p>
        </w:tc>
      </w:tr>
      <w:tr>
        <w:trPr/>
        <w:tc>
          <w:tcPr>
            <w:tcW w:w="9930" w:type="dxa"/>
            <w:tcBorders/>
            <w:vAlign w:val="center"/>
          </w:tcPr>
          <w:p>
            <w:pPr>
              <w:pStyle w:val="TableContents"/>
              <w:bidi w:val="0"/>
              <w:spacing w:before="0" w:after="283"/>
              <w:jc w:val="left"/>
              <w:rPr/>
            </w:pPr>
            <w:r>
              <w:rPr/>
              <w:t>Section 13.07   Future Guarantors</w:t>
            </w:r>
          </w:p>
        </w:tc>
        <w:tc>
          <w:tcPr>
            <w:tcW w:w="275" w:type="dxa"/>
            <w:tcBorders/>
            <w:vAlign w:val="center"/>
          </w:tcPr>
          <w:p>
            <w:pPr>
              <w:pStyle w:val="TableContents"/>
              <w:bidi w:val="0"/>
              <w:spacing w:before="0" w:after="283"/>
              <w:jc w:val="right"/>
              <w:rPr/>
            </w:pPr>
            <w:r>
              <w:rPr/>
              <w:t>68</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14 CONVERSION OF NOTES</w:t>
            </w:r>
          </w:p>
        </w:tc>
        <w:tc>
          <w:tcPr>
            <w:tcW w:w="275" w:type="dxa"/>
            <w:tcBorders/>
            <w:vAlign w:val="center"/>
          </w:tcPr>
          <w:p>
            <w:pPr>
              <w:pStyle w:val="TableContents"/>
              <w:bidi w:val="0"/>
              <w:spacing w:before="0" w:after="283"/>
              <w:jc w:val="right"/>
              <w:rPr/>
            </w:pPr>
            <w:r>
              <w:rPr/>
              <w:t>68</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14.01   Conversion Privilege and Price</w:t>
            </w:r>
          </w:p>
        </w:tc>
        <w:tc>
          <w:tcPr>
            <w:tcW w:w="275" w:type="dxa"/>
            <w:tcBorders/>
            <w:vAlign w:val="center"/>
          </w:tcPr>
          <w:p>
            <w:pPr>
              <w:pStyle w:val="TableContents"/>
              <w:bidi w:val="0"/>
              <w:spacing w:before="0" w:after="283"/>
              <w:jc w:val="right"/>
              <w:rPr/>
            </w:pPr>
            <w:r>
              <w:rPr/>
              <w:t>68</w:t>
            </w:r>
          </w:p>
        </w:tc>
      </w:tr>
      <w:tr>
        <w:trPr/>
        <w:tc>
          <w:tcPr>
            <w:tcW w:w="9930" w:type="dxa"/>
            <w:tcBorders/>
            <w:vAlign w:val="center"/>
          </w:tcPr>
          <w:p>
            <w:pPr>
              <w:pStyle w:val="TableContents"/>
              <w:bidi w:val="0"/>
              <w:spacing w:before="0" w:after="283"/>
              <w:jc w:val="left"/>
              <w:rPr/>
            </w:pPr>
            <w:r>
              <w:rPr/>
              <w:t>Section 14.02   Conversion Procedure; Physical Settlement Upon Conversion</w:t>
            </w:r>
          </w:p>
        </w:tc>
        <w:tc>
          <w:tcPr>
            <w:tcW w:w="275" w:type="dxa"/>
            <w:tcBorders/>
            <w:vAlign w:val="center"/>
          </w:tcPr>
          <w:p>
            <w:pPr>
              <w:pStyle w:val="TableContents"/>
              <w:bidi w:val="0"/>
              <w:spacing w:before="0" w:after="283"/>
              <w:jc w:val="right"/>
              <w:rPr/>
            </w:pPr>
            <w:r>
              <w:rPr/>
              <w:t>71</w:t>
            </w:r>
          </w:p>
        </w:tc>
      </w:tr>
      <w:tr>
        <w:trPr/>
        <w:tc>
          <w:tcPr>
            <w:tcW w:w="9930" w:type="dxa"/>
            <w:tcBorders/>
            <w:vAlign w:val="center"/>
          </w:tcPr>
          <w:p>
            <w:pPr>
              <w:pStyle w:val="TableContents"/>
              <w:bidi w:val="0"/>
              <w:spacing w:before="0" w:after="283"/>
              <w:jc w:val="left"/>
              <w:rPr/>
            </w:pPr>
            <w:r>
              <w:rPr/>
              <w:t>Section 14.03   [Reserved]</w:t>
            </w:r>
          </w:p>
        </w:tc>
        <w:tc>
          <w:tcPr>
            <w:tcW w:w="275" w:type="dxa"/>
            <w:tcBorders/>
            <w:vAlign w:val="center"/>
          </w:tcPr>
          <w:p>
            <w:pPr>
              <w:pStyle w:val="TableContents"/>
              <w:bidi w:val="0"/>
              <w:spacing w:before="0" w:after="283"/>
              <w:jc w:val="right"/>
              <w:rPr/>
            </w:pPr>
            <w:r>
              <w:rPr/>
              <w:t>73</w:t>
            </w:r>
          </w:p>
        </w:tc>
      </w:tr>
      <w:tr>
        <w:trPr/>
        <w:tc>
          <w:tcPr>
            <w:tcW w:w="9930" w:type="dxa"/>
            <w:tcBorders/>
            <w:vAlign w:val="center"/>
          </w:tcPr>
          <w:p>
            <w:pPr>
              <w:pStyle w:val="TableContents"/>
              <w:bidi w:val="0"/>
              <w:spacing w:before="0" w:after="283"/>
              <w:jc w:val="left"/>
              <w:rPr/>
            </w:pPr>
            <w:r>
              <w:rPr/>
              <w:t>Section 14.04   Adjustment of Conversion Rate</w:t>
            </w:r>
          </w:p>
        </w:tc>
        <w:tc>
          <w:tcPr>
            <w:tcW w:w="275" w:type="dxa"/>
            <w:tcBorders/>
            <w:vAlign w:val="center"/>
          </w:tcPr>
          <w:p>
            <w:pPr>
              <w:pStyle w:val="TableContents"/>
              <w:bidi w:val="0"/>
              <w:spacing w:before="0" w:after="283"/>
              <w:jc w:val="right"/>
              <w:rPr/>
            </w:pPr>
            <w:r>
              <w:rPr/>
              <w:t>74</w:t>
            </w:r>
          </w:p>
        </w:tc>
      </w:tr>
      <w:tr>
        <w:trPr/>
        <w:tc>
          <w:tcPr>
            <w:tcW w:w="9930" w:type="dxa"/>
            <w:tcBorders/>
            <w:vAlign w:val="center"/>
          </w:tcPr>
          <w:p>
            <w:pPr>
              <w:pStyle w:val="TableContents"/>
              <w:bidi w:val="0"/>
              <w:spacing w:before="0" w:after="283"/>
              <w:jc w:val="left"/>
              <w:rPr/>
            </w:pPr>
            <w:r>
              <w:rPr/>
              <w:t>Section 14.05   Adjustments of Prices</w:t>
            </w:r>
          </w:p>
        </w:tc>
        <w:tc>
          <w:tcPr>
            <w:tcW w:w="275" w:type="dxa"/>
            <w:tcBorders/>
            <w:vAlign w:val="center"/>
          </w:tcPr>
          <w:p>
            <w:pPr>
              <w:pStyle w:val="TableContents"/>
              <w:bidi w:val="0"/>
              <w:spacing w:before="0" w:after="283"/>
              <w:jc w:val="right"/>
              <w:rPr/>
            </w:pPr>
            <w:r>
              <w:rPr/>
              <w:t>82</w:t>
            </w:r>
          </w:p>
        </w:tc>
      </w:tr>
      <w:tr>
        <w:trPr/>
        <w:tc>
          <w:tcPr>
            <w:tcW w:w="9930" w:type="dxa"/>
            <w:tcBorders/>
            <w:vAlign w:val="center"/>
          </w:tcPr>
          <w:p>
            <w:pPr>
              <w:pStyle w:val="TableContents"/>
              <w:bidi w:val="0"/>
              <w:spacing w:before="0" w:after="283"/>
              <w:jc w:val="left"/>
              <w:rPr/>
            </w:pPr>
            <w:r>
              <w:rPr/>
              <w:t>Section 14.06   Shares to Be Fully Paid</w:t>
            </w:r>
          </w:p>
        </w:tc>
        <w:tc>
          <w:tcPr>
            <w:tcW w:w="275" w:type="dxa"/>
            <w:tcBorders/>
            <w:vAlign w:val="center"/>
          </w:tcPr>
          <w:p>
            <w:pPr>
              <w:pStyle w:val="TableContents"/>
              <w:bidi w:val="0"/>
              <w:spacing w:before="0" w:after="283"/>
              <w:jc w:val="right"/>
              <w:rPr/>
            </w:pPr>
            <w:r>
              <w:rPr/>
              <w:t>83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r>
              <w:rPr/>
              <w:t>Section 14.07   Effect of Recapitalizations, Reclassifications and Changes of the Common Stock</w:t>
            </w:r>
          </w:p>
        </w:tc>
        <w:tc>
          <w:tcPr>
            <w:tcW w:w="275" w:type="dxa"/>
            <w:tcBorders/>
            <w:vAlign w:val="center"/>
          </w:tcPr>
          <w:p>
            <w:pPr>
              <w:pStyle w:val="TableContents"/>
              <w:bidi w:val="0"/>
              <w:spacing w:before="0" w:after="283"/>
              <w:jc w:val="right"/>
              <w:rPr/>
            </w:pPr>
            <w:r>
              <w:rPr/>
              <w:t>83</w:t>
            </w:r>
          </w:p>
        </w:tc>
      </w:tr>
      <w:tr>
        <w:trPr/>
        <w:tc>
          <w:tcPr>
            <w:tcW w:w="9930" w:type="dxa"/>
            <w:tcBorders/>
            <w:vAlign w:val="center"/>
          </w:tcPr>
          <w:p>
            <w:pPr>
              <w:pStyle w:val="TableContents"/>
              <w:bidi w:val="0"/>
              <w:spacing w:before="0" w:after="283"/>
              <w:jc w:val="left"/>
              <w:rPr/>
            </w:pPr>
            <w:r>
              <w:rPr/>
              <w:t>Section 14.08   Certain Covenants</w:t>
            </w:r>
          </w:p>
        </w:tc>
        <w:tc>
          <w:tcPr>
            <w:tcW w:w="275" w:type="dxa"/>
            <w:tcBorders/>
            <w:vAlign w:val="center"/>
          </w:tcPr>
          <w:p>
            <w:pPr>
              <w:pStyle w:val="TableContents"/>
              <w:bidi w:val="0"/>
              <w:spacing w:before="0" w:after="283"/>
              <w:jc w:val="right"/>
              <w:rPr/>
            </w:pPr>
            <w:r>
              <w:rPr/>
              <w:t>85</w:t>
            </w:r>
          </w:p>
        </w:tc>
      </w:tr>
      <w:tr>
        <w:trPr/>
        <w:tc>
          <w:tcPr>
            <w:tcW w:w="9930" w:type="dxa"/>
            <w:tcBorders/>
            <w:vAlign w:val="center"/>
          </w:tcPr>
          <w:p>
            <w:pPr>
              <w:pStyle w:val="TableContents"/>
              <w:bidi w:val="0"/>
              <w:spacing w:before="0" w:after="283"/>
              <w:jc w:val="left"/>
              <w:rPr/>
            </w:pPr>
            <w:r>
              <w:rPr/>
              <w:t>Section 14.09   Responsibility of Trustee</w:t>
            </w:r>
          </w:p>
        </w:tc>
        <w:tc>
          <w:tcPr>
            <w:tcW w:w="275" w:type="dxa"/>
            <w:tcBorders/>
            <w:vAlign w:val="center"/>
          </w:tcPr>
          <w:p>
            <w:pPr>
              <w:pStyle w:val="TableContents"/>
              <w:bidi w:val="0"/>
              <w:spacing w:before="0" w:after="283"/>
              <w:jc w:val="right"/>
              <w:rPr/>
            </w:pPr>
            <w:r>
              <w:rPr/>
              <w:t>85</w:t>
            </w:r>
          </w:p>
        </w:tc>
      </w:tr>
      <w:tr>
        <w:trPr/>
        <w:tc>
          <w:tcPr>
            <w:tcW w:w="9930" w:type="dxa"/>
            <w:tcBorders/>
            <w:vAlign w:val="center"/>
          </w:tcPr>
          <w:p>
            <w:pPr>
              <w:pStyle w:val="TableContents"/>
              <w:bidi w:val="0"/>
              <w:spacing w:before="0" w:after="283"/>
              <w:jc w:val="left"/>
              <w:rPr/>
            </w:pPr>
            <w:r>
              <w:rPr/>
              <w:t>Section 14.10   Notice to Holders Prior to Certain Actions</w:t>
            </w:r>
          </w:p>
        </w:tc>
        <w:tc>
          <w:tcPr>
            <w:tcW w:w="275" w:type="dxa"/>
            <w:tcBorders/>
            <w:vAlign w:val="center"/>
          </w:tcPr>
          <w:p>
            <w:pPr>
              <w:pStyle w:val="TableContents"/>
              <w:bidi w:val="0"/>
              <w:spacing w:before="0" w:after="283"/>
              <w:jc w:val="right"/>
              <w:rPr/>
            </w:pPr>
            <w:r>
              <w:rPr/>
              <w:t>86</w:t>
            </w:r>
          </w:p>
        </w:tc>
      </w:tr>
      <w:tr>
        <w:trPr/>
        <w:tc>
          <w:tcPr>
            <w:tcW w:w="9930" w:type="dxa"/>
            <w:tcBorders/>
            <w:vAlign w:val="center"/>
          </w:tcPr>
          <w:p>
            <w:pPr>
              <w:pStyle w:val="TableContents"/>
              <w:bidi w:val="0"/>
              <w:spacing w:before="0" w:after="283"/>
              <w:jc w:val="left"/>
              <w:rPr/>
            </w:pPr>
            <w:r>
              <w:rPr/>
              <w:t>Section 14.11   Stockholder Rights Plans</w:t>
            </w:r>
          </w:p>
        </w:tc>
        <w:tc>
          <w:tcPr>
            <w:tcW w:w="275" w:type="dxa"/>
            <w:tcBorders/>
            <w:vAlign w:val="center"/>
          </w:tcPr>
          <w:p>
            <w:pPr>
              <w:pStyle w:val="TableContents"/>
              <w:bidi w:val="0"/>
              <w:spacing w:before="0" w:after="283"/>
              <w:jc w:val="right"/>
              <w:rPr/>
            </w:pPr>
            <w:r>
              <w:rPr/>
              <w:t>86</w:t>
            </w:r>
          </w:p>
        </w:tc>
      </w:tr>
      <w:tr>
        <w:trPr/>
        <w:tc>
          <w:tcPr>
            <w:tcW w:w="9930" w:type="dxa"/>
            <w:tcBorders/>
            <w:vAlign w:val="center"/>
          </w:tcPr>
          <w:p>
            <w:pPr>
              <w:pStyle w:val="TableContents"/>
              <w:bidi w:val="0"/>
              <w:spacing w:before="0" w:after="283"/>
              <w:jc w:val="left"/>
              <w:rPr/>
            </w:pPr>
            <w:r>
              <w:rPr/>
              <w:t>Section 14.12   Exchange in Lieu of Conversion</w:t>
            </w:r>
          </w:p>
        </w:tc>
        <w:tc>
          <w:tcPr>
            <w:tcW w:w="275" w:type="dxa"/>
            <w:tcBorders/>
            <w:vAlign w:val="center"/>
          </w:tcPr>
          <w:p>
            <w:pPr>
              <w:pStyle w:val="TableContents"/>
              <w:bidi w:val="0"/>
              <w:spacing w:before="0" w:after="283"/>
              <w:jc w:val="right"/>
              <w:rPr/>
            </w:pPr>
            <w:r>
              <w:rPr/>
              <w:t>87</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15 REPURCHASE OF NOTES AT OPTION OF HOLDERS</w:t>
            </w:r>
          </w:p>
        </w:tc>
        <w:tc>
          <w:tcPr>
            <w:tcW w:w="275" w:type="dxa"/>
            <w:tcBorders/>
            <w:vAlign w:val="center"/>
          </w:tcPr>
          <w:p>
            <w:pPr>
              <w:pStyle w:val="TableContents"/>
              <w:bidi w:val="0"/>
              <w:spacing w:before="0" w:after="283"/>
              <w:jc w:val="right"/>
              <w:rPr/>
            </w:pPr>
            <w:r>
              <w:rPr/>
              <w:t>87</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15.01   [Reserved.]</w:t>
            </w:r>
          </w:p>
        </w:tc>
        <w:tc>
          <w:tcPr>
            <w:tcW w:w="275" w:type="dxa"/>
            <w:tcBorders/>
            <w:vAlign w:val="center"/>
          </w:tcPr>
          <w:p>
            <w:pPr>
              <w:pStyle w:val="TableContents"/>
              <w:bidi w:val="0"/>
              <w:spacing w:before="0" w:after="283"/>
              <w:jc w:val="right"/>
              <w:rPr/>
            </w:pPr>
            <w:r>
              <w:rPr/>
              <w:t>87</w:t>
            </w:r>
          </w:p>
        </w:tc>
      </w:tr>
      <w:tr>
        <w:trPr/>
        <w:tc>
          <w:tcPr>
            <w:tcW w:w="9930" w:type="dxa"/>
            <w:tcBorders/>
            <w:vAlign w:val="center"/>
          </w:tcPr>
          <w:p>
            <w:pPr>
              <w:pStyle w:val="TableContents"/>
              <w:bidi w:val="0"/>
              <w:spacing w:before="0" w:after="283"/>
              <w:jc w:val="left"/>
              <w:rPr/>
            </w:pPr>
            <w:r>
              <w:rPr/>
              <w:t>Section 15.02   Repurchase at Option of Holders Upon a Fundamental Change</w:t>
            </w:r>
          </w:p>
        </w:tc>
        <w:tc>
          <w:tcPr>
            <w:tcW w:w="275" w:type="dxa"/>
            <w:tcBorders/>
            <w:vAlign w:val="center"/>
          </w:tcPr>
          <w:p>
            <w:pPr>
              <w:pStyle w:val="TableContents"/>
              <w:bidi w:val="0"/>
              <w:spacing w:before="0" w:after="283"/>
              <w:jc w:val="right"/>
              <w:rPr/>
            </w:pPr>
            <w:r>
              <w:rPr/>
              <w:t>87</w:t>
            </w:r>
          </w:p>
        </w:tc>
      </w:tr>
      <w:tr>
        <w:trPr/>
        <w:tc>
          <w:tcPr>
            <w:tcW w:w="9930" w:type="dxa"/>
            <w:tcBorders/>
            <w:vAlign w:val="center"/>
          </w:tcPr>
          <w:p>
            <w:pPr>
              <w:pStyle w:val="TableContents"/>
              <w:bidi w:val="0"/>
              <w:spacing w:before="0" w:after="283"/>
              <w:jc w:val="left"/>
              <w:rPr/>
            </w:pPr>
            <w:r>
              <w:rPr/>
              <w:t>Section 15.03   Withdrawal of Fundamental Change Repurchase Notice</w:t>
            </w:r>
          </w:p>
        </w:tc>
        <w:tc>
          <w:tcPr>
            <w:tcW w:w="275" w:type="dxa"/>
            <w:tcBorders/>
            <w:vAlign w:val="center"/>
          </w:tcPr>
          <w:p>
            <w:pPr>
              <w:pStyle w:val="TableContents"/>
              <w:bidi w:val="0"/>
              <w:spacing w:before="0" w:after="283"/>
              <w:jc w:val="right"/>
              <w:rPr/>
            </w:pPr>
            <w:r>
              <w:rPr/>
              <w:t>90</w:t>
            </w:r>
          </w:p>
        </w:tc>
      </w:tr>
      <w:tr>
        <w:trPr/>
        <w:tc>
          <w:tcPr>
            <w:tcW w:w="9930" w:type="dxa"/>
            <w:tcBorders/>
            <w:vAlign w:val="center"/>
          </w:tcPr>
          <w:p>
            <w:pPr>
              <w:pStyle w:val="TableContents"/>
              <w:bidi w:val="0"/>
              <w:spacing w:before="0" w:after="283"/>
              <w:jc w:val="left"/>
              <w:rPr/>
            </w:pPr>
            <w:r>
              <w:rPr/>
              <w:t>Section 15.04   Deposit of Fundamental Change Repurchase Price</w:t>
            </w:r>
          </w:p>
        </w:tc>
        <w:tc>
          <w:tcPr>
            <w:tcW w:w="275" w:type="dxa"/>
            <w:tcBorders/>
            <w:vAlign w:val="center"/>
          </w:tcPr>
          <w:p>
            <w:pPr>
              <w:pStyle w:val="TableContents"/>
              <w:bidi w:val="0"/>
              <w:spacing w:before="0" w:after="283"/>
              <w:jc w:val="right"/>
              <w:rPr/>
            </w:pPr>
            <w:r>
              <w:rPr/>
              <w:t>91</w:t>
            </w:r>
          </w:p>
        </w:tc>
      </w:tr>
      <w:tr>
        <w:trPr/>
        <w:tc>
          <w:tcPr>
            <w:tcW w:w="9930" w:type="dxa"/>
            <w:tcBorders/>
            <w:vAlign w:val="center"/>
          </w:tcPr>
          <w:p>
            <w:pPr>
              <w:pStyle w:val="TableContents"/>
              <w:bidi w:val="0"/>
              <w:spacing w:before="0" w:after="283"/>
              <w:jc w:val="left"/>
              <w:rPr/>
            </w:pPr>
            <w:r>
              <w:rPr/>
              <w:t>Section 15.05   Covenant to Comply with Applicable Laws Upon Repurchase of Notes</w:t>
            </w:r>
          </w:p>
        </w:tc>
        <w:tc>
          <w:tcPr>
            <w:tcW w:w="275" w:type="dxa"/>
            <w:tcBorders/>
            <w:vAlign w:val="center"/>
          </w:tcPr>
          <w:p>
            <w:pPr>
              <w:pStyle w:val="TableContents"/>
              <w:bidi w:val="0"/>
              <w:spacing w:before="0" w:after="283"/>
              <w:jc w:val="right"/>
              <w:rPr/>
            </w:pPr>
            <w:r>
              <w:rPr/>
              <w:t>91</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16 REDEMPTION</w:t>
            </w:r>
          </w:p>
        </w:tc>
        <w:tc>
          <w:tcPr>
            <w:tcW w:w="275" w:type="dxa"/>
            <w:tcBorders/>
            <w:vAlign w:val="center"/>
          </w:tcPr>
          <w:p>
            <w:pPr>
              <w:pStyle w:val="TableContents"/>
              <w:bidi w:val="0"/>
              <w:spacing w:before="0" w:after="283"/>
              <w:jc w:val="right"/>
              <w:rPr/>
            </w:pPr>
            <w:r>
              <w:rPr/>
              <w:t>92</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16.01   Redemption</w:t>
            </w:r>
          </w:p>
        </w:tc>
        <w:tc>
          <w:tcPr>
            <w:tcW w:w="275" w:type="dxa"/>
            <w:tcBorders/>
            <w:vAlign w:val="center"/>
          </w:tcPr>
          <w:p>
            <w:pPr>
              <w:pStyle w:val="TableContents"/>
              <w:bidi w:val="0"/>
              <w:spacing w:before="0" w:after="283"/>
              <w:jc w:val="right"/>
              <w:rPr/>
            </w:pPr>
            <w:r>
              <w:rPr/>
              <w:t>92</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Article 17 MISCELLANEOUS PROVISIONS</w:t>
            </w:r>
          </w:p>
        </w:tc>
        <w:tc>
          <w:tcPr>
            <w:tcW w:w="275" w:type="dxa"/>
            <w:tcBorders/>
            <w:vAlign w:val="center"/>
          </w:tcPr>
          <w:p>
            <w:pPr>
              <w:pStyle w:val="TableContents"/>
              <w:bidi w:val="0"/>
              <w:spacing w:before="0" w:after="283"/>
              <w:jc w:val="right"/>
              <w:rPr/>
            </w:pPr>
            <w:r>
              <w:rPr/>
              <w:t>92</w:t>
            </w:r>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r>
              <w:rPr/>
              <w:t>Section 17.01   Provisions Binding on Company’s and Guarantors’ Successors</w:t>
            </w:r>
          </w:p>
        </w:tc>
        <w:tc>
          <w:tcPr>
            <w:tcW w:w="275" w:type="dxa"/>
            <w:tcBorders/>
            <w:vAlign w:val="center"/>
          </w:tcPr>
          <w:p>
            <w:pPr>
              <w:pStyle w:val="TableContents"/>
              <w:bidi w:val="0"/>
              <w:spacing w:before="0" w:after="283"/>
              <w:jc w:val="right"/>
              <w:rPr/>
            </w:pPr>
            <w:r>
              <w:rPr/>
              <w:t>92</w:t>
            </w:r>
          </w:p>
        </w:tc>
      </w:tr>
      <w:tr>
        <w:trPr/>
        <w:tc>
          <w:tcPr>
            <w:tcW w:w="9930" w:type="dxa"/>
            <w:tcBorders/>
            <w:vAlign w:val="center"/>
          </w:tcPr>
          <w:p>
            <w:pPr>
              <w:pStyle w:val="TableContents"/>
              <w:bidi w:val="0"/>
              <w:spacing w:before="0" w:after="283"/>
              <w:jc w:val="left"/>
              <w:rPr/>
            </w:pPr>
            <w:r>
              <w:rPr/>
              <w:t>Section 17.02   Official Acts by Successor Corporation</w:t>
            </w:r>
          </w:p>
        </w:tc>
        <w:tc>
          <w:tcPr>
            <w:tcW w:w="275" w:type="dxa"/>
            <w:tcBorders/>
            <w:vAlign w:val="center"/>
          </w:tcPr>
          <w:p>
            <w:pPr>
              <w:pStyle w:val="TableContents"/>
              <w:bidi w:val="0"/>
              <w:spacing w:before="0" w:after="283"/>
              <w:jc w:val="right"/>
              <w:rPr/>
            </w:pPr>
            <w:r>
              <w:rPr/>
              <w:t>92</w:t>
            </w:r>
          </w:p>
        </w:tc>
      </w:tr>
      <w:tr>
        <w:trPr/>
        <w:tc>
          <w:tcPr>
            <w:tcW w:w="9930" w:type="dxa"/>
            <w:tcBorders/>
            <w:vAlign w:val="center"/>
          </w:tcPr>
          <w:p>
            <w:pPr>
              <w:pStyle w:val="TableContents"/>
              <w:bidi w:val="0"/>
              <w:spacing w:before="0" w:after="283"/>
              <w:jc w:val="left"/>
              <w:rPr/>
            </w:pPr>
            <w:r>
              <w:rPr/>
              <w:t>Section 17.03   Addresses for Notices, Etc</w:t>
            </w:r>
          </w:p>
        </w:tc>
        <w:tc>
          <w:tcPr>
            <w:tcW w:w="275" w:type="dxa"/>
            <w:tcBorders/>
            <w:vAlign w:val="center"/>
          </w:tcPr>
          <w:p>
            <w:pPr>
              <w:pStyle w:val="TableContents"/>
              <w:bidi w:val="0"/>
              <w:spacing w:before="0" w:after="283"/>
              <w:jc w:val="right"/>
              <w:rPr/>
            </w:pPr>
            <w:r>
              <w:rPr/>
              <w:t>92</w:t>
            </w:r>
          </w:p>
        </w:tc>
      </w:tr>
      <w:tr>
        <w:trPr/>
        <w:tc>
          <w:tcPr>
            <w:tcW w:w="9930" w:type="dxa"/>
            <w:tcBorders/>
            <w:vAlign w:val="center"/>
          </w:tcPr>
          <w:p>
            <w:pPr>
              <w:pStyle w:val="TableContents"/>
              <w:bidi w:val="0"/>
              <w:spacing w:before="0" w:after="283"/>
              <w:jc w:val="left"/>
              <w:rPr/>
            </w:pPr>
            <w:r>
              <w:rPr/>
              <w:t>Section 17.04   Governing Law; Jurisdiction</w:t>
            </w:r>
          </w:p>
        </w:tc>
        <w:tc>
          <w:tcPr>
            <w:tcW w:w="275" w:type="dxa"/>
            <w:tcBorders/>
            <w:vAlign w:val="center"/>
          </w:tcPr>
          <w:p>
            <w:pPr>
              <w:pStyle w:val="TableContents"/>
              <w:bidi w:val="0"/>
              <w:spacing w:before="0" w:after="283"/>
              <w:jc w:val="right"/>
              <w:rPr/>
            </w:pPr>
            <w:r>
              <w:rPr/>
              <w:t>93</w:t>
            </w:r>
          </w:p>
        </w:tc>
      </w:tr>
      <w:tr>
        <w:trPr/>
        <w:tc>
          <w:tcPr>
            <w:tcW w:w="9930" w:type="dxa"/>
            <w:tcBorders/>
            <w:vAlign w:val="center"/>
          </w:tcPr>
          <w:p>
            <w:pPr>
              <w:pStyle w:val="TableContents"/>
              <w:bidi w:val="0"/>
              <w:spacing w:before="0" w:after="283"/>
              <w:jc w:val="left"/>
              <w:rPr/>
            </w:pPr>
            <w:r>
              <w:rPr/>
              <w:t>Section 17.05   Evidence of Compliance with Conditions Precedent; Certificates and Opinions of Counsel to Trustee</w:t>
            </w:r>
          </w:p>
        </w:tc>
        <w:tc>
          <w:tcPr>
            <w:tcW w:w="275" w:type="dxa"/>
            <w:tcBorders/>
            <w:vAlign w:val="center"/>
          </w:tcPr>
          <w:p>
            <w:pPr>
              <w:pStyle w:val="TableContents"/>
              <w:bidi w:val="0"/>
              <w:spacing w:before="0" w:after="283"/>
              <w:jc w:val="right"/>
              <w:rPr/>
            </w:pPr>
            <w:r>
              <w:rPr/>
              <w:t>94</w:t>
            </w:r>
          </w:p>
        </w:tc>
      </w:tr>
      <w:tr>
        <w:trPr/>
        <w:tc>
          <w:tcPr>
            <w:tcW w:w="9930" w:type="dxa"/>
            <w:tcBorders/>
            <w:vAlign w:val="center"/>
          </w:tcPr>
          <w:p>
            <w:pPr>
              <w:pStyle w:val="TableContents"/>
              <w:bidi w:val="0"/>
              <w:spacing w:before="0" w:after="283"/>
              <w:jc w:val="left"/>
              <w:rPr/>
            </w:pPr>
            <w:r>
              <w:rPr/>
              <w:t>Section 17.06   Legal Holidays</w:t>
            </w:r>
          </w:p>
        </w:tc>
        <w:tc>
          <w:tcPr>
            <w:tcW w:w="275" w:type="dxa"/>
            <w:tcBorders/>
            <w:vAlign w:val="center"/>
          </w:tcPr>
          <w:p>
            <w:pPr>
              <w:pStyle w:val="TableContents"/>
              <w:bidi w:val="0"/>
              <w:spacing w:before="0" w:after="283"/>
              <w:jc w:val="right"/>
              <w:rPr/>
            </w:pPr>
            <w:r>
              <w:rPr/>
              <w:t>95</w:t>
            </w:r>
          </w:p>
        </w:tc>
      </w:tr>
      <w:tr>
        <w:trPr/>
        <w:tc>
          <w:tcPr>
            <w:tcW w:w="9930" w:type="dxa"/>
            <w:tcBorders/>
            <w:vAlign w:val="center"/>
          </w:tcPr>
          <w:p>
            <w:pPr>
              <w:pStyle w:val="TableContents"/>
              <w:bidi w:val="0"/>
              <w:spacing w:before="0" w:after="283"/>
              <w:jc w:val="left"/>
              <w:rPr/>
            </w:pPr>
            <w:r>
              <w:rPr/>
              <w:t>Section 17.07   No Security Interest Created</w:t>
            </w:r>
          </w:p>
        </w:tc>
        <w:tc>
          <w:tcPr>
            <w:tcW w:w="275" w:type="dxa"/>
            <w:tcBorders/>
            <w:vAlign w:val="center"/>
          </w:tcPr>
          <w:p>
            <w:pPr>
              <w:pStyle w:val="TableContents"/>
              <w:bidi w:val="0"/>
              <w:spacing w:before="0" w:after="283"/>
              <w:jc w:val="right"/>
              <w:rPr/>
            </w:pPr>
            <w:r>
              <w:rPr/>
              <w:t>95</w:t>
            </w:r>
          </w:p>
        </w:tc>
      </w:tr>
      <w:tr>
        <w:trPr/>
        <w:tc>
          <w:tcPr>
            <w:tcW w:w="9930" w:type="dxa"/>
            <w:tcBorders/>
            <w:vAlign w:val="center"/>
          </w:tcPr>
          <w:p>
            <w:pPr>
              <w:pStyle w:val="TableContents"/>
              <w:bidi w:val="0"/>
              <w:spacing w:before="0" w:after="283"/>
              <w:jc w:val="left"/>
              <w:rPr/>
            </w:pPr>
            <w:r>
              <w:rPr/>
              <w:t>Section 17.08   Benefits of Indenture</w:t>
            </w:r>
          </w:p>
        </w:tc>
        <w:tc>
          <w:tcPr>
            <w:tcW w:w="275" w:type="dxa"/>
            <w:tcBorders/>
            <w:vAlign w:val="center"/>
          </w:tcPr>
          <w:p>
            <w:pPr>
              <w:pStyle w:val="TableContents"/>
              <w:bidi w:val="0"/>
              <w:spacing w:before="0" w:after="283"/>
              <w:jc w:val="right"/>
              <w:rPr/>
            </w:pPr>
            <w:r>
              <w:rPr/>
              <w:t>95</w:t>
            </w:r>
          </w:p>
        </w:tc>
      </w:tr>
      <w:tr>
        <w:trPr/>
        <w:tc>
          <w:tcPr>
            <w:tcW w:w="9930" w:type="dxa"/>
            <w:tcBorders/>
            <w:vAlign w:val="center"/>
          </w:tcPr>
          <w:p>
            <w:pPr>
              <w:pStyle w:val="TableContents"/>
              <w:bidi w:val="0"/>
              <w:spacing w:before="0" w:after="283"/>
              <w:jc w:val="left"/>
              <w:rPr/>
            </w:pPr>
            <w:r>
              <w:rPr/>
              <w:t>Section 17.09   Table of Contents, Headings, Etc.</w:t>
            </w:r>
          </w:p>
        </w:tc>
        <w:tc>
          <w:tcPr>
            <w:tcW w:w="275" w:type="dxa"/>
            <w:tcBorders/>
            <w:vAlign w:val="center"/>
          </w:tcPr>
          <w:p>
            <w:pPr>
              <w:pStyle w:val="TableContents"/>
              <w:bidi w:val="0"/>
              <w:spacing w:before="0" w:after="283"/>
              <w:jc w:val="right"/>
              <w:rPr/>
            </w:pPr>
            <w:r>
              <w:rPr/>
              <w:t>95</w:t>
            </w:r>
          </w:p>
        </w:tc>
      </w:tr>
      <w:tr>
        <w:trPr/>
        <w:tc>
          <w:tcPr>
            <w:tcW w:w="9930" w:type="dxa"/>
            <w:tcBorders/>
            <w:vAlign w:val="center"/>
          </w:tcPr>
          <w:p>
            <w:pPr>
              <w:pStyle w:val="TableContents"/>
              <w:bidi w:val="0"/>
              <w:spacing w:before="0" w:after="283"/>
              <w:jc w:val="left"/>
              <w:rPr/>
            </w:pPr>
            <w:r>
              <w:rPr/>
              <w:t>Section 17.10   Authenticating Agent</w:t>
            </w:r>
          </w:p>
        </w:tc>
        <w:tc>
          <w:tcPr>
            <w:tcW w:w="275" w:type="dxa"/>
            <w:tcBorders/>
            <w:vAlign w:val="center"/>
          </w:tcPr>
          <w:p>
            <w:pPr>
              <w:pStyle w:val="TableContents"/>
              <w:bidi w:val="0"/>
              <w:spacing w:before="0" w:after="283"/>
              <w:jc w:val="right"/>
              <w:rPr/>
            </w:pPr>
            <w:r>
              <w:rPr/>
              <w:t>95</w:t>
            </w:r>
          </w:p>
        </w:tc>
      </w:tr>
      <w:tr>
        <w:trPr/>
        <w:tc>
          <w:tcPr>
            <w:tcW w:w="9930" w:type="dxa"/>
            <w:tcBorders/>
            <w:vAlign w:val="center"/>
          </w:tcPr>
          <w:p>
            <w:pPr>
              <w:pStyle w:val="TableContents"/>
              <w:bidi w:val="0"/>
              <w:spacing w:before="0" w:after="283"/>
              <w:jc w:val="left"/>
              <w:rPr/>
            </w:pPr>
            <w:r>
              <w:rPr/>
              <w:t>Section 17.11   Execution in Counterparts</w:t>
            </w:r>
          </w:p>
        </w:tc>
        <w:tc>
          <w:tcPr>
            <w:tcW w:w="275" w:type="dxa"/>
            <w:tcBorders/>
            <w:vAlign w:val="center"/>
          </w:tcPr>
          <w:p>
            <w:pPr>
              <w:pStyle w:val="TableContents"/>
              <w:bidi w:val="0"/>
              <w:spacing w:before="0" w:after="283"/>
              <w:jc w:val="right"/>
              <w:rPr/>
            </w:pPr>
            <w:r>
              <w:rPr/>
              <w:t>96</w:t>
            </w:r>
          </w:p>
        </w:tc>
      </w:tr>
      <w:tr>
        <w:trPr/>
        <w:tc>
          <w:tcPr>
            <w:tcW w:w="9930" w:type="dxa"/>
            <w:tcBorders/>
            <w:vAlign w:val="center"/>
          </w:tcPr>
          <w:p>
            <w:pPr>
              <w:pStyle w:val="TableContents"/>
              <w:bidi w:val="0"/>
              <w:spacing w:before="0" w:after="283"/>
              <w:jc w:val="left"/>
              <w:rPr/>
            </w:pPr>
            <w:r>
              <w:rPr/>
              <w:t>Section 17.12   Severability</w:t>
            </w:r>
          </w:p>
        </w:tc>
        <w:tc>
          <w:tcPr>
            <w:tcW w:w="275" w:type="dxa"/>
            <w:tcBorders/>
            <w:vAlign w:val="center"/>
          </w:tcPr>
          <w:p>
            <w:pPr>
              <w:pStyle w:val="TableContents"/>
              <w:bidi w:val="0"/>
              <w:spacing w:before="0" w:after="283"/>
              <w:jc w:val="right"/>
              <w:rPr/>
            </w:pPr>
            <w:r>
              <w:rPr/>
              <w:t>97</w:t>
            </w:r>
          </w:p>
        </w:tc>
      </w:tr>
      <w:tr>
        <w:trPr/>
        <w:tc>
          <w:tcPr>
            <w:tcW w:w="9930" w:type="dxa"/>
            <w:tcBorders/>
            <w:vAlign w:val="center"/>
          </w:tcPr>
          <w:p>
            <w:pPr>
              <w:pStyle w:val="TableContents"/>
              <w:bidi w:val="0"/>
              <w:spacing w:before="0" w:after="283"/>
              <w:jc w:val="left"/>
              <w:rPr/>
            </w:pPr>
            <w:r>
              <w:rPr/>
              <w:t>Section 17.13   Waiver of Jury Trial</w:t>
            </w:r>
          </w:p>
        </w:tc>
        <w:tc>
          <w:tcPr>
            <w:tcW w:w="275" w:type="dxa"/>
            <w:tcBorders/>
            <w:vAlign w:val="center"/>
          </w:tcPr>
          <w:p>
            <w:pPr>
              <w:pStyle w:val="TableContents"/>
              <w:bidi w:val="0"/>
              <w:spacing w:before="0" w:after="283"/>
              <w:jc w:val="right"/>
              <w:rPr/>
            </w:pPr>
            <w:r>
              <w:rPr/>
              <w:t>97</w:t>
            </w:r>
          </w:p>
        </w:tc>
      </w:tr>
      <w:tr>
        <w:trPr/>
        <w:tc>
          <w:tcPr>
            <w:tcW w:w="9930" w:type="dxa"/>
            <w:tcBorders/>
            <w:vAlign w:val="center"/>
          </w:tcPr>
          <w:p>
            <w:pPr>
              <w:pStyle w:val="TableContents"/>
              <w:bidi w:val="0"/>
              <w:spacing w:before="0" w:after="283"/>
              <w:jc w:val="left"/>
              <w:rPr/>
            </w:pPr>
            <w:r>
              <w:rPr/>
              <w:t>Section 17.14   Force Majeure</w:t>
            </w:r>
          </w:p>
        </w:tc>
        <w:tc>
          <w:tcPr>
            <w:tcW w:w="275" w:type="dxa"/>
            <w:tcBorders/>
            <w:vAlign w:val="center"/>
          </w:tcPr>
          <w:p>
            <w:pPr>
              <w:pStyle w:val="TableContents"/>
              <w:bidi w:val="0"/>
              <w:spacing w:before="0" w:after="283"/>
              <w:jc w:val="right"/>
              <w:rPr/>
            </w:pPr>
            <w:r>
              <w:rPr/>
              <w:t>97</w:t>
            </w:r>
          </w:p>
        </w:tc>
      </w:tr>
      <w:tr>
        <w:trPr/>
        <w:tc>
          <w:tcPr>
            <w:tcW w:w="9930" w:type="dxa"/>
            <w:tcBorders/>
            <w:vAlign w:val="center"/>
          </w:tcPr>
          <w:p>
            <w:pPr>
              <w:pStyle w:val="TableContents"/>
              <w:bidi w:val="0"/>
              <w:spacing w:before="0" w:after="283"/>
              <w:jc w:val="left"/>
              <w:rPr/>
            </w:pPr>
            <w:r>
              <w:rPr/>
              <w:t>Section 17.15   Calculations</w:t>
            </w:r>
          </w:p>
        </w:tc>
        <w:tc>
          <w:tcPr>
            <w:tcW w:w="275" w:type="dxa"/>
            <w:tcBorders/>
            <w:vAlign w:val="center"/>
          </w:tcPr>
          <w:p>
            <w:pPr>
              <w:pStyle w:val="TableContents"/>
              <w:bidi w:val="0"/>
              <w:spacing w:before="0" w:after="283"/>
              <w:jc w:val="right"/>
              <w:rPr/>
            </w:pPr>
            <w:r>
              <w:rPr/>
              <w:t>97</w:t>
            </w:r>
          </w:p>
        </w:tc>
      </w:tr>
      <w:tr>
        <w:trPr/>
        <w:tc>
          <w:tcPr>
            <w:tcW w:w="9930" w:type="dxa"/>
            <w:tcBorders/>
            <w:vAlign w:val="center"/>
          </w:tcPr>
          <w:p>
            <w:pPr>
              <w:pStyle w:val="TableContents"/>
              <w:bidi w:val="0"/>
              <w:spacing w:before="0" w:after="283"/>
              <w:jc w:val="left"/>
              <w:rPr/>
            </w:pPr>
            <w:r>
              <w:rPr/>
              <w:t>Section 17.16   USA PATRIOT Act</w:t>
            </w:r>
          </w:p>
        </w:tc>
        <w:tc>
          <w:tcPr>
            <w:tcW w:w="275" w:type="dxa"/>
            <w:tcBorders/>
            <w:vAlign w:val="center"/>
          </w:tcPr>
          <w:p>
            <w:pPr>
              <w:pStyle w:val="TableContents"/>
              <w:bidi w:val="0"/>
              <w:spacing w:before="0" w:after="283"/>
              <w:jc w:val="right"/>
              <w:rPr/>
            </w:pPr>
            <w:r>
              <w:rPr/>
              <w:t>97</w:t>
            </w:r>
          </w:p>
        </w:tc>
      </w:tr>
      <w:tr>
        <w:trPr/>
        <w:tc>
          <w:tcPr>
            <w:tcW w:w="9930" w:type="dxa"/>
            <w:tcBorders/>
            <w:vAlign w:val="center"/>
          </w:tcPr>
          <w:p>
            <w:pPr>
              <w:pStyle w:val="TableContents"/>
              <w:bidi w:val="0"/>
              <w:spacing w:before="0" w:after="283"/>
              <w:jc w:val="left"/>
              <w:rPr/>
            </w:pPr>
            <w:r>
              <w:rPr/>
              <w:t>Section 17.17   FATCA</w:t>
            </w:r>
          </w:p>
        </w:tc>
        <w:tc>
          <w:tcPr>
            <w:tcW w:w="275" w:type="dxa"/>
            <w:tcBorders/>
            <w:vAlign w:val="center"/>
          </w:tcPr>
          <w:p>
            <w:pPr>
              <w:pStyle w:val="TableContents"/>
              <w:bidi w:val="0"/>
              <w:spacing w:before="0" w:after="283"/>
              <w:jc w:val="right"/>
              <w:rPr/>
            </w:pPr>
            <w:r>
              <w:rPr/>
              <w:t>98</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July 14, 2026 between SCHMID Group N.V., a Dutch public limited liability company,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as more fully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Guarantors party hereto from time to time and Wilmington Savings Fund Society, FSB,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as more fully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issuance of its 5.0% Convertible Senior PIK Toggle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in order to provide the terms and conditions upon which the Notes are to be authenticated, issued and delivered, the Company has duly authorized the execution and delivery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Notes will be guaranteed on a senior basis by the Initial Guarantor initially and any of the Company’s existing and future Subsidiaries to the extent required to become a Guarantor in the future, and each of the Guarantors party hereto has duly authorized the execution and delivery of this Indenture and the issuance of its Note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acts and things necessary to make the Notes, when executed by the Company and authenticated and delivered by the Trustee or a duly authorized authenticating agent, as provided in this Indenture, the valid, binding and legal obligations of the Company and the Guarantors, and this Indenture a valid agreement according to its terms, have been done and performed, and the execution of this Indenture and the issuance hereunder of the Notes and the Note Guarantees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Notes are, and are to be, authenticated, issued and delivered, and in consideration of the premises and of the purchase and acceptance of the Notes by the Holders thereof, the Company and the Guarantors party hereto covenant and agree with the Trustee for the equal and proportionate benefit of the respective Holders from time to time of the Notes (except as otherwise provided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terms defined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(except as herein otherwise expressly provided or unless the context otherwise requires) for all purposes of this Indenture and of any indenture supplemental hereto shall have the respective meanings specified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words “herein,” “hereof,” “hereunder” and words of similar import refer to this Indenture as a whole and not to any particular Article, Section or other subdivision. The terms defined in this Article include the plural as well as the singular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Step-Up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another Person for purposes of this Indenture shall be made based on the facts at the time such determination is made or required to be made, as the case may be,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Agreed Guarantee Principles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Call Price</w:t>
      </w:r>
      <w:r>
        <w:rPr>
          <w:rFonts w:ascii="Times New Roman;Times;Serif" w:hAnsi="Times New Roman;Times;Serif"/>
          <w:b w:val="false"/>
          <w:i w:val="false"/>
          <w:caps w:val="false"/>
          <w:smallCaps w:val="false"/>
          <w:sz w:val="20"/>
        </w:rPr>
        <w:t xml:space="preserve">” shall have the meaning specified in the definition of Redemption Price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Conversion Price</w:t>
      </w:r>
      <w:r>
        <w:rPr>
          <w:rFonts w:ascii="Times New Roman;Times;Serif" w:hAnsi="Times New Roman;Times;Serif"/>
          <w:b w:val="false"/>
          <w:i w:val="false"/>
          <w:caps w:val="false"/>
          <w:smallCaps w:val="false"/>
          <w:sz w:val="20"/>
        </w:rPr>
        <w:t xml:space="preserve">” means, with respect to any Notice of Conversion, the lowest of the prices determined pursuant to clauses (i) through (iii) of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Average VWAP Conversion Price</w:t>
      </w:r>
      <w:r>
        <w:rPr>
          <w:rFonts w:ascii="Times New Roman;Times;Serif" w:hAnsi="Times New Roman;Times;Serif"/>
          <w:b w:val="false"/>
          <w:i w:val="false"/>
          <w:caps w:val="false"/>
          <w:smallCaps w:val="false"/>
          <w:sz w:val="20"/>
        </w:rPr>
        <w:t>” means 97% of the arithmetic average of the Daily VWAPs for the ten (10) Trading Days immediately preceding the Conversion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Agent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any day other than (i) a Saturday or a Sunday, (ii) or a day on which the Federal Reserve Bank of New York is authorized or required by law or executive order to close or be closed, or (iii) a day which is a public holiday in Stuttgart,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Capitalization Amount</w:t>
      </w:r>
      <w:r>
        <w:rPr>
          <w:rFonts w:ascii="Times New Roman;Times;Serif" w:hAnsi="Times New Roman;Times;Serif"/>
          <w:b w:val="false"/>
          <w:i w:val="false"/>
          <w:caps w:val="false"/>
          <w:smallCaps w:val="false"/>
          <w:sz w:val="20"/>
        </w:rPr>
        <w:t>” means, for any Interest PIK Date, an amount per Note equal to the interest accrued on the principal amount of such Note as of the immediately preceding Interest Payment Date (or, if there is no immediately preceding Interest Payment Date, the interest accrued on the Initial Principal Amount) and not paid in cash, calculated at the PIK Interest Rate on the principal amount of such Note for which interest is not paid in cash for the period from, and including, such immediately preceding Interest Payment Date (or, if there is no immediately preceding Interest Payment Date, from, and including, the issue date of such Notes or such other date from which such Note bears interest as stated on such Note) to, but excluding, such Interest PIK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Capitalization Method</w:t>
      </w:r>
      <w:r>
        <w:rPr>
          <w:rFonts w:ascii="Times New Roman;Times;Serif" w:hAnsi="Times New Roman;Times;Serif"/>
          <w:b w:val="false"/>
          <w:i w:val="false"/>
          <w:caps w:val="false"/>
          <w:smallCaps w:val="false"/>
          <w:sz w:val="20"/>
        </w:rPr>
        <w:t>” shall have the meaning specified in Section 2.03(d)(i).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Capitalized Principal Amount</w:t>
      </w:r>
      <w:r>
        <w:rPr>
          <w:rFonts w:ascii="Times New Roman;Times;Serif" w:hAnsi="Times New Roman;Times;Serif"/>
          <w:b w:val="false"/>
          <w:i w:val="false"/>
          <w:caps w:val="false"/>
          <w:smallCaps w:val="false"/>
          <w:sz w:val="20"/>
        </w:rPr>
        <w:t>” means, for any date, the principal amount per Note equal to the Initial Principal Amount of such Note, as increased on each Interest PIK Date occurring on or prior to such date by the Capitalization Amount for such Interest PIK Date, if any. When the term “principal amount” of any Note is used herein, such references shall be deemed to be references to the Capitalized Principal Amount of such Note,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Interest Rate</w:t>
      </w:r>
      <w:r>
        <w:rPr>
          <w:rFonts w:ascii="Times New Roman;Times;Serif" w:hAnsi="Times New Roman;Times;Serif"/>
          <w:b w:val="false"/>
          <w:i w:val="false"/>
          <w:caps w:val="false"/>
          <w:smallCaps w:val="false"/>
          <w:sz w:val="20"/>
        </w:rPr>
        <w:t>” means 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Method</w:t>
      </w:r>
      <w:r>
        <w:rPr>
          <w:rFonts w:ascii="Times New Roman;Times;Serif" w:hAnsi="Times New Roman;Times;Serif"/>
          <w:b w:val="false"/>
          <w:i w:val="false"/>
          <w:caps w:val="false"/>
          <w:smallCaps w:val="false"/>
          <w:sz w:val="20"/>
        </w:rPr>
        <w:t>” shall have the meaning specified in Section 2.03(d)(i).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means the ordinary shares of the Company, nominal value €0.01 per share, at the date of this Indenture, subject to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specified in the first paragraph of this Indenture, and subject to the provisions of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shall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any of its Officers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shall have meaning as determined in accordance with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Notice Date</w:t>
      </w:r>
      <w:r>
        <w:rPr>
          <w:rFonts w:ascii="Times New Roman;Times;Serif" w:hAnsi="Times New Roman;Times;Serif"/>
          <w:b w:val="false"/>
          <w:i w:val="false"/>
          <w:caps w:val="false"/>
          <w:smallCaps w:val="false"/>
          <w:sz w:val="20"/>
        </w:rPr>
        <w:t xml:space="preserve">” means the Trading Day on which a Holder delivers a Notice of Conversion in accordance with </w:t>
      </w:r>
      <w:r>
        <w:rPr>
          <w:rFonts w:ascii="Times New Roman;Times;Serif" w:hAnsi="Times New Roman;Times;Serif"/>
          <w:b w:val="false"/>
          <w:i w:val="false"/>
          <w:caps w:val="false"/>
          <w:smallCaps w:val="false"/>
          <w:sz w:val="20"/>
          <w:u w:val="single"/>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(or the Note Registrar or Paying Agent, as the case may be) at which at any time this Indenture shall be administered, which office at the date hereof is located at Wilmington Savings Fund Society, FSB, 500 Delaware Avenue, 11th Floor, Wilmington, DE 19801, or such other address as the Trustee (or the Note Registrar or Paying Agent, as the case may be) may designate from time to time by notice to the Holders and the Company, or the designated corporate trust office of any successor trustee (or successor Note Registrar or Paying Agent, as the case may be) (or such other address as such successor may designate from time to time by notice to the Holders and the Company and, in the case of a successor Note Registrar or Paying Agent,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Current Majority Shareholders</w:t>
      </w:r>
      <w:r>
        <w:rPr>
          <w:rFonts w:ascii="Times New Roman;Times;Serif" w:hAnsi="Times New Roman;Times;Serif"/>
          <w:b w:val="false"/>
          <w:i w:val="false"/>
          <w:caps w:val="false"/>
          <w:smallCaps w:val="false"/>
          <w:sz w:val="20"/>
        </w:rPr>
        <w:t>” means Anette Schmid, Christian Schmid and/or any entities 100% beneficially owned by Anette Schmid and/or Christian Schmid.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custodian for The Depository Trust Company or other Depositary, with respect to the Global Notes,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the per share volume-weighted average price as displayed under the heading “Bloomberg VWAP” on Bloomberg page “SHMD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Note (including, without limitation, the Redemption Price, the Fundamental Change Repurchase Price, principal and interest) that are payable but are not paid when due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xml:space="preserve">” means, with respect to each Global Note, the Person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as the Depositary with respect to such Notes,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xml:space="preserve">” shall having the meaning specified in </w:t>
      </w:r>
      <w:r>
        <w:rPr>
          <w:rFonts w:ascii="Times New Roman;Times;Serif" w:hAnsi="Times New Roman;Times;Serif"/>
          <w:b w:val="false"/>
          <w:i w:val="false"/>
          <w:caps w:val="false"/>
          <w:smallCaps w:val="false"/>
          <w:sz w:val="20"/>
          <w:u w:val="single"/>
        </w:rPr>
        <w:t>Section 4.06(b)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Effectiveness Target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Notes</w:t>
      </w:r>
      <w:r>
        <w:rPr>
          <w:rFonts w:ascii="Times New Roman;Times;Serif" w:hAnsi="Times New Roman;Times;Serif"/>
          <w:b w:val="false"/>
          <w:i w:val="false"/>
          <w:caps w:val="false"/>
          <w:smallCaps w:val="false"/>
          <w:sz w:val="20"/>
        </w:rPr>
        <w:t>” means the Company’s 7.0% convertible PIK notes due 2028 (CUSIP: 806861AA8).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Entities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xml:space="preserve">” means the “Form of Assignment and Transfer” attached as Attachment 3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xml:space="preserve">” means the “Form of Fundamental Change Repurchase Notice” attached as Attachment 2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Note</w:t>
      </w:r>
      <w:r>
        <w:rPr>
          <w:rFonts w:ascii="Times New Roman;Times;Serif" w:hAnsi="Times New Roman;Times;Serif"/>
          <w:b w:val="false"/>
          <w:i w:val="false"/>
          <w:caps w:val="false"/>
          <w:smallCaps w:val="false"/>
          <w:sz w:val="20"/>
        </w:rPr>
        <w:t xml:space="preserve">” means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xml:space="preserve">” means the “Form of Notice of Conversion” attached as Attachment 1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Freely Tradable</w:t>
      </w:r>
      <w:r>
        <w:rPr>
          <w:rFonts w:ascii="Times New Roman;Times;Serif" w:hAnsi="Times New Roman;Times;Serif"/>
          <w:b w:val="false"/>
          <w:i w:val="false"/>
          <w:caps w:val="false"/>
          <w:smallCaps w:val="false"/>
          <w:sz w:val="20"/>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from and after the date that is one year after the last original issue date of such Note, such Note will not be “Freely Tradable” unless such Note (x) is identified by an “unrestricted” CUSIP or ISIN number; and (y) is not represented by any certificate that bears the Restrictive Notes Legend. For the avoidance of doubt, whether a Note is deemed to be identified by a “restricted” CUSIP or ISIN number or to bear the Restrictive Notes Legend is subject to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Notes are originally issued if any of the following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the Company, its Subsidiaries, any employee benefit plans of the Company and its Subsidiaries, or the Current Majority Shareholders, has become the direct or indirect “beneficial owner,” as defined in Rule 13d-3 under the Exchange Act, of Common Stock representing more than 50% of the voting power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(A) any recapitalization, reclassification or change of the Common Stock (other than changes resulting from a subdivision or combination or a change solely in nominal value)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assets of the Company and its Subsidiaries, taken as a whole, to any Person;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stockholders of the Company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(or other common stock underlying the Notes) ceases to be listed or quoted on any of The New York Stock Exchange, the Nasdaq Global Select Market or the Nasdaq Global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of “Fundamental Change,” any transaction or series of related transactions that constitute a Fundamental Change pursuant to both clause (a) and clause (b) of this definition (determined without regard to the proviso in clause (b) of this definition) shall be deemed a Fundamental Change solely under clause (b) of this definition (subject to such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means each of (i) the Initial Guarantor and (ii) any other Subsidiary of the Company that executes a Note Guarantee in accordance with the provisions of this Indenture, and its successors and assigns, in each case, until the Note Guarantee of such Person has been released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Note, or other similar terms (but excluding the term “beneficial holder”), means any Person in whose name at the time a particular Note is registered on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(1) all indebtedness of such Person for borrowed money; (2) all obligations of such Person evidenced by bonds, debentures, notes or other similar instruments; (3) all obligations of such Person in respect of letters of credit, bankers’ acceptances or other similar instruments; (4) all obligations of such Person to pay the deferred and unpaid purchase price of property or services which are recorded as liabilities under GAAP or IFRS, as applicable; (5) all obligations of such Person as lessee under any capital lease or finance lease; (6) all Guarantees by such Person of Indebtedness of another Person; (7) all indebtedness of other Persons secured by a Lien on any asset of such Person, whether or not such indebtedness is assumed by such Person; and (8) all obligations of such Person under hedging or derivative arrangements, to the extent such obligations would be required to be recorded as liabilities on a balance sheet prepared in accordance with GAAP or IFRS, as applicable. The amount of indebtedness of any Person will be deemed to be: (A) with respect to contingent obligations, the maximum liability upon the occurrence of the contingency giving rise to the obligation; (B) with respect to any hedging arrangement, the net amount payable if such hedging arrangement terminated at that time due to default by such Person; or (C) otherwise, the outstanding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Fixed Conversion Price</w:t>
      </w:r>
      <w:r>
        <w:rPr>
          <w:rFonts w:ascii="Times New Roman;Times;Serif" w:hAnsi="Times New Roman;Times;Serif"/>
          <w:b w:val="false"/>
          <w:i w:val="false"/>
          <w:caps w:val="false"/>
          <w:smallCaps w:val="false"/>
          <w:sz w:val="20"/>
        </w:rPr>
        <w:t>” means $10.50 per share (as equitably adjusted for stock splits,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Initial Guarantor</w:t>
      </w:r>
      <w:r>
        <w:rPr>
          <w:rFonts w:ascii="Times New Roman;Times;Serif" w:hAnsi="Times New Roman;Times;Serif"/>
          <w:b w:val="false"/>
          <w:i w:val="false"/>
          <w:caps w:val="false"/>
          <w:smallCaps w:val="false"/>
          <w:sz w:val="20"/>
        </w:rPr>
        <w:t>" means Gebr. Schmid GmbH,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Step-Up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w:t>
      </w:r>
      <w:r>
        <w:rPr>
          <w:rFonts w:ascii="Times New Roman;Times;Serif" w:hAnsi="Times New Roman;Times;Serif"/>
          <w:b/>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March 15, June 15, September 15 and December 15 of each year, beginning on December 15, 2026 (or, if such date is not a Business Day,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PIK Date</w:t>
      </w:r>
      <w:r>
        <w:rPr>
          <w:rFonts w:ascii="Times New Roman;Times;Serif" w:hAnsi="Times New Roman;Times;Serif"/>
          <w:b w:val="false"/>
          <w:i w:val="false"/>
          <w:caps w:val="false"/>
          <w:smallCaps w:val="false"/>
          <w:sz w:val="20"/>
        </w:rPr>
        <w:t>” means each Interest Payment Date with respect to which the Company elects (or is deemed to have elected) to pay interest accrued on the Notes to, but excluding, such Interest Payment Date by the Capitalization Method pursuant to Section 2.03(d)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Agreement</w:t>
      </w:r>
      <w:r>
        <w:rPr>
          <w:rFonts w:ascii="Times New Roman;Times;Serif" w:hAnsi="Times New Roman;Times;Serif"/>
          <w:b w:val="false"/>
          <w:i w:val="false"/>
          <w:caps w:val="false"/>
          <w:smallCaps w:val="false"/>
          <w:sz w:val="20"/>
        </w:rPr>
        <w:t>" means the Investment Agreement, dated as of July 7, 2026, between the Company, the Guarantor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average of the mid-point of the last bid and ask prices for the Common Stock (or such other security) on the relevant date from each of at least three nationally recognized independent investment banking firms selected by the Company for this purpose.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regular trading session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security interest, pledge, lien, charge or other similar encumbrance of any kind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Limitation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Lowest Absolute Conversion Price</w:t>
      </w:r>
      <w:r>
        <w:rPr>
          <w:rFonts w:ascii="Times New Roman;Times;Serif" w:hAnsi="Times New Roman;Times;Serif"/>
          <w:b w:val="false"/>
          <w:i w:val="false"/>
          <w:caps w:val="false"/>
          <w:smallCaps w:val="false"/>
          <w:sz w:val="20"/>
        </w:rPr>
        <w:t>” means $1.93 per share (as equitably adjusted for stock splits,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Lowest VWAP Conversion Price</w:t>
      </w:r>
      <w:r>
        <w:rPr>
          <w:rFonts w:ascii="Times New Roman;Times;Serif" w:hAnsi="Times New Roman;Times;Serif"/>
          <w:b w:val="false"/>
          <w:i w:val="false"/>
          <w:caps w:val="false"/>
          <w:smallCaps w:val="false"/>
          <w:sz w:val="20"/>
        </w:rPr>
        <w:t>” means 97% of the lowest Daily VWAP on any of the five (5) Trading Days immediately preceding the Conversion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Redemption Amount</w:t>
      </w:r>
      <w:r>
        <w:rPr>
          <w:rFonts w:ascii="Times New Roman;Times;Serif" w:hAnsi="Times New Roman;Times;Serif"/>
          <w:b w:val="false"/>
          <w:i w:val="false"/>
          <w:caps w:val="false"/>
          <w:smallCaps w:val="false"/>
          <w:sz w:val="20"/>
        </w:rPr>
        <w:t xml:space="preserve">” means, with respect to a Mandatory Redemption Event, an amount payable in cash representing an aggregate principal amount of Notes equal to $1,500,000, in accordance with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Redemption Event</w:t>
      </w:r>
      <w:r>
        <w:rPr>
          <w:rFonts w:ascii="Times New Roman;Times;Serif" w:hAnsi="Times New Roman;Times;Serif"/>
          <w:b w:val="false"/>
          <w:i w:val="false"/>
          <w:caps w:val="false"/>
          <w:smallCaps w:val="false"/>
          <w:sz w:val="20"/>
        </w:rPr>
        <w:t>” means after the Registration Statement has been declared effective, a Registration Default occurs and continues for ten (10)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Redemption Record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4.17(c)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January 14,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Merger Event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specified in the first paragraph of the recitals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Fungibility Date” </w:t>
      </w:r>
      <w:r>
        <w:rPr>
          <w:rFonts w:ascii="Times New Roman;Times;Serif" w:hAnsi="Times New Roman;Times;Serif"/>
          <w:b w:val="false"/>
          <w:i w:val="false"/>
          <w:caps w:val="false"/>
          <w:smallCaps w:val="false"/>
          <w:sz w:val="20"/>
        </w:rPr>
        <w:t xml:space="preserve">means the date, if any, following the Resale Restriction Termination Date on which all of the Rule 144A Notes and all of the Regulation S Notes are no longer Restricted Securities, do not bear the restrictive legend required by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are fungible for U.S. securities law purposes and are assigned an identical, unrestricted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Guarantee</w:t>
      </w:r>
      <w:r>
        <w:rPr>
          <w:rFonts w:ascii="Times New Roman;Times;Serif" w:hAnsi="Times New Roman;Times;Serif"/>
          <w:b w:val="false"/>
          <w:i w:val="false"/>
          <w:caps w:val="false"/>
          <w:smallCaps w:val="false"/>
          <w:sz w:val="20"/>
        </w:rPr>
        <w:t>” means the guarantee, as set out in this Indenture, by any Guarantor of the Company’s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when used with respect to the Company, means a certificate that is delivered to the Trustee and that is signed by any Officer of the Company. Each such certificate shall include the statements provided for in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xml:space="preserve"> if and to the extent required by the provisions of such Section. The Officer giving an Officer’s Certificate pursuant to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shall be the principal executive, financial or accounting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xml:space="preserve">” means an opinion in writing signed by legal counsel, who may be an employee of or counsel to the Company, or other counsel who is reasonably acceptable to the Trustee, that is delivered to the Trustee. Each such opinion shall include the statements provided for in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xml:space="preserve"> if and to the extent required by the provisions of such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xml:space="preserve">,” when used with reference to Notes, shall, subject to the provisions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mean, as of any particular time, all Notes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theretofore canceled by the Trustee or accepted by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Notes that have been paid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Notes in lieu of which, or in substitution for which, other Notes shall have been authenticated and delivered pursuant to the terms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unless proof satisfactory to the Trustee is presented that any such Notes are held by protected purchasers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Notes converted pursuant to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and required to be cancelled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Notes repurchased by the Company and surrendered to the Trustee for cancellation pursuant to the last sentence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Notes disregarded pursuant to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Lien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Liens existing or outstanding as of the date of this Indenture in relation to all Group 14 Technologies Inc. shares held by the Company and any Liens existing, outstanding or contractually agreed as of the date of this Indenture in the instruments set out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imposed by law, such as materialmen’s, workmen’s or repairmen’s, carriers’, warehousemen’s and mechanic’s Liens or other similar Liens, in each case for sums not yet overdue by more than 30 calendar days or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for taxes, assessments or other governmental charges not yet due or payable or subject to penalties for non-payment or which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pledges or deposits under worker’s compensation laws, unemployment insurance laws or similar legislation, or good faith deposits in connection with bids, tenders, contracts or leases, or to secure public or statutory obligations, surety bonds, customs duties and the like, or for the payment of rent, in each case incurred in the ordinary course of business and not securing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the Company’s opinion, materially detract from the value of such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Liens securing reimbursement obligations with respect to letters of credit (including with respect to any </w:t>
      </w:r>
      <w:r>
        <w:rPr>
          <w:rFonts w:ascii="Times New Roman;Times;Serif" w:hAnsi="Times New Roman;Times;Serif"/>
          <w:b w:val="false"/>
          <w:i/>
          <w:caps w:val="false"/>
          <w:smallCaps w:val="false"/>
          <w:sz w:val="20"/>
        </w:rPr>
        <w:t>Avalkredite</w:t>
      </w:r>
      <w:r>
        <w:rPr>
          <w:rFonts w:ascii="Times New Roman;Times;Serif" w:hAnsi="Times New Roman;Times;Serif"/>
          <w:b w:val="false"/>
          <w:i w:val="false"/>
          <w:caps w:val="false"/>
          <w:smallCaps w:val="false"/>
          <w:sz w:val="20"/>
        </w:rPr>
        <w:t xml:space="preserve"> (i.e. German law letter of credits or bank guarantee letter of credits) that encumber documents and other property relating to such letters of credit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judgment liens incurred as a result of a judgment by a court of competent jurisdiction, so long as no Event of Default (as defined in the Indenture) then exists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Liens on property (including Capital Stock (as defined in the Indenture)) of a Person existing at the time such Person becomes a Subsidiary or is merged with or into or consolidated with the Company or any Subsidiary; provided that such Liens were in existence prior to the contemplation of such Person becoming a Subsidiary or such merger or consolidation, were not incurred in contemplation thereof and do not extend to any assets other than those of the Person that becomes a Subsidiary or is merged with or into or consolidated with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in the ordinary course of business on insurance policies and proceeds thereof, or other deposits, to secure insurance premium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on cash (or the accounts in which such cash is held) or other property arising in connection with the defeasance, discharge or redemption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leases, licenses, subleases and sublicenses of assets in the ordinary course of business and Liens arising out of conditional sale, title retention, consignment or similar arrangements for the sale of assets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 mortgages, liens, security interests, restrictions, encumbrances or any other matters of record that have been placed by any developer, landlord or other third party on property over which the Company or any Subsidiary has easement rights or on any real property leased by the Company or any Subsidiary and subordination or similar agreements relating thereto and (ii) any condemnation or eminent domain proceedings or compulsory purchase order affecting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securing or arising by reason of any netting or set-off arrangement entered into in the ordinary course of banking or other trading activities;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pledges of goods, the related documents of title and/or other related documents arising or created in the ordinary course of business or operations as Liens only for debt to a bank or financial institution directly relating to the goods or documents on or over which the pledge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Notes</w:t>
      </w:r>
      <w:r>
        <w:rPr>
          <w:rFonts w:ascii="Times New Roman;Times;Serif" w:hAnsi="Times New Roman;Times;Serif"/>
          <w:b w:val="false"/>
          <w:i w:val="false"/>
          <w:caps w:val="false"/>
          <w:smallCaps w:val="false"/>
          <w:sz w:val="20"/>
        </w:rPr>
        <w:t>” means permanent certificated Notes in registered form issued in denominations of $1.00 principal amount and integral multiples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Interest</w:t>
      </w:r>
      <w:r>
        <w:rPr>
          <w:rFonts w:ascii="Times New Roman;Times;Serif" w:hAnsi="Times New Roman;Times;Serif"/>
          <w:b w:val="false"/>
          <w:i w:val="false"/>
          <w:caps w:val="false"/>
          <w:smallCaps w:val="false"/>
          <w:sz w:val="20"/>
        </w:rPr>
        <w:t xml:space="preserve">” means any interest paid pursuant to </w:t>
      </w:r>
      <w:r>
        <w:rPr>
          <w:rFonts w:ascii="Times New Roman;Times;Serif" w:hAnsi="Times New Roman;Times;Serif"/>
          <w:b w:val="false"/>
          <w:i w:val="false"/>
          <w:caps w:val="false"/>
          <w:smallCaps w:val="false"/>
          <w:sz w:val="20"/>
          <w:u w:val="single"/>
        </w:rPr>
        <w:t>Section 2.03(d)</w:t>
      </w:r>
      <w:r>
        <w:rPr>
          <w:rFonts w:ascii="Times New Roman;Times;Serif" w:hAnsi="Times New Roman;Times;Serif"/>
          <w:b w:val="false"/>
          <w:i w:val="false"/>
          <w:caps w:val="false"/>
          <w:smallCaps w:val="false"/>
          <w:sz w:val="20"/>
        </w:rPr>
        <w:t> by the Capitalization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Interest Rate</w:t>
      </w:r>
      <w:r>
        <w:rPr>
          <w:rFonts w:ascii="Times New Roman;Times;Serif" w:hAnsi="Times New Roman;Times;Serif"/>
          <w:b w:val="false"/>
          <w:i w:val="false"/>
          <w:caps w:val="false"/>
          <w:smallCaps w:val="false"/>
          <w:sz w:val="20"/>
        </w:rPr>
        <w:t>” means 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Notes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Payment</w:t>
      </w:r>
      <w:r>
        <w:rPr>
          <w:rFonts w:ascii="Times New Roman;Times;Serif" w:hAnsi="Times New Roman;Times;Serif"/>
          <w:b w:val="false"/>
          <w:i w:val="false"/>
          <w:caps w:val="false"/>
          <w:smallCaps w:val="false"/>
          <w:sz w:val="20"/>
        </w:rPr>
        <w:t>” means the payment of any PIK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Predecessor Note</w:t>
      </w:r>
      <w:r>
        <w:rPr>
          <w:rFonts w:ascii="Times New Roman;Times;Serif" w:hAnsi="Times New Roman;Times;Serif"/>
          <w:b w:val="false"/>
          <w:i w:val="false"/>
          <w:caps w:val="false"/>
          <w:smallCaps w:val="false"/>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in lieu of or in exchange for a mutilated, lost, destroyed or stolen Note shall be deemed to evidence the same debt as the mutilated, lost, destroyed or stolen Note that it replaces.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Pricing Date</w:t>
      </w:r>
      <w:r>
        <w:rPr>
          <w:rFonts w:ascii="Times New Roman;Times;Serif" w:hAnsi="Times New Roman;Times;Serif"/>
          <w:b w:val="false"/>
          <w:i w:val="false"/>
          <w:caps w:val="false"/>
          <w:smallCaps w:val="false"/>
          <w:sz w:val="20"/>
        </w:rPr>
        <w:t>” means the date of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means, for any Notes to be redeemed, 108% of the Capitalized Principal Amount of such Notes, plus accrued interest that has not been paid or capitalized, if any, to, but excluding, the redemption date (unless the redemption date falls after a Regular Record Date but on or prior to the immediately succeeding Interest Payment Date, in which case interest accrued to the Interest Payment Date will be paid in cash at the Cash Interest Rate to Holders of record of such Notes as of the close of business on such Regular Record Date (notwithstanding any prior election (or deemed election) by the Company to pay such interest pursuant to the Capitalization Method)(the “</w:t>
      </w:r>
      <w:r>
        <w:rPr>
          <w:rFonts w:ascii="Times New Roman;Times;Serif" w:hAnsi="Times New Roman;Times;Serif"/>
          <w:b/>
          <w:i w:val="false"/>
          <w:caps w:val="false"/>
          <w:smallCaps w:val="false"/>
          <w:sz w:val="20"/>
        </w:rPr>
        <w:t>Applicable Call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Default</w:t>
      </w:r>
      <w:r>
        <w:rPr>
          <w:rFonts w:ascii="Times New Roman;Times;Serif" w:hAnsi="Times New Roman;Times;Serif"/>
          <w:b w:val="false"/>
          <w:i w:val="false"/>
          <w:caps w:val="false"/>
          <w:smallCaps w:val="false"/>
          <w:sz w:val="20"/>
        </w:rPr>
        <w:t>” shall mean any failure by the Company to comply with its obligations with respect to the Registration Statement, including, without limitation, (a) if the Registration Statement, after having been declared effective by the Commission, ceases to be effective or is not usable for resale of the shares of Common Stock issuable upon conversion of the Notes for any reason or (b) the Company fails to maintain the effectiveness of the Registration Statement or otherwise fails to satisfy the conditions necessary to permit the resale of such shares of Common Stock pursuant to the Registration Statement, and, in each case, such failure continues for the applicable grace period (if any)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 Effective Date</w:t>
      </w:r>
      <w:r>
        <w:rPr>
          <w:rFonts w:ascii="Times New Roman;Times;Serif" w:hAnsi="Times New Roman;Times;Serif"/>
          <w:b w:val="false"/>
          <w:i w:val="false"/>
          <w:caps w:val="false"/>
          <w:smallCaps w:val="false"/>
          <w:sz w:val="20"/>
        </w:rPr>
        <w:t>” shall mean the first date on which the Registration Statement has been declared effective by the Commission and is available for the resale of all shares of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with respect to any Interest Payment Date, means the March 1, June 1, September 1 and December 1 (whether or not such day is a Business Day) immediately preceding the applicable March 15, June 15, September 15 and December 15 Interest Payment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under the Securities Act or any successor to such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 Notes</w:t>
      </w:r>
      <w:r>
        <w:rPr>
          <w:rFonts w:ascii="Times New Roman;Times;Serif" w:hAnsi="Times New Roman;Times;Serif"/>
          <w:b w:val="false"/>
          <w:i w:val="false"/>
          <w:caps w:val="false"/>
          <w:smallCaps w:val="false"/>
          <w:sz w:val="20"/>
        </w:rPr>
        <w:t>” means the Notes initially offered and sold outside the United States pursuant to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 Notes</w:t>
      </w:r>
      <w:r>
        <w:rPr>
          <w:rFonts w:ascii="Times New Roman;Times;Serif" w:hAnsi="Times New Roman;Times;Serif"/>
          <w:b w:val="false"/>
          <w:i w:val="false"/>
          <w:caps w:val="false"/>
          <w:smallCaps w:val="false"/>
          <w:sz w:val="20"/>
        </w:rPr>
        <w:t>” means the Notes initially offered and sold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14.02(a)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any conversion of Notes, Physical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 Subsidiary of the Company that meets the definition of “significant subsidiary” in Article 1, Rule 1-02 of Regulation S-X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Step-Up Interest</w:t>
      </w:r>
      <w:r>
        <w:rPr>
          <w:rFonts w:ascii="Times New Roman;Times;Serif" w:hAnsi="Times New Roman;Times;Serif"/>
          <w:b w:val="false"/>
          <w:i w:val="false"/>
          <w:caps w:val="false"/>
          <w:smallCaps w:val="false"/>
          <w:sz w:val="20"/>
        </w:rPr>
        <w:t xml:space="preserve">” shall mean, collectively, Initial Step-Up Interest and Additional Step-Up Interest, in each case payable pursuant to </w:t>
      </w:r>
      <w:r>
        <w:rPr>
          <w:rFonts w:ascii="Times New Roman;Times;Serif" w:hAnsi="Times New Roman;Times;Serif"/>
          <w:b w:val="false"/>
          <w:i w:val="false"/>
          <w:caps w:val="false"/>
          <w:smallCaps w:val="false"/>
          <w:sz w:val="20"/>
          <w:u w:val="single"/>
        </w:rPr>
        <w:t>Section 2.03(e)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Subordination Agreement</w:t>
      </w:r>
      <w:r>
        <w:rPr>
          <w:rFonts w:ascii="Times New Roman;Times;Serif" w:hAnsi="Times New Roman;Times;Serif"/>
          <w:b w:val="false"/>
          <w:i w:val="false"/>
          <w:caps w:val="false"/>
          <w:smallCaps w:val="false"/>
          <w:sz w:val="20"/>
        </w:rPr>
        <w:t>” means the subordination agreement dated July 14, 2026 among Anette Schmid, Christian Schmid, Schmid Grundstücke GmbH &amp; Co. KG, Schmid Verwaltungs GmbH, the Initial Guarantor, the Trustee and the initial beneficial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except for determining amounts due upon conversion as set forth below,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Common Stock (or such other security) is not so listed or traded,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determining amounts due upon conversion only,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(x) there is no Market Disruption Event and (y) trading in the Common Stock generally occurs on The Nasdaq Stock Market or, if the Common Stock is not then listed on The Nasdaq Stock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shall include the Notes, this Indenture, the Note Guarantee, the Investment Agreement and the Registration Rights Agreement, dated as of July 14, 2026, between the Company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it was in force at the date of execution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of this Indenture until a successor Trustee shall have become such pursuant to the applicable provisions of this Indenture, and thereafter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mean or include each Person who is then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U.S. Person” </w:t>
      </w:r>
      <w:r>
        <w:rPr>
          <w:rFonts w:ascii="Times New Roman;Times;Serif" w:hAnsi="Times New Roman;Times;Serif"/>
          <w:b w:val="false"/>
          <w:i w:val="false"/>
          <w:caps w:val="false"/>
          <w:smallCaps w:val="false"/>
          <w:sz w:val="20"/>
        </w:rPr>
        <w:t>shall have the meaning as such term is defined under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References to Interest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Unless the context otherwise requires, any reference to interest on, or in respect of, any Note in this Indenture shall be deemed to include Step-Up Interest and Default Interest if, in such context, Step-Up Interest or Default Interest is, was or would be payable pursuant to any of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Unless the context otherwise requires, any express mention of Step-Up Interest, Default Interest or interest in any provision hereof shall not be construed as excluding Step-Up Interest, Default Interest or interest in those provisions hereof where such express mention is not made. Unless the context otherwise requires, any reference to accrued interest on, or in respect of, any Note that has not been paid or capitalized in this Indenture shall be deemed to refer to the amount of such interest that would have accrued as of the relevant time at the applicable Cash Interest Rate as if the Company had elected the Cash Method in respect of all of the relevant interest (whether or not the Company actually elected the Cash Method and notwithstanding any prior election (or deemed election) by the Company to pay such interest pursuant to the Capitalization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ISSUE, DESCRIPTION, EXECUTION,</w:t>
        <w:br/>
        <w:t>REGISTRATION AND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Designation and Amount</w:t>
      </w:r>
      <w:r>
        <w:rPr>
          <w:rFonts w:ascii="Times New Roman;Times;Serif" w:hAnsi="Times New Roman;Times;Serif"/>
          <w:b w:val="false"/>
          <w:i w:val="false"/>
          <w:caps w:val="false"/>
          <w:smallCaps w:val="false"/>
          <w:sz w:val="20"/>
        </w:rPr>
        <w:t xml:space="preserve">. The Notes shall be designated as the “5.0% Convertible Senior PIK Toggle Notes due 2029.” The aggregate principal amount of Notes that may be authenticated and delivered under this Indenture is initially limited to $20,000,000,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and except as a result of an increase in the principal amount of the outstanding Global Notes as a result of a PIK Payment, for Notes authenticated and delivered upon the issuance of PIK Notes or for registration or transfer of, or in exchange for, or in lieu of other Notes to the extent permitted hereunder. The Notes shall be issued in a single tranche in an initial aggregate principal amount of $20,000,000 on or about the fifth Business Day following the Pricing Date (T+5), subject to the terms and provisions of this Indenture. The Notes shall be issued at an issue price equal to 99% of their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Form of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Notes and the Trustee’s certificate of authentication to be borne by such Notes shall be substantially in the respective forms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terms and provisions of which shall constitute, and are hereby expressly incorporated in and made a part of this Indenture. To the extent applicable, the Company, the Guarantors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PIK Interest,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Date and Denomination of Notes; Payments of Interest and Defaulted Amounts</w:t>
      </w:r>
      <w:r>
        <w:rPr>
          <w:rFonts w:ascii="Times New Roman;Times;Serif" w:hAnsi="Times New Roman;Times;Serif"/>
          <w:b w:val="false"/>
          <w:i w:val="false"/>
          <w:caps w:val="false"/>
          <w:smallCaps w:val="false"/>
          <w:sz w:val="20"/>
        </w:rPr>
        <w:t>. (a)  The Notes shall be issuable in registered form without coupons in minimum denominations of $1.00 principal amount and integral multiples thereof. PIK Interest on the Notes shall be paid in minimum denominations of $1.00 and integral multiples thereof, rounded up to the nearest $1.00.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Note (or its Predecessor Note) is registered on the Note Register at the close of business on any Regular Record Date with respect to any Interest Payment Date shall be entitled to receive the interest payable on such Interest Payment Date. The Capitalized Principal Amount of any Note (x) in the case of any Physical Note, shall be payable at the office or agency of the Company designated by the Company for such purposes in the contiguous United States,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Defaulted Amounts shall forthwith cease to be payable to the Holder on the relevant payment date but shall accrue interest at the rate equal to 2.0% per annum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(which shall be in addition to, not in lieu of, the interest payable pursuant to this Indenture and the Notes), subject to the enforceability thereof under applicable law, from, and including, such relevant payment date, and such Defaulted Amounts together with such Default Interest thereon shall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may elect to make payment of any Defaulted Amounts and Default Interest to the Persons in whose names the Notes (or their respective Predecessor Notes) are registered at the close of business on a special record date for the payment of such Defaulted Amounts and Default Interest, which shall be fixed in the following manner. The Company shall notify the Trustee in writing of the amount of the Defaulted Amounts and Default Interest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and Default Interest or shall make arrangements satisfactory to the Trustee for such deposit on or prior to the date of the proposed payment, such money when deposited to be held in trust for the benefit of the Persons entitled to such Defaulted Amounts and Default Interest as in this clause provided. Thereupon the Company shall fix a special record date for the payment of such Defaulted Amounts and Default Interest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Default Interest and the special record date therefor to be delivered to each Holder not less than 10 days prior to such special record date; provided that the Trustee has received such notice at least two Business Days prior to the date such notice is to be sent (or such shorter period as shall be acceptable to the Trustee). Notice of the proposed payment of such Defaulted Amounts and Default Interest and the special record date therefor having been so delivered, such Defaulted Amounts and Default Interest shall be paid to the Persons in whose names the Notes (or their respective Predecessor Notes) are registered at the close of business on such special record date and shall no longer be payable pursuant to the following clause (ii) of this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The Trustee shall have no responsibility whatsoever for the calculation of the Defaulted Amounts and Default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and Default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at its option, elect to pay interest on the Notes on any Interest Payment Date (a) by paying an amount in cash on such Interest Payment Date equal to all or a portion of interest accrued from, and including, the immediately preceding Interest Payment Date (or if there is no immediately preceding Interest Payment Date, from, and including, the issue date of such Notes or such other date from which such Note bears interest as stated on such Note) on the principal amount as of the immediately preceding Interest Payment Date (or if there is no immediately preceding Interest Payment Date, on the Initial Principal Amount), calculated at the Cash Interest Rate (the “</w:t>
      </w:r>
      <w:r>
        <w:rPr>
          <w:rFonts w:ascii="Times New Roman;Times;Serif" w:hAnsi="Times New Roman;Times;Serif"/>
          <w:b/>
          <w:i w:val="false"/>
          <w:caps w:val="false"/>
          <w:smallCaps w:val="false"/>
          <w:sz w:val="20"/>
        </w:rPr>
        <w:t>Cash Method</w:t>
      </w:r>
      <w:r>
        <w:rPr>
          <w:rFonts w:ascii="Times New Roman;Times;Serif" w:hAnsi="Times New Roman;Times;Serif"/>
          <w:b w:val="false"/>
          <w:i w:val="false"/>
          <w:caps w:val="false"/>
          <w:smallCaps w:val="false"/>
          <w:sz w:val="20"/>
        </w:rPr>
        <w:t>”) and (b) to the extent not paid by the Cash Method, by payment-in-kind, in the case of Global Notes, by increasing the principal amount of such Global Notes by the Capitalization Amount for such Interest Payment Date or, in the case of Physical Notes, by issuing PIK Notes in the form of Physical Notes (the “</w:t>
      </w:r>
      <w:r>
        <w:rPr>
          <w:rFonts w:ascii="Times New Roman;Times;Serif" w:hAnsi="Times New Roman;Times;Serif"/>
          <w:b/>
          <w:i w:val="false"/>
          <w:caps w:val="false"/>
          <w:smallCaps w:val="false"/>
          <w:sz w:val="20"/>
        </w:rPr>
        <w:t>Capitalization Method</w:t>
      </w:r>
      <w:r>
        <w:rPr>
          <w:rFonts w:ascii="Times New Roman;Times;Serif" w:hAnsi="Times New Roman;Times;Serif"/>
          <w:b w:val="false"/>
          <w:i w:val="false"/>
          <w:caps w:val="false"/>
          <w:smallCaps w:val="false"/>
          <w:sz w:val="20"/>
        </w:rPr>
        <w:t>”); provided that on any Interest Payment Date on which the Company pays interest using the Capitalization Method, the aggregate Capitalization Amount shall be rounded up to the nearest $1.00; and provided further that for any Notes (1) surrendered for conversion after a Regular Record Date and on or prior to the corresponding Interest Payment Date; or (2) repurchased on a Fundamental Change Repurchase Date that is after a Regular Record Date and on or prior to the corresponding Interest Payment Date, any Capitalization Amount that would have been paid as PIK Interest for such Notes on such corresponding Interest Payment Date shall instead be paid in cash at the Cash Interest Rate to the relevant Holder(s) of such Notes as of such Regular Record Date, and no such PIK Payment shall be made on account of such Notes (notwithstanding any prior election (or deemed election) by the Company to pay such interest pursuant to the Capitalization Method for such Notes). The Company shall elect the method of paying interest on an Interest Payment Date by delivering a notice to the Trustee and Holders on or prior to ten (10) Business Days immediately preceding the relevant Interest Payment Date identifying the method selected and (a) the amount of cash interest to be paid and/or (b) the amount of PIK Interest to be paid, as applicable. In the absence of such an election with respect to an Interest Payment Date, the Company shall be deemed to have elected the Capitalization Method for all of the interest due on such Interest Payment Date. All interest payable in respect of the Interest Payment Date scheduled to occur on the Maturity Date shall be paid entirely by the Cash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shall make payments of interest by the Cash Method in accordance with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in the case of Defaulted Amounts). The Company shall make payments of interest by the Capitalization Method, (x) if the Notes are represented by one or more Physical Notes, by issuing additional Physical Notes to the relevant record Holder on the relevant Interest Payment Date (the “</w:t>
      </w:r>
      <w:r>
        <w:rPr>
          <w:rFonts w:ascii="Times New Roman;Times;Serif" w:hAnsi="Times New Roman;Times;Serif"/>
          <w:b/>
          <w:i w:val="false"/>
          <w:caps w:val="false"/>
          <w:smallCaps w:val="false"/>
          <w:sz w:val="20"/>
        </w:rPr>
        <w:t>PIK Notes</w:t>
      </w:r>
      <w:r>
        <w:rPr>
          <w:rFonts w:ascii="Times New Roman;Times;Serif" w:hAnsi="Times New Roman;Times;Serif"/>
          <w:b w:val="false"/>
          <w:i w:val="false"/>
          <w:caps w:val="false"/>
          <w:smallCaps w:val="false"/>
          <w:sz w:val="20"/>
        </w:rPr>
        <w:t>”) in an aggregate principal amount equal to the relevant Capitalization Amount (rounded up to the nearest $1.00) and the Trustee will, upon receipt of a Company Order, authenticate and deliver such PIK Notes in the form of Physical Notes for original issuance to the Holders on the relevant Regular Record Date, as shown in the Note Register, and (y) if the Notes are represented by one or more Global Notes registered in the name of, or held by, the Depositary or its nominee on the relevant Regular Record Date, by increasing the principal amount of the outstanding Global Note by an amount equal to the amount of PIK Interest for the applicable interest period (rounded up to the nearest $1.00), and the Trustee, upon receipt of a Company Order, will increase the principal amount of the outstanding Global Note by such amount. The issuance of any PIK Notes or the increase in the principal amount of the Global Note shall be computed on the basis of the aggregate principal amount of the Notes held by a Holder. Following an increase in the principal amount of the outstanding Global Notes as a result of a PIK Payment, the Global Notes shall bear interest on such increased principal amount from and after the date of such PIK Payment. Any PIK Notes issued as Physical Notes shall be dated as of the applicable Interest Payment Date and shall bear interest from and after such date. All PIK Notes issued pursuant to a PIK Payment shall be governed by, and subject to the terms, provisions and conditions of, this Indenture and shall have the same rights and benefits as the Notes issued on the initial issue date of such Notes. Any PIK Notes shall be issued with the description PIK on the face of such Note, and references to the “principal amount” of the Notes shall include any increase in the principal amount of the outstanding Notes as a result of any PIK Payment. The Notes issued on the initial issue date and any PIK Notes shall be treated as a single class for all purposes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registration statement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covering the resale of the shares of Common Stock issuable upon conversion of the Notes (and covering the maximum number of additional shares of Common Stock that may be issuable pursuant to conversions of the PIK Notes) has not been filed by the Company or has not been declared effective by the Commission or is otherwise not usable for such resale on or prior to August 15, 2026 (the “</w:t>
      </w:r>
      <w:r>
        <w:rPr>
          <w:rFonts w:ascii="Times New Roman;Times;Serif" w:hAnsi="Times New Roman;Times;Serif"/>
          <w:b/>
          <w:i w:val="false"/>
          <w:caps w:val="false"/>
          <w:smallCaps w:val="false"/>
          <w:sz w:val="20"/>
        </w:rPr>
        <w:t>Effectiveness Target Date</w:t>
      </w:r>
      <w:r>
        <w:rPr>
          <w:rFonts w:ascii="Times New Roman;Times;Serif" w:hAnsi="Times New Roman;Times;Serif"/>
          <w:b w:val="false"/>
          <w:i w:val="false"/>
          <w:caps w:val="false"/>
          <w:smallCaps w:val="false"/>
          <w:sz w:val="20"/>
        </w:rPr>
        <w:t>”), then, beginning on the day immediately following the Effectiveness Target Date, the interest rate applicable to the Notes (in relation to the principal amount then outstanding) shall automatically increase by 1.0% per annum (the “</w:t>
      </w:r>
      <w:r>
        <w:rPr>
          <w:rFonts w:ascii="Times New Roman;Times;Serif" w:hAnsi="Times New Roman;Times;Serif"/>
          <w:b/>
          <w:i w:val="false"/>
          <w:caps w:val="false"/>
          <w:smallCaps w:val="false"/>
          <w:sz w:val="20"/>
        </w:rPr>
        <w:t>Initial Step-Up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Registration Statement has not been filed by the Company or has not been declared effective by the Commission by the date that is one month after the Effectiveness Target Date, then, beginning on such date, and on each monthly anniversary thereof for so long as the Registration Statement has not been filed and declared effective by the Commission, the interest rate applicable to the Notes (in relation to the principal amount then outstanding) shall automatically further increase by an additional 0.50% per annum for each full month period or fraction thereof during which there is no effective Registration Statement on file with the Commission (each, an “</w:t>
      </w:r>
      <w:r>
        <w:rPr>
          <w:rFonts w:ascii="Times New Roman;Times;Serif" w:hAnsi="Times New Roman;Times;Serif"/>
          <w:b/>
          <w:i w:val="false"/>
          <w:caps w:val="false"/>
          <w:smallCaps w:val="false"/>
          <w:sz w:val="20"/>
        </w:rPr>
        <w:t>Additional Step-Up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Step-Up Interest shall continue to accrue until the date on which the Registration Statement is declared effective by the Commission, at which time the interest rate applicable to the Notes shall automatically decrease by the aggregate amount of Step-Up Interest then in effect and revert to the otherwise applicable rate under this Indenture as if no Step-Up Interest had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All Step-Up Interest shall accrue on the outstanding principal amount of the Notes and shall be payable in the same manner, at the same times and subject to the same terms (including the Company’s election of the Cash Method or the Capitalization Method) as interest otherwise payable on the Notes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Step-Up Interest is separate from, and in addition to, any Default Interest that may accrue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The accrual or payment of Step-Up Interest shall not, by itself, constitute or give rise to a Default or an Event of Default. For the avoidance of doubt, Step-Up Interest shall accrue in addition to all other interest payable pursuant to this Indenture and the Notes, subject to the enforceability thereof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increase and decrease of the interest rate pursuant to this </w:t>
      </w:r>
      <w:r>
        <w:rPr>
          <w:rFonts w:ascii="Times New Roman;Times;Serif" w:hAnsi="Times New Roman;Times;Serif"/>
          <w:b w:val="false"/>
          <w:i w:val="false"/>
          <w:caps w:val="false"/>
          <w:smallCaps w:val="false"/>
          <w:sz w:val="20"/>
          <w:u w:val="single"/>
        </w:rPr>
        <w:t>Section 2.03(e)</w:t>
      </w:r>
      <w:r>
        <w:rPr>
          <w:rFonts w:ascii="Times New Roman;Times;Serif" w:hAnsi="Times New Roman;Times;Serif"/>
          <w:b w:val="false"/>
          <w:i w:val="false"/>
          <w:caps w:val="false"/>
          <w:smallCaps w:val="false"/>
          <w:sz w:val="20"/>
        </w:rPr>
        <w:t> shall occur automatically and without the need for any notice, demand or other action by the Company,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shall promptly notify the Trustee and the Holders in writing regarding the day on which any Step-Up Interest first becomes effective, specifying the applicable increase in the interest rate and the date on which such Step-Up Interest commenced. The Company shall also notify the Trustee and the Holders promptly regarding the day on which Step-Up Interest ceases to apply or reverts, of the cessation of such Step-Up Interest and the interest rate applicable to the Notes thereafter. The Trustee shall be entitled to rely conclusively on such notice and shall have no duty to monitor, determine or independently verify the commencement, accrual, calculation or cessation of any Step-Up Interest. "Promptly" in relation to this subsection means not more than two (2) Business Days following the date that the relevant Step-Up Interest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Execution, Authentication and Delivery of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Notes shall be signed in the name and on behalf of the Company by the manual, facsimile or other electronic signature of one of the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the Trustee shall be entitled to receive an Officer’s Certificate and an Opinion of Counsel of the Company with respect to the issuance, authentication and delivery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such Notes as shall bear thereon a certificate of authentication substantially in the form set forth on the Form of Note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executed manually or electronically by an authorized signatory of the Trustee (or an authenticating agent appointed by the Trustee as provided by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Exchange and Registration of Transfer of Notes; Restrictions on Transfer; Depositary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The Company shall cause to be kept at the Corporate Trust Office a register (the register maintained in such office or in any other office or agency of the Company designated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entity acting as Trustee is hereby initially appointed the “</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xml:space="preserve">” for the purpose of registering Notes and transfers of Notes as herein provided. The Company may appoint one or more co-Note Registrars in accordance with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Notes Fungibility Date, upon surrender for registration of transfer of any Rule 144A Note or Regulation S Note, as the case may be, to the Note Registrar or any co-Note Registrar, and satisfaction of the requirements for such transfer set forth in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Company shall execute, and upon receipt of a Company Order the Trustee shall authenticate and deliver, in the name of the designated transferee or transferees, one or more new Rule 144A Notes or Regulation S Notes, as the case may be, of any authorized denominations and of a like aggregate principal amount and bearing such restrictive legends as may be required by this Indenture. Following the Notes Fungibility Date, upon surrender for registration of transfer of any Note to the Note Registrar or any co-Note Registrar, and satisfaction of the requirements for such transfer set forth in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Company shall execute, and the Trustee shall authenticate and deliver, in the name of the designated transferee or transferees, one or more new Notes of any authorized denominations and of a like aggregate principal amount not bearing the restrictive legend required by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Notes Fungibility Date, Rule 144A Notes and Regulation S Notes, as the case may be, may be exchanged for other Rule 144A Notes or Regulation S Notes, as the case may be, of any authorized denominations and of a like aggregate principal amount, upon surrender of the Rule 144A Notes or Regulation S Notes, as the case may be, to be exchanged at any such office or agency maintained by the Company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Whenever any Rule 144A Notes or Regulation S Notes, as the case may be, are so surrendered for exchange, the Company shall execute, and upon receipt of a Company Order, the Trustee shall authenticate and deliver, the Rule 144A Notes or Regulation S Notes, as the case may be, that the Holder making the exchange is entitled to receive, bearing registration numbers not contemporaneously outstanding. Following the Notes Fungibility Date, Notes may be exchanged for other Notes of any authorized denominations and of a like aggregate principal amount but not bearing the applicable restrictive legend required by this Indenture, upon surrender of the Notes to be exchanged at any such office or agency maintained by the Company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presented or surrendered for registration of transfer or for exchange, redemption,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Company, the Trustee, the Note Registrar, any co-Note Registrar or the Paying Agent for any exchange or registration of transfer of Notes, but the Company and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or (ii) any Notes, or a portion of any Note, surrendered for repurchase (and not withdrawn) in accordance with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the Notes are eligible for book-entry settlement with the Depositary, unless otherwise required by law, subject to the fourth paragraph from the end of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all Notes shall be represented by one or more Notes in global form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registered in the name of the Depositary or the nominee of the Depositary. Each Global Note shall bear the legend required on a Global Note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Prior to the Notes Fungibility Date, the Rule 144A Notes shall be represented by one or more Global Notes and the Regulation S Notes shall be represented by one or more separate Global Notes. Following the Notes Fungibility Date, the Rule 144A Notes and the Regulation S Notes may be represented by one or more of the same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Every Note that bears or is required under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to bear the Restrictive Notes Legend (together with any Common Stock issued upon conversion of the Notes that is required to bear the legend set forth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xml:space="preserve">”) shall be subject to the restrictions on transfer set forth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xml:space="preserve">”)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if applicable) shall bear a legend in substantially the following form (the “</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NON-U.S. PERSON LOCATED OUTSIDE THE UNITED STATES IN ACCORDANCE WITH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(2)(E)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Note prior to the Resale Restriction Termination Date will be registered by the Note Registrar unless the applicable box on the Form of Assignment and Transfer has been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be exchanged for a new Note or Notes, of like tenor and aggregate principal amount, which shall not bear the Restrictive Notes Legend required by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and shall not be assigned a restricted CUSIP number. The Company shall promptly notify the Trustee (i) upon the occurrence of the Resale Restriction Termination Date and (ii) after a registration statement, if any, with respect to the Notes or any Common Stock issued upon conversion of the Notes has been declared effective under the Securities Act. Upon notice of the Resale Restriction Termination Date in accordance with the immediately preceding sentence, the legend set forth above shall be deemed removed from the Note, with no further action required by the Company, the Trustee, or, if applicable, the Depositary; at such time, such Note will be deemed to be identified by the “unrestricted” CUSIP and ISIN numbers provided in the certificate representing such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and the Depositary requires a mandatory exchange or other procedure to cause such Global Note to be identified by “unrestricted” CUSIP and ISIN numbers in the facilities of such Depositary, then (x) the Company will effect such exchange or procedure as soon as reasonably practicable; and (y) for purposes of </w:t>
      </w:r>
      <w:r>
        <w:rPr>
          <w:rFonts w:ascii="Times New Roman;Times;Serif" w:hAnsi="Times New Roman;Times;Serif"/>
          <w:b w:val="false"/>
          <w:i w:val="false"/>
          <w:caps w:val="false"/>
          <w:smallCaps w:val="false"/>
          <w:sz w:val="20"/>
          <w:u w:val="single"/>
        </w:rPr>
        <w:t>Section 4.06</w:t>
      </w:r>
      <w:r>
        <w:rPr>
          <w:rFonts w:ascii="Times New Roman;Times;Serif" w:hAnsi="Times New Roman;Times;Serif"/>
          <w:b w:val="false"/>
          <w:i w:val="false"/>
          <w:caps w:val="false"/>
          <w:smallCaps w:val="false"/>
          <w:sz w:val="20"/>
        </w:rPr>
        <w:t xml:space="preserve"> and the definition of Freely Tradable, such Global Note will not be deemed to be identified by “unrestricted” CUSIP and ISIN numbers until such time as such exchange or procedure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provisions of this Indenture (other than the provisions set forth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entity acting as Custodian.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Physical Notes issued in exchange for all or a part of the Global Note pursuant to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Guarantors, the Trustee or any agent of the Company, the Guarantors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NON-U.S. PERSON LOCATED OUTSIDE THE UNITED STATES IN ACCORDANCE WITH REGULATION S UNDER THE SECURITIES ACT,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(2)(E)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Note or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Mutilated, Destroyed, Lost or Stolen Notes</w:t>
      </w:r>
      <w:r>
        <w:rPr>
          <w:rFonts w:ascii="Times New Roman;Times;Serif" w:hAnsi="Times New Roman;Times;Serif"/>
          <w:b w:val="false"/>
          <w:i w:val="false"/>
          <w:caps w:val="false"/>
          <w:smallCaps w:val="false"/>
          <w:sz w:val="20"/>
        </w:rPr>
        <w:t>.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substitute Note issued pursuant to the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Cancellation of Notes Paid, Converted, Etc</w:t>
      </w:r>
      <w:r>
        <w:rPr>
          <w:rFonts w:ascii="Times New Roman;Times;Serif" w:hAnsi="Times New Roman;Times;Serif"/>
          <w:b w:val="false"/>
          <w:i w:val="false"/>
          <w:caps w:val="false"/>
          <w:smallCaps w:val="false"/>
          <w:sz w:val="20"/>
        </w:rPr>
        <w:t xml:space="preserve">. The Company shall cause all Notes surrendered for the purpose of payment at maturity, redemption, registration of transfer or exchange or conversion (other than any Notes exchanged pursuant to </w:t>
      </w:r>
      <w:r>
        <w:rPr>
          <w:rFonts w:ascii="Times New Roman;Times;Serif" w:hAnsi="Times New Roman;Times;Serif"/>
          <w:b w:val="false"/>
          <w:i w:val="false"/>
          <w:caps w:val="false"/>
          <w:smallCaps w:val="false"/>
          <w:sz w:val="20"/>
          <w:u w:val="single"/>
        </w:rPr>
        <w:t>Section 14.12</w:t>
      </w:r>
      <w:r>
        <w:rPr>
          <w:rFonts w:ascii="Times New Roman;Times;Serif" w:hAnsi="Times New Roman;Times;Serif"/>
          <w:b w:val="false"/>
          <w:i w:val="false"/>
          <w:caps w:val="false"/>
          <w:smallCaps w:val="false"/>
          <w:sz w:val="20"/>
        </w:rPr>
        <w:t>), if surrendered to any Person that the Company controls, to be delivered to the Trustee for cancellation. All Notes delivered to the Trustee shall be canceled promptly by it.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xml:space="preserve">. The Company in issuing the Notes may use “CUSIP” numbers (if then generally in use), and, if so, the Trustee shall use “CUSIP” numbers in all notices issued to Holders as a convenience to such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Trustee shall have no liability for any defect in the “CUSIP” numbers as they appear on any Note, notice or elsewhere,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Additional Notes; Repurchases</w:t>
      </w:r>
      <w:r>
        <w:rPr>
          <w:rFonts w:ascii="Times New Roman;Times;Serif" w:hAnsi="Times New Roman;Times;Serif"/>
          <w:b w:val="false"/>
          <w:i w:val="false"/>
          <w:caps w:val="false"/>
          <w:smallCaps w:val="false"/>
          <w:sz w:val="20"/>
        </w:rPr>
        <w:t xml:space="preserve">. The Company may, without the consent of, or notice to, the Holders and notwithstanding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reopen this Indenture and issue additional Notes hereunder (in addition to any PIK Notes)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as the Trustee shall reasonably request. In addition, subject to applicable law, the Company or its Subsidiaries may directly or indirectly repurchase Notes in the open market or otherwise, whether through private or public tender or exchange offers, cash-settled swaps or other cash-settled derivatives. The Company may, at its option and to the extent permitted by applicable law, reissue, resell or surrender to the Trustee for cancellation any Notes that the Company may repurchase, in the case of a reissuance or resale, so long as such Notes do not constitute Restricted Securities upon such reissuance or resale. Any Notes that the Company or its Subsidiaries may repurchase will be considered outstanding for all purposes herein (other than, at any time when such Notes are held by the Company, any of its Subsidiaries or Affiliates or any subsidiary of any of the Company’s Affiliates, for the purpose of determining whether Holders of the requisite aggregate principal amount of the Notes have concurred in any direction, consent, waiver or other action under this Indenture) unless and until such time the Company surrenders the Notes to the Trustee for cancellation and, upon receipt of a Company Order, the Trustee will cancel all the Notes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Satisfaction and Discharge</w:t>
      </w:r>
      <w:r>
        <w:rPr>
          <w:rFonts w:ascii="Times New Roman;Times;Serif" w:hAnsi="Times New Roman;Times;Serif"/>
          <w:b w:val="false"/>
          <w:i w:val="false"/>
          <w:caps w:val="false"/>
          <w:smallCaps w:val="false"/>
          <w:sz w:val="20"/>
        </w:rPr>
        <w:t xml:space="preserve">. (a) This Indenture and the Notes shall cease to be of further effect when (i) all Notes theretofore authenticated and delivered (other than (x) Notes which have been destroyed, lost or stolen and which have been replaced, paid or converted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(y) Notes for whose payment money has heretofore been deposited in trust or segregated and held in trust by the Company and thereafter repaid to the Company or discharged from such trust, as provided in </w:t>
      </w:r>
      <w:r>
        <w:rPr>
          <w:rFonts w:ascii="Times New Roman;Times;Serif" w:hAnsi="Times New Roman;Times;Serif"/>
          <w:b w:val="false"/>
          <w:i w:val="false"/>
          <w:caps w:val="false"/>
          <w:smallCaps w:val="false"/>
          <w:sz w:val="20"/>
          <w:u w:val="single"/>
        </w:rPr>
        <w:t>Section 4.04(d)</w:t>
      </w:r>
      <w:r>
        <w:rPr>
          <w:rFonts w:ascii="Times New Roman;Times;Serif" w:hAnsi="Times New Roman;Times;Serif"/>
          <w:b w:val="false"/>
          <w:i w:val="false"/>
          <w:caps w:val="false"/>
          <w:smallCaps w:val="false"/>
          <w:sz w:val="20"/>
        </w:rPr>
        <w:t xml:space="preserve">) have been delivered to the Trustee for cancellation; or (ii) the Company or any Guarantor has deposited with the Trustee or delivered to Holders, as applicable, after the Notes have become due and payable, whether on the Maturity Date, any Fundamental Change Repurchase Date, upon conversion or otherwise, cash, shares of Common Stock or a combination thereof, as applicable, solely to satisfy the Company’s Conversion Obligation, sufficient to pay all of the outstanding Notes and all other sums due and payable under this Indenture or the Notes by the Company and the Guarantors; and (b) the Trustee upon request of the Company contained in an Officer’s Certificate and at the expense of the Company, shall execute such instruments reasonably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and the Guarantors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PARTICULAR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The Company will maintain in the contiguous United States, an office or agency where the Notes may be surrendered for registration of transfer or exchange or for presentation for payment or repurchase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or for conversion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contiguous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designation or rescission shall in any manner relieve the Company of its obligation to maintain an office or agency in the contiguous United States, for such purposes. The Company will give prompt written notice to the Trustee of any such designation or rescission and of any change in the location of any such other office or agency. The terms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include any such additional or other offices or agencies,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the entity acting as Trustee as the Paying Agent, Note Registrar and Conversion Agent and the Corporate Trust Office as the office or agency in the contiguous United States,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Appointments to Fill Vacancies in Trustee’s Office</w:t>
      </w:r>
      <w:r>
        <w:rPr>
          <w:rFonts w:ascii="Times New Roman;Times;Serif" w:hAnsi="Times New Roman;Times;Serif"/>
          <w:b w:val="false"/>
          <w:i w:val="false"/>
          <w:caps w:val="false"/>
          <w:smallCaps w:val="false"/>
          <w:sz w:val="20"/>
        </w:rPr>
        <w:t xml:space="preserve">. The Company, whenever necessary to avoid or fill a vacancy in the office of Trustee, will appoint, in the manner provided in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Provisions as to Paying Agent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If the Company shall appoint a Paying Agent other than the entity acting as Trustee, the Company will cause such Paying Agent to execute and deliver to the Trustee an instrument in which such agent shall agree with the Trustee, subject to the provisions of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(including funds for payment of the Redemption Price, the Fundamental Change Repurchase Price, and the Mandatory Redemption Amount, if applicable) of, and accrued and unpaid interest on, the Notes in trust for the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notice of any failure by the Company to make any payment of the principal (including payment of the Redemption Price, the Fundamental Change Repurchase Price, and the Mandatory Redemption Amount) of, and accrued and unpaid interest on, the Notes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the Fundamental Change Repurchase Price, and the Mandatory Redemption Amount) or accrued and unpaid interest, and (unless such Paying Agent is the entity acting as Trustee) the Company will promptly notify the Trustee in writing of any failure to take such action;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such deposit is made on the due date, such deposit must be received by the Paying Agent by 10:00 a.m.,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(including the Redemption Price, the Fundamental Change Repurchase Price and the Mandatory Redemption Amount, if applicable) of, and accrued and unpaid interest on, the Notes, set aside, segregate and hold in trust for the benefit of the Holders of the Notes a sum sufficient to pay such principal (including the Redemption Price, the Fundamental Change Repurchase Price, and the Mandatory Redemption Amount)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Anything in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the Trustee shall automatically become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and the Guarantors for payment thereof, and all liability of the Trustee or such Paying Agent with respect to such trust money and shares of Common Stock, and all liability of the Company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the Company shall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val="false"/>
          <w:caps w:val="false"/>
          <w:smallCaps w:val="false"/>
          <w:sz w:val="20"/>
          <w:u w:val="single"/>
        </w:rPr>
        <w:t>Rule 144A Information Requirement and Annual Reports; Financial Statements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Trustee, within 15 days after the same are required to be filed with the Commission, copies of any annual reports or reports of foreign private issuer (on Form 20-F or Form 6-K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giving effect to any grace period provided by Rule 12b-25 under the Exchange Act (or any successor thereto)). Any such document or report that the Company files with the Commission via the Commission’s Electronic Data Gathering, Analysis,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xml:space="preserve">”) system (or any successor system) shall be deemed to be filed with the Trustee for purposes of this </w:t>
      </w:r>
      <w:r>
        <w:rPr>
          <w:rFonts w:ascii="Times New Roman;Times;Serif" w:hAnsi="Times New Roman;Times;Serif"/>
          <w:b w:val="false"/>
          <w:i w:val="false"/>
          <w:caps w:val="false"/>
          <w:smallCaps w:val="false"/>
          <w:sz w:val="20"/>
          <w:u w:val="single"/>
        </w:rPr>
        <w:t>Section 4.06(b)</w:t>
      </w:r>
      <w:r>
        <w:rPr>
          <w:rFonts w:ascii="Times New Roman;Times;Serif" w:hAnsi="Times New Roman;Times;Serif"/>
          <w:b w:val="false"/>
          <w:i w:val="false"/>
          <w:caps w:val="false"/>
          <w:smallCaps w:val="false"/>
          <w:sz w:val="20"/>
        </w:rPr>
        <w:t> at the time such documents are filed via the EDGAR system (or such successor), it being understood that the Trustee shall have no responsibility to determine if any documents have been filed. Delivery of the reports, information and documents described in this subsection (b) to the Trustee is for informational purposes only, and the information and the Trustee’s receipt of such shall not constitute actual or constructive notice of any information contained therein or determinable from information contained therein, including the Company’s and the Guarantors’ compliance with any of its covenants hereunder (as to which the Trustee is entitled to conclusively rely on an Officer’s Certificate). The Trustee shall have no liability or responsibility for the filing, timeliness, or content of such reports. The Trustee shall not be obligated to monitor or confirm, on a continuing basis or otherwise, the Company’s compliance with the covenants or with respect to any reports or other documents filed with the Commission or posted to any website or participate in any conference calls.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deliver to the Trustee: (i) within one hundred twenty (120) days after the end of each fiscal year, audited consolidated financial statements of the Company, prepared in accordance with GAAP or IFRS, together with an unqualified audit opinion of an independent registered public accounting firm without any going concern qualification, explanatory paragraph or exception and (ii) within one hundred eighty (180) days after the end of the second fiscal quarter of each fiscal year, unaudited consolidated interim financial statements of the Company, prepared in accordance with GAAP or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covenants that for the period of time during which Notes are outstanding, the Company shall not violate, whether or not the Company is subject to, Section 18(a)(1)(A) as modified by Section 61(a), each of the Investment Company Act or any successor provisions thereto of the Investment Company Act, as such obligation may be amended or superseded but giving effect to any exemptive or no-action relief that may be granted to the Company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Each of the Company and each Guarantor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w:t>
      </w:r>
      <w:r>
        <w:rPr>
          <w:rFonts w:ascii="Times New Roman;Times;Serif" w:hAnsi="Times New Roman;Times;Serif"/>
          <w:b w:val="false"/>
          <w:i w:val="false"/>
          <w:caps w:val="false"/>
          <w:smallCaps w:val="false"/>
          <w:sz w:val="20"/>
          <w:u w:val="single"/>
        </w:rPr>
        <w:t>Compliance Certificate; Statements as to Defaults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deliver to the Trustee within 120 days after the end of each fiscal year of the Company (beginning with the fiscal year ending on December 31, 2026) an Officer’s Certificate stating whether the signers thereof have knowledge of any Event of Default or Default that occurred during the previous year and, if so, specifying each such Event of Default or Default and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is not required to deliver such Officer’s Certificate if the event that would constitute a Default or Event of Default has been cured or waived before the date the Company is required to deliver such Officer’s Certificate. Each such Officer’s Certificate shall also state whether any Mandatory Redemption Event has occurred or is continuing during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 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Books and Records; Inspection</w:t>
      </w:r>
      <w:r>
        <w:rPr>
          <w:rFonts w:ascii="Times New Roman;Times;Serif" w:hAnsi="Times New Roman;Times;Serif"/>
          <w:b w:val="false"/>
          <w:i w:val="false"/>
          <w:caps w:val="false"/>
          <w:smallCaps w:val="false"/>
          <w:sz w:val="20"/>
        </w:rPr>
        <w:t>. The Company shall keep proper books and records of account in accordance with GAAP or IFRS. Upon reasonable prior notice and during normal business hours, the Company shall permit the Trustee (or its representatives) to inspect such books and records and discuss the Company’s affairs, finances and accounts with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shall pay and discharge all taxes, assessments and governmental charges imposed upon it or its properties, except to the extent the same are being contested in good faith by appropriate proceedings and adequate reserves have been established in accordance with GAAP or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Conduct of Business; Permits and Licenses</w:t>
      </w:r>
      <w:r>
        <w:rPr>
          <w:rFonts w:ascii="Times New Roman;Times;Serif" w:hAnsi="Times New Roman;Times;Serif"/>
          <w:b w:val="false"/>
          <w:i w:val="false"/>
          <w:caps w:val="false"/>
          <w:smallCaps w:val="false"/>
          <w:sz w:val="20"/>
        </w:rPr>
        <w:t>. The Company shall conduct their businesses in the ordinary course in a manner consistent with past practice, except as otherwise permitted under the Transaction Documents. The Company shall also maintain all material permits, licenses, approvals and authorizations necessary for the conduct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Compliance with Laws and Material Agreements</w:t>
      </w:r>
      <w:r>
        <w:rPr>
          <w:rFonts w:ascii="Times New Roman;Times;Serif" w:hAnsi="Times New Roman;Times;Serif"/>
          <w:b w:val="false"/>
          <w:i w:val="false"/>
          <w:caps w:val="false"/>
          <w:smallCaps w:val="false"/>
          <w:sz w:val="20"/>
        </w:rPr>
        <w:t>. The Company shall comply in all material respects with all applicable laws, rules and regulations and perform its obligations under all material agreements, except for the ongoing dispute between the Company and Validus Broker Dealer Investment Mgmt. Co. LLC (or Validus/StratCap LLC) in relation to the promissory note issued to Validus Broker Dealer Investment Mgmt.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issuance of the Notes solely for the purposes described in the Transaction Documents and not for any other purpose prohibited by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Limitation on Indebtedness and Liens; Restricted Transactions</w:t>
      </w:r>
      <w:r>
        <w:rPr>
          <w:rFonts w:ascii="Times New Roman;Times;Serif" w:hAnsi="Times New Roman;Times;Serif"/>
          <w:b w:val="false"/>
          <w:i w:val="false"/>
          <w:caps w:val="false"/>
          <w:smallCaps w:val="false"/>
          <w:sz w:val="20"/>
        </w:rPr>
        <w:t>. So long as the outstanding Capitalized Principal Amount of the Notes, together with any accrued but unpaid interest thereon, exceeds $9,000,000, each of the Company covenants, and the Guarantor covenants with respect to itself,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Guarantor shall incur, create, assume or otherwise become liable with respect to any additional Indebtedness that ranks senior to or pari passu with the Notes, if the aggregate principal amount of such Indebtedness (excluding the Notes) would exceed $200,000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permit any Significant Subsidiary of the Company (other than the Guarantor) to incur, create, assume or otherwise become liable with respect to any additional Indebtedness if the aggregate principal amount of such Indebtedness would exceed $200,000 at any time outstanding; provided that the Company’s indirect 100% owned Chinese subsidiaries SCHMID Technology (Guangdong) Co., Ltd. (STG) and SCHMID Trading (Zhongshan) Co. Ltd. may incur combined new indebtedness in an aggregate principal amount not to exceed EUR 20,000,000 (or its equivalent), provided that (i) such indebtedness is non-recourse to the Company and to the Guarantor and (ii) no Guarantor provides any guarantee, keepwell, comfort undertaking, security interest or other credit support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Guarantor shall create, incur, assume or permit to exist any Lien on any of its properties or assets, whether now owned or hereafter acquired,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declare or make, directly or indirectly, any dividend or other distribution, whether in cash, securities or other property, on account of, or any payment to purchase, redeem, retire or otherwise acquire, any equity interests, including any Capital Stock, membership interests, partnership interests or other ownership interests,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Guarantor shall consolidate or merge with or into, or transfer, lease or otherwise dispose of all or substantially all of its assets to, any other Person, except (i) any merger or consolidation the result of which the Company or the Guarantor, as applicable, is the surviving entity and (ii) transfers, leases or other dispositions of assets in the ordinary course of business that do not constitute a transfer of all or substantially all of the assets of the Company or the Guarantor,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occurrence of a Mandatory Redemption Event, the Company shall be required to make the payments described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fifteen (15) Business Days following the occurrence of a Mandatory Redemption Event, the Company shall pay to the Holders, in cash, the Mandatory Redemption Amount. Each Mandatory Redemption Amount shall be applied as a reduction of the outstanding principal of the Notes and deemed a mandatory redemption of such Notes at Applicable Call Price at the time such Mandatory Redemption Amount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fix a record date for each Mandatory Redemption Amount, which shall be five (5) Business Days prior to the date such Mandatory Redemption Amount is to be paid (the “</w:t>
      </w:r>
      <w:r>
        <w:rPr>
          <w:rFonts w:ascii="Times New Roman;Times;Serif" w:hAnsi="Times New Roman;Times;Serif"/>
          <w:b/>
          <w:i w:val="false"/>
          <w:caps w:val="false"/>
          <w:smallCaps w:val="false"/>
          <w:sz w:val="20"/>
        </w:rPr>
        <w:t>Mandatory Redemption Record Date</w:t>
      </w:r>
      <w:r>
        <w:rPr>
          <w:rFonts w:ascii="Times New Roman;Times;Serif" w:hAnsi="Times New Roman;Times;Serif"/>
          <w:b w:val="false"/>
          <w:i w:val="false"/>
          <w:caps w:val="false"/>
          <w:smallCaps w:val="false"/>
          <w:sz w:val="20"/>
        </w:rPr>
        <w:t>”), and the Mandatory Redemption Amount shall be payable only to Holders of record as of the close of business on such Mandatory Redemption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Mandatory Redemption Event is continuing, the Company shall continue to pay the Mandatory Redemption Amount on a monthly basis, with each such payment due within fifteen (15) Business Days after the end of each successive monthly period, until such Mandatory Redemption Event has been cured or waived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Mandatory Redemption payments shall be made solely in cash, and once payment is made, no Holder shall have any right to convert, exchange or otherwise receive shares of Common Stock in respect of any Mandatory Redemption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Failure by the Company to pay any Mandatory Redemption Amount when due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constitute a Default and, if continuing for the applicable grace period under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 an Event of Default (for the avoidance of doubt, the occurrence of a Mandatory Redemption Event shall not, by itself,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Mandatory Redemption Amount paid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reduce, dollar-for-dollar, the outstanding Capitalized Principal Amount of the Notes for all purposes of this Indenture, including conversion, redemption and repayment at maturity. Any payment made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be treated as a payment of principal for all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promptly notify the Trustee and the Holders in writing of the occurrence of each payment of a Mandatory Redemption Amount at least five (5) Business Days prior to the required payment. Each such notice shall also include the Mandatory Redemption Record Date. The Trustee shall be entitled to rely conclusively on such notice and shall have no duty to monitor, determine or independently verify the commencement or cessation of any Mandatory Redemption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LISTS OF HOLDERS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Lists of Holders</w:t>
      </w:r>
      <w:r>
        <w:rPr>
          <w:rFonts w:ascii="Times New Roman;Times;Serif" w:hAnsi="Times New Roman;Times;Serif"/>
          <w:b w:val="false"/>
          <w:i w:val="false"/>
          <w:caps w:val="false"/>
          <w:smallCaps w:val="false"/>
          <w:sz w:val="20"/>
        </w:rPr>
        <w:t>. The Company covenants and agrees that it will furnish or cause to be furnished to the Trustee, semi-annually, not more than 15 days after each June 1 and December 1 in each year beginning with December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entity acting as Trustee is acting as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Preservation and Disclosure of Lists</w:t>
      </w:r>
      <w:r>
        <w:rPr>
          <w:rFonts w:ascii="Times New Roman;Times;Serif" w:hAnsi="Times New Roman;Times;Serif"/>
          <w:b w:val="false"/>
          <w:i w:val="false"/>
          <w:caps w:val="false"/>
          <w:smallCaps w:val="false"/>
          <w:sz w:val="20"/>
        </w:rPr>
        <w:t xml:space="preserve">. The Trustee shall preserve, in as current a form as is reasonably practicable, all information as to the names and addresses of the Holders contained in the most recent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maintained by the entity acting as Trustee in its capacity as Note Registrar, if so acting. The Trustee may destroy any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events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on any Note when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Note when due and payable on the Maturity Date, upon any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failure by the Company to comply with its obligation to convert the Notes in accordance with this Indenture upon exercise of a Holder’s conversion right (following such Holder providing all required technical documentation for the issuance of shares of the Company to the Holder as a result of the exercise of such Holder's conversion right as set out in </w:t>
      </w:r>
      <w:r>
        <w:rPr>
          <w:rFonts w:ascii="Times New Roman;Times;Serif" w:hAnsi="Times New Roman;Times;Serif"/>
          <w:b w:val="false"/>
          <w:i w:val="false"/>
          <w:caps w:val="false"/>
          <w:smallCaps w:val="false"/>
          <w:sz w:val="20"/>
          <w:u w:val="single"/>
        </w:rPr>
        <w:t>Section 14.02(b)</w:t>
      </w:r>
      <w:r>
        <w:rPr>
          <w:rFonts w:ascii="Times New Roman;Times;Serif" w:hAnsi="Times New Roman;Times;Serif"/>
          <w:b w:val="false"/>
          <w:i w:val="false"/>
          <w:caps w:val="false"/>
          <w:smallCaps w:val="false"/>
          <w:sz w:val="20"/>
        </w:rPr>
        <w:t>) and such failure continues for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by the Company to issue a Fundamental Change Company Notice in accordance with </w:t>
      </w:r>
      <w:r>
        <w:rPr>
          <w:rFonts w:ascii="Times New Roman;Times;Serif" w:hAnsi="Times New Roman;Times;Serif"/>
          <w:b w:val="false"/>
          <w:i w:val="false"/>
          <w:caps w:val="false"/>
          <w:smallCaps w:val="false"/>
          <w:sz w:val="20"/>
          <w:u w:val="single"/>
        </w:rPr>
        <w:t>Section 15.02(b)</w:t>
      </w:r>
      <w:r>
        <w:rPr>
          <w:rFonts w:ascii="Times New Roman;Times;Serif" w:hAnsi="Times New Roman;Times;Serif"/>
          <w:b w:val="false"/>
          <w:i w:val="false"/>
          <w:caps w:val="false"/>
          <w:smallCaps w:val="false"/>
          <w:sz w:val="20"/>
        </w:rPr>
        <w:t xml:space="preserve">, or notice of a specified corporate transaction in accordance with </w:t>
      </w:r>
      <w:r>
        <w:rPr>
          <w:rFonts w:ascii="Times New Roman;Times;Serif" w:hAnsi="Times New Roman;Times;Serif"/>
          <w:b w:val="false"/>
          <w:i w:val="false"/>
          <w:caps w:val="false"/>
          <w:smallCaps w:val="false"/>
          <w:sz w:val="20"/>
          <w:u w:val="single"/>
        </w:rPr>
        <w:t>Section 14.01(b)(ii)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14.01(b)(iii)</w:t>
      </w:r>
      <w:r>
        <w:rPr>
          <w:rFonts w:ascii="Times New Roman;Times;Serif" w:hAnsi="Times New Roman;Times;Serif"/>
          <w:b w:val="false"/>
          <w:i w:val="false"/>
          <w:caps w:val="false"/>
          <w:smallCaps w:val="false"/>
          <w:sz w:val="20"/>
        </w:rPr>
        <w:t xml:space="preserve">, in each case when due and, except with respect to any notice of a specified corporate transaction in accordance with </w:t>
      </w:r>
      <w:r>
        <w:rPr>
          <w:rFonts w:ascii="Times New Roman;Times;Serif" w:hAnsi="Times New Roman;Times;Serif"/>
          <w:b w:val="false"/>
          <w:i w:val="false"/>
          <w:caps w:val="false"/>
          <w:smallCaps w:val="false"/>
          <w:sz w:val="20"/>
          <w:u w:val="single"/>
        </w:rPr>
        <w:t>Section 14.01(b)(ii)</w:t>
      </w:r>
      <w:r>
        <w:rPr>
          <w:rFonts w:ascii="Times New Roman;Times;Serif" w:hAnsi="Times New Roman;Times;Serif"/>
          <w:b w:val="false"/>
          <w:i w:val="false"/>
          <w:caps w:val="false"/>
          <w:smallCaps w:val="false"/>
          <w:sz w:val="20"/>
        </w:rPr>
        <w:t>, such failure continues for three (3)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failure by the Company to comply with the obligation set forth under </w:t>
      </w:r>
      <w:r>
        <w:rPr>
          <w:rFonts w:ascii="Times New Roman;Times;Serif" w:hAnsi="Times New Roman;Times;Serif"/>
          <w:b w:val="false"/>
          <w:i w:val="false"/>
          <w:caps w:val="false"/>
          <w:smallCaps w:val="false"/>
          <w:sz w:val="20"/>
          <w:u w:val="single"/>
        </w:rPr>
        <w:t>Section 4.06</w:t>
      </w:r>
      <w:r>
        <w:rPr>
          <w:rFonts w:ascii="Times New Roman;Times;Serif" w:hAnsi="Times New Roman;Times;Serif"/>
          <w:b w:val="false"/>
          <w:i w:val="false"/>
          <w:caps w:val="false"/>
          <w:smallCaps w:val="false"/>
          <w:sz w:val="20"/>
        </w:rPr>
        <w:t>, and such failure continues for a period of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failure by the Company to comply with its obligations under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failure by the Company or any Guarantor to comply with its obligations under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failure by the Company or any Guarantor for 30 days after written notice from the Trustee or the Holders of at least 25% in principal amount of the Notes then outstanding has been received by the Company to comply with any of the terms, obligations, or conditions set forth in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failure by the Company to pay any Mandatory Redemption Amount when due pursuant to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and such failure continues for two (2) Business Days after such payment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default by the Company, any Guarantor or any Significant Subsidiary of the Company with respect to any mortgage, agreement or other instrument under which there may be outstanding, or by which there may be secured or evidenced, any indebtedness for money borrowed in excess of $3,000,000 (or its foreign currency equivalent) in the aggregate of the Company, the Guarantor and/or any such Significant Subsidiary, whether such indebtedness now exists or shall hereafter be created (i) resulting in such indebtedness becoming or being declared due and payable prior to its stated maturity date or (ii) constituting a failure to pay the principal or interest of any such debt when due and payable (after the expiration of all applicable grace periods) at its stated maturity, upon required repurchase, upon declaration of acceleration or otherwise,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default in relation to the promissory note issued to Validus Broker Dealer Investment Mgmt. Co. LLC shall not be considered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 final judgment for the payment of $3,000,000 (or its foreign currency equivalent) or more (excluding any amounts covered by insurance) rendered against the Company or any Significant Subsidiary of the Company, which judgment is not discharged or stayed within 30 days after (i) the date on which the right to appeal thereof has expired if no such appeal has commenced, or (ii) the date on which all rights to appeal have been extinguished,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judgment in relation to the ongoing dispute between the Company and Validus Broker Dealer Investment Mgmt. Co. LLC (or Validus/StratCap LLC) in relation to the promissory note issued to Validus Broker Dealer Investment Mgmt. Co. LLC shall not be considered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the Company, any Guarantor or any Significant Subsidiary (A) shall commence a voluntary case or other proceeding seeking liquidation, reorganization or other relief with respect to the Company, any Guarantor or any such Significant Subsidiary or its debts under any bankruptcy, insolvency or other similar law now or hereafter in effect or seeking the appointment of a trustee, receiver, liquidator, custodian or other similar official of the Company, any Guarantor or any such Significant Subsidiary or any substantial part of its property; (B) shall consent to any such relief or to the appointment of or taking possession by any such official in an involuntary case or other proceeding commenced against it; (C) shall make a general assignment for the benefit of creditors; or (D) shall fail generally to pay its debts as they become due; or (ii) the Company’s annual report (on Form 20-F or any respective successor form) that is most recently filed by the Company with the Commission states that substantial doubt exists about the Company’s ability to continue as a going concern, which statement is in relation to the ability of the Company’s cash and cash equivalents to support the Company’s operations for more than one year following the date of such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 involuntary case or other proceeding shall be commenced against the Company, any Guarantor or any Significant Subsidiary seeking liquidation, reorganization or other relief with respect to the Company, any Guarantor or such Significant Subsidiary or its debts under any bankruptcy, insolvency or other similar law now or hereafter in effect or seeking the appointment of a trustee, receiver, liquidator, custodian or other similar official of the Company, any Guarantor or such Significant Subsidiary or any substantial part of its property, and such involuntary case or other proceeding shall remain undismissed and unstayed for a period of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permitted by this Indenture, the Note Guarantee of any Guarantor ceases to be in full force and effect, or such Guarantor denies or disaffirms in writing its obligations under this Indenture or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failure by the Company to remove or cause to be removed any restricted securities legend from any shares of Common Stock issued upon conversion of the Notes when and as required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any representation or warranty made by the Company or any Guarantor in any Transaction Document shall have been false or misleading in any material respect when made (or deemed made), and such breach is not cured within thirty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if the Company or any Guarantor asserts in writing, or commences any action or proceeding asserting, that any material provision of any Transaction Document is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the Note Guarantee of any Guarantor ceases to be in full force and effect or is declared invalid or unenforceable by a court of competent jurisdiction;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material breach of the Subordination Agreement by the Company or any subordinated creditors party thereto (including, without limitation, any violation of the payment provisions thereof or obligations described therein), and such breach is not cured within thirty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Acceleration; Rescission and Annulment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xml:space="preserve"> with respect to the Company), unless the principal of all of the Notes shall have already become due and payable, either the Trustee or the Holders of at least 25% in aggregate principal amount of the Notes then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by notice in writing to the Company (and to the Trustee if given by Holders), may declare 100% of the principal of, and accrued and unpaid interest (including Default Interest and Step-Up Interest) on, all outstanding Notes to be due and payable immediately, and upon any such declaration the same shall become and shall automatically be immediately due and payable, anything contained in this Indenture or in the Notes to the contrary notwithstanding. For the avoidance of doubt, if such Event of Default is not continuing at the time such notice is provided (that is, such Event of Default has been cured or waived as of such time), then such notice will not be effective to cause such amounts to become due and payable immediately. If an Event of Default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with respect to the Company occurs and is continuing, 100% of the principal of, and accrued and unpaid interest (including Default Interest and Step-Up Interest), if any, on, all Notes shall become and shall automatically be immediately due and payable. Any Mandatory Redemption Amount due and unpaid at the time of acceleration shall be immediately due and payable and no Mandatory Redemption Event or Mandatory Redemption Amount shall be deemed satisfied or extinguished except by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(including, for the avoidance of doubt, the failure to pay interest (including Default Interest and Step-Up Interest), if any, due and payable on any Defaulted Amounts) under this Indenture, other than the nonpayment of the principal of and accrued and unpaid interest (including Default Interest and Step-Up Interest), if any, on Notes that shall have become due solely by such acceleration, shall have been cured or waived pursuant to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Payments of Notes on Default; Suit Therefor</w:t>
      </w:r>
      <w:r>
        <w:rPr>
          <w:rFonts w:ascii="Times New Roman;Times;Serif" w:hAnsi="Times New Roman;Times;Serif"/>
          <w:b w:val="false"/>
          <w:i w:val="false"/>
          <w:caps w:val="false"/>
          <w:smallCaps w:val="false"/>
          <w:sz w:val="20"/>
        </w:rPr>
        <w:t xml:space="preserve">. If an Event of Default described in clause (a) or (b)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have occurred and be continuing, the Company shall, upon demand of the Trustee, pay to the Trustee, for the benefit of the Holders of the Notes, the whole amount then due and payable on the Notes for principal and interest (including Default Interest and Step-Up Interest), if any, with interest (including Default Interest and Step-Up Interest) on any overdue principal and interest (including Default Interest and Step-Up Interest), if any, at the rate borne by the Notes at such time and, in addition thereto, such further amount as shall be sufficient to cover any amounts due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shall be entitled and empowered, by intervention in such proceedings or otherwise, to file and prove a claim or claims for the whole amount of principal and accrued and unpaid interest (including Default Interest and Step-Up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indemnity obligations and any other amounts due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incurred by it or owed to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and any indemnity amounts and other amounts owed to it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be for the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the Trustee shall have proceeded to enforce any right under this Indenture and such proceedings shall have been discontinued or abandoned because of any waiver pursuant to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or any rescission and annulment pursuant to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or for any other reason or shall have been determined adversely to the Trustee, then and in every such case the Company, the Guarantors, the Holders and the Trustee shall, subject to any determination in such proceeding, be restored respectively to their several positions and rights hereunder, and all rights, remedies and powers of the Company, the Guarantors, the Holders and the Trustee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Application of Monies or Property Collected by Trustee</w:t>
      </w:r>
      <w:r>
        <w:rPr>
          <w:rFonts w:ascii="Times New Roman;Times;Serif" w:hAnsi="Times New Roman;Times;Serif"/>
          <w:b w:val="false"/>
          <w:i w:val="false"/>
          <w:caps w:val="false"/>
          <w:smallCaps w:val="false"/>
          <w:sz w:val="20"/>
        </w:rPr>
        <w:t>. Any monies or property collected by the Trustee pursuant to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with respect to the Notes shall be applied in the following order, at the date or dates fixed by the Trustee for the distribution of such monies or property, and, in the case of clause Second, upon presentation of the several Notes, and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to the payment of all amounts due the Trustee (including the entity acting as Trustee acting in any other capacity hereunder) hereunder, including its agent and counsel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(including Default Interest and Step-Up Interest) on, and any cash due upon conversion of, the Notes in default in the order of the date due of the payments of such interest (including Default Interest and Step-Up Interest) and cash due upon conversion, as the case may be, with interest (including Default Interest and Step-Up Interest) (to the extent that such interest has been collected by the Trustee) upon such overdue payments at the rate borne by the Notes at such time, such payments to be made ratably to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in case the principal of the outstanding Notes shall have become due, by declaration or otherwise, and be unpaid to the payment of the whole amount (including, if applicable, the payment of the Redemption Price and the Fundamental Change Repurchase Price and any cash due upon conversion) then owing and unpaid upon the Notes for principal and interest (including Default Interest and Step-Up Interest), if any, with interest (including Default Interest and Step-Up Interest) on the overdue principal and, to the extent that such interest (including Default Interest and Step-Up Interest) has been collected by the Trustee, upon overdue installments of interest (including Default Interest and Step-Up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(including Default Interest and Step-Up Interest) without preference or priority of principal over interest (including Default Interest and Step-Up Interest), or of interest (including Default Interest and Step-Up Interest) over principal or of any installment of interest (including Default Interest and Step-Up Interest) over any other installment of interest (including Default Interest and Step-Up Interest), or of any Note over any other Note, ratably to the aggregate of such principal (including, if applicable, the Redemption Price and the Fundamental Change Repurchase Price and any cash due upon conversion) and accrued and unpaid interest (including Default Interest and Step-Up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xml:space="preserve">, in case of any unpaid Mandatory Redemption Amounts due under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payment of all such outstanding amounts due to the 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Proceedings by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to enforce the right to receive payment of principal (including, if applicable, the Redemption Price and the Fundamental Change Repurchase Price) or interest (including Default Interest and Step-Up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shall have given to the Trustee written notice of an Event of Default and of the continuance thereof,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shall have offered to the Trustee such security or indemnity satisfactory to it against any loss, liability or expense to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30 days after its receipt of such notice, request and offer of such security or indemnity, shall have neglected or refused to institute any such action, suit or proceeding (unless the Trustee has confirmed to such Holder that the Trustee will not institute such action, suit or proceeding prior to the expiration of such 30-day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direction that, in the opinion of the Trustee, is inconsistent with such written request shall have been given to the Trustee by the Holders of a majority of the aggregate principal amount of the Notes then outstanding within such 30-day period pursuant to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any other Holder), or to enforce any right under this Indenture, except in the manner herein provided and for the equal, ratable and common benefit of all Holders (except as otherwise provided herein). For the protection and enforcement of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each and every 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(including Default Interest and Step-Up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Proceedings by Trustee</w:t>
      </w:r>
      <w:r>
        <w:rPr>
          <w:rFonts w:ascii="Times New Roman;Times;Serif" w:hAnsi="Times New Roman;Times;Serif"/>
          <w:b w:val="false"/>
          <w:i w:val="false"/>
          <w:caps w:val="false"/>
          <w:smallCaps w:val="false"/>
          <w:sz w:val="20"/>
        </w:rPr>
        <w:t>. In case of an Event of Default, the Trustee may in its discretion (subject to the provisions of this Indenture) proceed to protect and enforce the rights vested in it by this Indenture by judicial proceedings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Remedies Cumulative and Continuing</w:t>
      </w:r>
      <w:r>
        <w:rPr>
          <w:rFonts w:ascii="Times New Roman;Times;Serif" w:hAnsi="Times New Roman;Times;Serif"/>
          <w:b w:val="false"/>
          <w:i w:val="false"/>
          <w:caps w:val="false"/>
          <w:smallCaps w:val="false"/>
          <w:sz w:val="20"/>
        </w:rPr>
        <w:t xml:space="preserve">. Except as provided in the last paragraph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all powers and remedies given by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every power and remedy given by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or by law to the Trustee or to the Holders may be exercised from time to time, and as often as shall be deemed expedient, by the Trustee or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Direction of Proceedings and Waiver of Defaults by Majority of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Subject to the Trustee’s right to receive security or indemnity from the relevant Holders as described herein, the Holders of a majority of the aggregate principal amount of the Notes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have the right to direct the time, method and place of conducting any proceeding for any remedy available to the Trustee or exercising any trust or power conferred on the Trustee with respect to the Notes or the Note Guarantees;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such direction shall not be in conflict with any rule of law or with this Indenture, and (b) the Trustee may take any other action that is not inconsistent with such direction. The Trustee may refuse to follow any direction that it determines is in conflict with any rule of law or with this Indenture or is unduly prejudicial to the rights of any other Holder or that may involve the Trustee in personal liability. The Holders of a majority in aggregate principal amount of the Notes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on behalf of the Holders of all of the Notes waive any past Default or Event of Default hereunder and its consequences except any continuing defaults relating to (i) a default in the payment of accrued and unpaid interest (including Default Interest and Step-Up Interest), if any, on, or the principal (including any Redemption Price and any Fundamental Change Repurchase Price) of, the Notes when due that has not been cured pursuant to the provisions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(ii) a failure by the Company or any Guarantor to pay or deliver, as the case may be, the consideration due upon conversion of the Notes or (iii) a default in respect of a covenant or provision hereof which under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cannot be modified or amended without the consent of each Holder of an outstanding Note affected. Upon any such waiver the Company, the Guarantors,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The Trustee shall, within 90 days after the occurrence and continuance of a Default of which a Responsible Officer has received written notice, deliver to all Holders notice of all Defaults known to a Responsible Officer, unless such Defaults shall have been cured or waived before the giving of such notice;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in the case of a Default in the payment of the principal of (including the Redemption Price and the Fundamental Change Repurchase Price, if applicable), or accrued and unpaid interest (including Default Interest and Step-Up Interest) on, any of the Notes or a Default in the payment or delivery of the consideration due upon conversion, the Trustee shall be protected in withholding such notice if it in good faith determines that the withholding of such notice is in the interests of the Holders. For the avoidance of doubt, the Trustee will not be required to deliver such notice if such Default or Event of Default is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Undertaking to Pay Costs</w:t>
      </w:r>
      <w:r>
        <w:rPr>
          <w:rFonts w:ascii="Times New Roman;Times;Serif" w:hAnsi="Times New Roman;Times;Serif"/>
          <w:b w:val="false"/>
          <w:i w:val="false"/>
          <w:caps w:val="false"/>
          <w:smallCaps w:val="false"/>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provisions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or to any suit instituted by any Holder for the enforcement of the payment of the principal of or accrued and unpaid interest (including Default Interest and Step-Up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Duties and Responsibilities of Trustee</w:t>
      </w:r>
      <w:r>
        <w:rPr>
          <w:rFonts w:ascii="Times New Roman;Times;Serif" w:hAnsi="Times New Roman;Times;Serif"/>
          <w:b w:val="false"/>
          <w:i w:val="false"/>
          <w:caps w:val="false"/>
          <w:smallCaps w:val="false"/>
          <w:sz w:val="20"/>
        </w:rPr>
        <w:t xml:space="preserve">. The Trustee, prior to the occurrence of an Event of Default and after the curing or waiver of all Events of Default that may have occurred for which a Responsible Officer has written notice,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and after the curing or waiving of all Events of Default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gross negligence or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absence of written investment direction from the Company and agreement thereto by the Trustee,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 agreement thereto by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that the Trustee is also acting in any other capacity under this Indenture, including, without limitation, as Custodian, Note Registrar, Paying Agent, Conversion Agent, or transfer agent, the rights and protections afforded to the Trustee pursuant to this Indenture, including, without limitation, the indemnities provided in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hereof, shall also be afforded to the Trustee in such other capacity,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or the Notes shall require the Trustee to expend or risk its own funds or otherwise incur personal financial liability in the performance of any of its duties or in the exercise of any of its rights or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Rights of the Trustee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require an Opinion of Counsel and any advice of such counsel or Opinion of Counsel shall be full and complete authorization and protection in respect of any action taken or omitted by it hereunder in good faith and in reliance on such advice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may execute any of the trusts or powers hereunder or perform any duties hereunder either directly or by or through agents, custodians, nominees or attorneys and the Trustee shall not be responsible for any action, inaction, misconduct or negligence on the part of any agent, custodian, nominee or attorney appointed by it with due care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permissive rights of the Trustee enumerated herein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shall have no obligation to pursue any action that is not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liable for any action taken, suffered, or omitted to be taken by it in good faith and reasonably believed by it to be authorized or within the discretion or rights or powers conferred upon it by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No Responsibility for Recitals, Etc</w:t>
      </w:r>
      <w:r>
        <w:rPr>
          <w:rFonts w:ascii="Times New Roman;Times;Serif" w:hAnsi="Times New Roman;Times;Serif"/>
          <w:b w:val="false"/>
          <w:i w:val="false"/>
          <w:caps w:val="false"/>
          <w:smallCaps w:val="false"/>
          <w:sz w:val="20"/>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Trustee, Paying Agents, Conversion Agents or Note Registrar May Own Notes</w:t>
      </w:r>
      <w:r>
        <w:rPr>
          <w:rFonts w:ascii="Times New Roman;Times;Serif" w:hAnsi="Times New Roman;Times;Serif"/>
          <w:b w:val="false"/>
          <w:i w:val="false"/>
          <w:caps w:val="false"/>
          <w:smallCaps w:val="false"/>
          <w:sz w:val="20"/>
        </w:rPr>
        <w:t>. The Trustee, any Paying Agent, any Conversion Agent, or Note Registrar, in its individual or any other capacity, may become the owner or pledgee of Notes with the same rights it would have if it were not the Trustee, Paying Agent, Conversion Agent or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Monies and Shares of Common Stock to Be Held in Trust</w:t>
      </w:r>
      <w:r>
        <w:rPr>
          <w:rFonts w:ascii="Times New Roman;Times;Serif" w:hAnsi="Times New Roman;Times;Serif"/>
          <w:b w:val="false"/>
          <w:i w:val="false"/>
          <w:caps w:val="false"/>
          <w:smallCaps w:val="false"/>
          <w:sz w:val="20"/>
        </w:rPr>
        <w:t>. All monies and shares of Common Stock received by the Trustee shall, until used or applied as herein provided, be held for the purposes for which they were received. Money and shares of Common Stock held by the Trustee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Compensation and Expenses of Trustee</w:t>
      </w:r>
      <w:r>
        <w:rPr>
          <w:rFonts w:ascii="Times New Roman;Times;Serif" w:hAnsi="Times New Roman;Times;Serif"/>
          <w:b w:val="false"/>
          <w:i w:val="false"/>
          <w:caps w:val="false"/>
          <w:smallCaps w:val="false"/>
          <w:sz w:val="20"/>
        </w:rPr>
        <w:t xml:space="preserve">. The Company and the Guarantors, jointly and severally, covenant and agree, to pay to the Trustee, in each capacity under this Indenture, from time to time and the 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and the Guarantors, jointly and severally, will pay or reimburse the Trustee upon request of the Company for all reasonable expenses, disbursements and advances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finally adjudicated by a court of competent jurisdiction. The Company and the Guarantors, jointly and severally, also covenant to indemnify the Trustee or any predecessor Trustee in any capacity under this Indenture and any other document or transaction entered into in connection herewith, including, for the avoidance of doubt, the Subordination Agreement, and its agents and any authenticating agent for, and to hold them harmless against, any loss, claim, damage, liability or expense incurred without gross negligence or willful misconduct, as finally adjudicated by a court of competent jurisdiction on the part of the Trustee and arising out of or in connection with the acceptance or administration of this Indenture or in any other capacity hereunder, including the costs and expenses of defending themselves against any claim of liability in the premises and enforcement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The obligations of the Company and the Guarantors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funds held in trust herewith for the benefit of the Holders of particular Notes. The Trustee’s right to receive payment of any amounts due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not be subordinate to any other liability or indebtedness of the Company or any Guarantor. The obligation of the Company and the Guarantors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survive the satisfaction and discharge of this Indenture and the earlier resignation or removal of the Trustee. Neither the Company nor any Guarantor need pay for any settlement made without its consent, which consent shall not be unreasonably withheld. The indemnification provided in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shall extend to the officers, directors, agents and employees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any other rights available to the Trustee under applicable law, when the Trustee and its agents and any authenticating agent incur expenses or render services after an Event of Default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occurs, the expenses and the compensation for the services are intended to constitute expenses of administration under any bankruptcy, insolvency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Officer’s Certificate as Evidence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Eligibility of Trustee</w:t>
      </w:r>
      <w:r>
        <w:rPr>
          <w:rFonts w:ascii="Times New Roman;Times;Serif" w:hAnsi="Times New Roman;Times;Serif"/>
          <w:b w:val="false"/>
          <w:i w:val="false"/>
          <w:caps w:val="false"/>
          <w:smallCaps w:val="false"/>
          <w:sz w:val="20"/>
        </w:rPr>
        <w:t>.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Resignation or Removal of Trustee</w:t>
      </w:r>
      <w:r>
        <w:rPr>
          <w:rFonts w:ascii="Times New Roman;Times;Serif" w:hAnsi="Times New Roman;Times;Serif"/>
          <w:b w:val="false"/>
          <w:i w:val="false"/>
          <w:caps w:val="false"/>
          <w:smallCaps w:val="false"/>
          <w:sz w:val="20"/>
        </w:rPr>
        <w:t xml:space="preserve">. (a) The Trustee may at any time resign by giving written notice of such resignation to the Company and by delivering notice thereof to the Holders. Upon receiving such notice of resignation, the Holders of a majority of the aggregate principal amount of the Notes then outstanding shall promptly, but in no more than 30 days after receiving such notice, appoint a successor trustee by written instrument, in triplicate, one copy of which instrument shall be delivered to the resigning Trustee, one copy to the successor trustee and one copy to the Company. If the Holders of a majority of the aggregate principal amount of the Notes then outstanding do not appoint a successor trustee pursuant to the immediately preceding sentence within 30 days after receiving the notice of resignation by the Trustee,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giving of such notice of resignation to the Holders, the resigning Trustee may petition any court of competent jurisdiction, at the expense of the Company, for the appointment of a successor trustee, or any Holder who has been a bona fide holder of a Note or Notes for at least six months (or since the date of this Indenture) may, subject to the provisions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on behalf of itself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cease to be eligible in accordance with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and shall fail to resign after written request therefor by the Company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 Board Resolution remove the Trustee and appoint a successor trustee by written instrument, in duplicate, executed by order of the Board of Directors, one copy of which instrument shall be delivered to the Trustee so removed, upon five Business Days’ advance written notice, and one copy to the successor trustee, or, subject to the provisions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any Holder who has been a bona fide holder of a Note or Notes for at least six months (or since the date of this Indenture)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Holders of a majority in aggregate principal amount of the Notes at the time outstanding, as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at any time remove the Trustee upon 30 days’ advance written notice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w:t>
      </w:r>
      <w:r>
        <w:rPr>
          <w:rFonts w:ascii="Times New Roman;Times;Serif" w:hAnsi="Times New Roman;Times;Serif"/>
          <w:b w:val="false"/>
          <w:i w:val="false"/>
          <w:caps w:val="false"/>
          <w:smallCaps w:val="false"/>
          <w:sz w:val="20"/>
          <w:u w:val="single"/>
        </w:rPr>
        <w:t>Section 7.09(a)</w:t>
      </w:r>
      <w:r>
        <w:rPr>
          <w:rFonts w:ascii="Times New Roman;Times;Serif" w:hAnsi="Times New Roman;Times;Serif"/>
          <w:b w:val="false"/>
          <w:i w:val="false"/>
          <w:caps w:val="false"/>
          <w:smallCaps w:val="false"/>
          <w:sz w:val="20"/>
        </w:rPr>
        <w:t> provided, may petition any court of competent jurisdiction for an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resignation or removal of the Trustee and appointment of a successor trustee pursuant to any of the provisions of this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shall become effective upon acceptance of appointment by the successor trustee as provided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Acceptance by Successor Trustee</w:t>
      </w:r>
      <w:r>
        <w:rPr>
          <w:rFonts w:ascii="Times New Roman;Times;Serif" w:hAnsi="Times New Roman;Times;Serif"/>
          <w:b w:val="false"/>
          <w:i w:val="false"/>
          <w:caps w:val="false"/>
          <w:smallCaps w:val="false"/>
          <w:sz w:val="20"/>
        </w:rPr>
        <w:t xml:space="preserve">. Any successor trustee appointed as provided in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successor trustee shall accept appointment as provided in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unless at the time of such acceptance such successor trustee shall be eligible under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acceptance of appointment by a successor trustee as provided in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Succession by Merger, Etc.</w:t>
      </w:r>
      <w:r>
        <w:rPr>
          <w:rFonts w:ascii="Times New Roman;Times;Serif" w:hAnsi="Times New Roman;Times;Serif"/>
          <w:b w:val="false"/>
          <w:i w:val="false"/>
          <w:caps w:val="false"/>
          <w:smallCaps w:val="false"/>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Trustee’s Application for Instructions from the Company</w:t>
      </w:r>
      <w:r>
        <w:rPr>
          <w:rFonts w:ascii="Times New Roman;Times;Serif" w:hAnsi="Times New Roman;Times;Serif"/>
          <w:b w:val="false"/>
          <w:i w:val="false"/>
          <w:caps w:val="false"/>
          <w:smallCaps w:val="false"/>
          <w:sz w:val="20"/>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is deemed to be received pursuant to </w:t>
      </w:r>
      <w:r>
        <w:rPr>
          <w:rFonts w:ascii="Times New Roman;Times;Serif" w:hAnsi="Times New Roman;Times;Serif"/>
          <w:b w:val="false"/>
          <w:i w:val="false"/>
          <w:caps w:val="false"/>
          <w:smallCaps w:val="false"/>
          <w:sz w:val="20"/>
          <w:u w:val="single"/>
        </w:rPr>
        <w:t>Section 17.03</w:t>
      </w:r>
      <w:r>
        <w:rPr>
          <w:rFonts w:ascii="Times New Roman;Times;Serif" w:hAnsi="Times New Roman;Times;Serif"/>
          <w:b w:val="false"/>
          <w:i w:val="false"/>
          <w:caps w:val="false"/>
          <w:smallCaps w:val="false"/>
          <w:sz w:val="20"/>
        </w:rPr>
        <w:t>, unless any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Each Holder, by its holding of a Note, is deemed to have directed the Trustee to enter into and perform the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CONCERNING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Action by Holders</w:t>
      </w:r>
      <w:r>
        <w:rPr>
          <w:rFonts w:ascii="Times New Roman;Times;Serif" w:hAnsi="Times New Roman;Times;Serif"/>
          <w:b w:val="false"/>
          <w:i w:val="false"/>
          <w:caps w:val="false"/>
          <w:smallCaps w:val="false"/>
          <w:sz w:val="20"/>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 Each Holder, by its holding of a Note, is deemed to have directed the Trustee to enter into and perform the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Proof of Execution by Holders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xml:space="preserve">,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Who Are Deemed Absolute Owners</w:t>
      </w:r>
      <w:r>
        <w:rPr>
          <w:rFonts w:ascii="Times New Roman;Times;Serif" w:hAnsi="Times New Roman;Times;Serif"/>
          <w:b w:val="false"/>
          <w:i w:val="false"/>
          <w:caps w:val="false"/>
          <w:smallCaps w:val="false"/>
          <w:sz w:val="20"/>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Company-Owned Notes Disregarded</w:t>
      </w:r>
      <w:r>
        <w:rPr>
          <w:rFonts w:ascii="Times New Roman;Times;Serif" w:hAnsi="Times New Roman;Times;Serif"/>
          <w:b w:val="false"/>
          <w:i w:val="false"/>
          <w:caps w:val="false"/>
          <w:smallCaps w:val="false"/>
          <w:sz w:val="20"/>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Revocation of Consents; Future Holders Bound</w:t>
      </w:r>
      <w:r>
        <w:rPr>
          <w:rFonts w:ascii="Times New Roman;Times;Serif" w:hAnsi="Times New Roman;Times;Serif"/>
          <w:b w:val="false"/>
          <w:i w:val="false"/>
          <w:caps w:val="false"/>
          <w:smallCaps w:val="false"/>
          <w:sz w:val="20"/>
        </w:rPr>
        <w:t xml:space="preserve">. At any time prior to (but not after) the evidencing to the Trustee,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Purpose of Meetings</w:t>
      </w:r>
      <w:r>
        <w:rPr>
          <w:rFonts w:ascii="Times New Roman;Times;Serif" w:hAnsi="Times New Roman;Times;Serif"/>
          <w:b w:val="false"/>
          <w:i w:val="false"/>
          <w:caps w:val="false"/>
          <w:smallCaps w:val="false"/>
          <w:sz w:val="20"/>
        </w:rPr>
        <w:t>. A meeting of Holders may be called at any time and from time to time pursuant to the provisions of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consent to the execution of an indenture or indentures supplemental hereto pursuant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Call of Meetings by Trustee</w:t>
      </w:r>
      <w:r>
        <w:rPr>
          <w:rFonts w:ascii="Times New Roman;Times;Serif" w:hAnsi="Times New Roman;Times;Serif"/>
          <w:b w:val="false"/>
          <w:i w:val="false"/>
          <w:caps w:val="false"/>
          <w:smallCaps w:val="false"/>
          <w:sz w:val="20"/>
        </w:rPr>
        <w:t xml:space="preserve">. The Trustee may at any time call a meeting of Holders to take any action specified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Call of Meetings by Company or Holders</w:t>
      </w:r>
      <w:r>
        <w:rPr>
          <w:rFonts w:ascii="Times New Roman;Times;Serif" w:hAnsi="Times New Roman;Times;Serif"/>
          <w:b w:val="false"/>
          <w:i w:val="false"/>
          <w:caps w:val="false"/>
          <w:smallCaps w:val="false"/>
          <w:sz w:val="20"/>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by delivering notice thereof as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Qualifications for Voting</w:t>
      </w:r>
      <w:r>
        <w:rPr>
          <w:rFonts w:ascii="Times New Roman;Times;Serif" w:hAnsi="Times New Roman;Times;Serif"/>
          <w:b w:val="false"/>
          <w:i w:val="false"/>
          <w:caps w:val="false"/>
          <w:smallCaps w:val="false"/>
          <w:sz w:val="20"/>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shall, by an instrument in writing, appoint a temporary chairman of the meeting, unless the meeting shall have been called by the Company or by Holders as provided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at any meeting of Holders each Holder or proxyholder shall be entitled to one vote for each $1,000 principal amount of Notes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val="false"/>
          <w:caps w:val="false"/>
          <w:smallCaps w:val="false"/>
          <w:sz w:val="20"/>
          <w:u w:val="single"/>
        </w:rPr>
        <w:t>No Delay of Rights by Meeting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contained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the Guarantors and the Trustee, at the Company’s expense, may from time to time and at any time enter into an indenture or indentures supplemental hereto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by a Successor Company of the obligations of the Company or a Guarantor under this Indenture pursuant to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guarantees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Notes or the 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the covenants or Events of Default of the Company for the benefit of the Holders or surrender any right or power conferred upon the Company or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connection with any Merger Event, to provide that the notes are convertible into Reference Property, subject to the provisions of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make such related changes to the terms of the Notes to the extent expressly required by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PIK Payments (including to issue PIK Notes) or facilitate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the rules of any applicable Depositary, including The Depository Trust Company, so long as such amendment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appoint a successor trustee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increase the Conversion Rate as provided in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provide for the acceptance of appointment by a successor Trustee, Note Registrar, Paying Agent or Conversion Agent to facilitate the administration of the trusts under this Indenture by more than one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and the Guarantors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supplemental indenture authorized by the provisions of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may be executed by the Company, the Guarantors and the Trustee without the consent of the Holders of any of the Notes at the time outstanding, notwithstanding any of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Supplemental Indentures with Consent of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With the consent (evidenced as provided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of the Holders of at least a majority of the aggregate principal amount of the Notes then outstanding (determined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including, without limitation, consents obtained in connection with a repurchase of, or tender or exchange offer for, Notes), the Company, the Guarantors and the Trustee, at the Company’s expense, may from time to time and at any time enter into an indenture or indentures supplemental hereto for the purpose of adding any provisions to or changing in any manner or eliminating any of the provisions of this Indenture, the Notes, the Note Guarantees or any supplemental indenture or of modifying in any manner the rights of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without the consent of each Holder of an outstanding Note affected, no such supplemental indenture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stated time for payment of interest (including Default Interest and Step-Up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extend the Maturity Date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required by this Indenture, make any change that adversely affects the conversion rights of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Fundamental Change Repurchase Price of any Note or amend or modify in any manner adverse to the Holders the Company’s obligation to make such payments, whether through an amendment or waiver of provisions in the covenants,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Note payable in a currency, or at a place of payment, other than that stated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of an interest (including Default Interest and Step-Up Interest) on such Holder’s Notes on or after the due dates therefor or to institute suit for the enforcement of any payment with respect to such Holders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change in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that requires each Holder’s consent or in the waiver provisions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modify or waive any Mandatory Redemption Event or Mandatory Redemption Amount, or extend the time for payment thereof, whether through an amendment or waiver of provisions in the covenants, definitions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release the Note Guarantee of any Guarantor except as provided in this Indenture, or make any changes to such Note Guarantee in a manner materially adverse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Trustee shall not enter into any amendment to the Subordination Agreement without the consent of each Holder of an outstanding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written request of the Company, and upon the filing with the Trustee of evidence of the consent of Holders as aforesaid and subject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the Trustee shall join with the Company in the execution of such supplemental indenture or amendment to the Subordination Agreement unless such document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do not need under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(with a copy to the Trustee), or any defect in the notice, will not impair or affect the validity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Upon the execution of any supplemental indenture pursuant to the provisions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this Indenture shall be and be deemed to be modified and amended in accordance therewith and the respective rights, limitation of rights, obligations, duties and immunities under this Indenture of the Trustee, the Company, the Guarantors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Notation on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Notes authenticated and delivered after the execution of any supplemental indenture pursuant to the provisions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may, at the Company’s expense, bear a notation as to any matter provided for in such supplemental indenture. If the Company or the Trustee shall so determine, new Notes so modified as to conform, in the opinion of the Company,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and delivered in exchange for the Notes then outstanding, upon surrender of such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Evidence of Compliance of Supplemental Indenture to Be Furnished Trustee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In addition to the documents required by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the Trustee shall receive an Officer’s Certificate and an Opinion of Counsel as conclusive evidence that any supplemental indenture or amendment to the Subordination Agreement executed pursuant hereto complies with the requirements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and is permitted or authorized by this Indenture; such Opinion of Counsel in relation to a supplemental indenture or amendment to the Subordination Agreement to include a customary legal opinion stating that such supplemental indenture or amendment to the Subordination Agreement, as applicable, is the valid and binding obligation of the Company (or, in the case of the Subordination Agreement, the Initial Guarantor), enforceable against the Company (or the Initial Guarantor, as the case may be) in accordance with its terms, subject to customary exceptions and qualifications. The Trustee shall have no responsibility for determining whether any amendment or supplemental indenture will or may have an adverse effect on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Company May Consolidate, Etc. on Certain Terms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the Company shall not consolidate with, merge with or into, or sell, convey, transfer or lease all or substantially all of the properties and assets of the Company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(other than any such sale, conveyance, transfer or lease to one or more of the Company’s Wholly Owned Subsidiaries but, for the avoidance of doubt, in the case of any such sale, conveyance, transfer or lease, the transferee will not succeed to the transferor, and the transferor will not be discharged from its obligations, under this Indenture and the Notes)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(the “</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transaction, no Default or Event of Default shall have occurred and be continuing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Successor Company is the Wholly Owned Subsidiary of a counterparty to the Business Combination Event, such counterparty to the Business Combination Event shall expressly assume, by supplemental indenture, all of the obligations of the Company under the Notes and this Indenture, or otherwise guarantee the obligations of the Company under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Successor Corporation to Be Substituted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or the Guarantor, such Successor Company (if not the Company or Guarantor) shall succeed to and, except in the case of a lease of all or substantially all of the Company’s or the Guarantor’s properties and assets, shall be substituted for the Company or the Guarantor, as the case may be, with the same effect as if it had been named herein as the party of the first part, and may thereafter exercise every right and power of the Company or the Guarantor, as the case may be,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the Person named as the “Company” in the first paragraph of this Indenture (or any successor that shall thereafter have become such in the manner prescribed in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or the applicable Guarantor (or any successor that shall thereafter have become such in the manner prescribed in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may be dissolved, wound up and liquidated at any time thereafter and, except in the case of a lease, such Person shall be released from its liabilities as obligor and maker of the Notes and from its obligations under this Indenture and the Notes (and, in the case of a Guarantor, the applicable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b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Indenture, Notes and Note Guarantees Solely Corporate Obligations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 recourse for the payment of the principal of or accrued and unpaid interest on any Note or any Note Guarantee, nor for any claim based thereon or otherwise in respect thereof, and no recourse under or upon any obligation, covenant or agreement of the Company or any Guarantor in this Indenture or in any supplemental indenture or in any Note or any Note Guarantee, nor because of the creation of any indebtedness represented thereby, shall be had against any incorporator, stockholder, employee, agent, Officer or director or Subsidiary, as such, past, present or future, of the Company or any Guarantor or of any successor corporation, either directly or through the Company or any Guarantor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and the 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b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each of the Guarantors hereby fully unconditionally and irrevocably guarantees, jointly and severally, as primary obligor and not merely as surety, to each Holder of the Notes and to the Trustee the full and punctual payment or delivery when due, whether at maturity, upon conversion, upon Fundamental Change repurchase, upon a Mandatory Redemption Event, by acceleration, by redemption or otherwise, of the principal amount of the Notes, any amounts due upon conversion, and all other obligations of the Company under this Indenture and the Notes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xml:space="preserve">”) to the Trustee and to the Holders. Each of the Guarantors further agrees (to the extent permitted by law) that the Obligations may be extended or renewed, in whole or in part, without notice or further assent from it, and that it shall remain bound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notwithstanding any extension or renewal of any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Guarantors waives presentation to, demand of payment from and protest to the Company of any of the Obligations and also waives notice of protest for nonpayment. Each of the Guarantors waives notice of any default under the Notes or the Obligations. The obligations of each of the Guarantors hereunder shall not be affected by (i) the failure of any Holder to assert any claim or demand or to enforce any right or remedy against the Company or any other person under this Indenture, the Notes or any other agreement or otherwise, (ii) any extension or renewal of any thereof, (iii) any rescission, waiver, amendment or modification of any of the terms or provisions of this Indenture, the Notes or any other agreement, (iv) the release of any security held by any Holder or the Trustee for the Obligations or any of them or (v) any change in the ownership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Guarantors further agrees that its Note Guarantee herein constitutes a guarantee of payment when due (and not a guarantee of collection) and waives any right to require that any resort be had by any Holder to any security held for payment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obligations of each of the Guarantors hereunder shall not be subject to any reduction, limitation, impairment or termination for any reason (other than payment of the Obligations in full), including any claim of waiver, release, surrender, alteration or compromise, and shall not be subject to any defense of setoff, counterclaim, recoupment or termination whatsoever or by reason of the invalidity, illegality or unenforceability of the Obligations or otherwise. Without limiting the generality of the foregoing, the obligations of each of the Guarantors herein shall not be discharged or impaired or otherwise affected by the failure of any Holder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each of the Guarantors or would otherwise operate as a discharge of the Guarantors as a matter of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Guarantors further agrees that its Note Guarantee herein shall continue to be effective or be reinstated, as the case may be, if at any time payment or delivery, or any part thereof, of amounts due upon conversion or principal of or additional interest, if any, on any of the Obligations is rescinded or must otherwise be restored by any Holder upon the bankruptcy or reorganization of the Company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furtherance of the foregoing and not in limitation of any other right which any Holder has at law or in equity against any of the Guarantors by virtue hereof, upon the failure of the Company to pay or delivery any of the Obligations when and as the same shall become due, whether at maturity, upon conversion, upon redemption, upon Fundamental Change repurchase, upon a Mandatory Redemption Event, by acceleration or otherwise, each of the Guarantors hereby promises to and shall, upon receipt of written demand by the Trustee, forthwith pay or delivery, or cause to be paid or delivered, as the case may be (i) in cash, to the Holders an amount equal to the unpaid amount of such Obligations then due and owing and/or (ii) any shares of Common Stock then due and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of the Guarantors further agrees that, as between itself, on the one hand, and the Holders, on the other hand, (x) the maturity of the Obligations guaranteed hereby may be accelerated as provided in this Indenture for the purposes of its Note Guarantee herein, notwithstanding any stay, injunction or other prohibition preventing such acceleration in respect of the Obligations guaranteed hereby and (y) in the event of any such declaration of acceleration of such Obligations, such Obligations (whether or not due and payable) shall forthwith become due and payable by such Guarantor for the purposes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w:t>
      </w:r>
      <w:r>
        <w:rPr>
          <w:rFonts w:ascii="Times New Roman;Times;Serif" w:hAnsi="Times New Roman;Times;Serif"/>
          <w:b w:val="false"/>
          <w:i w:val="false"/>
          <w:caps w:val="false"/>
          <w:smallCaps w:val="false"/>
          <w:sz w:val="20"/>
          <w:u w:val="single"/>
        </w:rPr>
        <w:t>No Subrogation</w:t>
      </w:r>
      <w:r>
        <w:rPr>
          <w:rFonts w:ascii="Times New Roman;Times;Serif" w:hAnsi="Times New Roman;Times;Serif"/>
          <w:b w:val="false"/>
          <w:i w:val="false"/>
          <w:caps w:val="false"/>
          <w:smallCaps w:val="false"/>
          <w:sz w:val="20"/>
        </w:rPr>
        <w:t>. Notwithstanding any payment or payments made by any Guarantor hereunder, no Guarantor shall be entitled to be subrogated to any of the rights of the Trustee or any Holder against the Company or any collateral security or guarantee or right of offset held by the Trustee or any Holder for the payment of the Obligations. The Guarantors will have the right to seek contribution from any non-paying Guarantor so long as the exercise of such right does not impair the rights of the Trustee and the Holders under the Note Guarantee. If any amount shall be paid to any of the Guarantors on account of such subrogation rights at any time when all of the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endorsed by such Guarantor to the Trustee, if required), to be applied against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Each of the Guarantors has received, or shall receive, direct or indirect benefits from the making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 xml:space="preserve">. 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result in the obligations of such Guarantor under its Note Guarantee not constituting a fraudulent transfer or conveyance or a voidable preference, financial assistance or improper corporate benefit, or violating the corporate purpose of the relevant Guarantor or any applicable capital maintenance or similar laws or regulations affecting the rights of creditors generally under any applicable law or regulation. Each Guarantor that makes a payment under its Note Guarantee shall be entitled upon payment in full of all guaranteed obligations under this Indenture to a contribution from each other Guarantor in an amount equal to such other Guarantor’s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such payment based on the respective net assets of all the Guarantors at the time of such payment determined in accordance with GAAP or IFRS, as applicable. Notwithstanding the foregoing, any Guarantee of any Guarantor organized outside the United States of America may be limited as necessary to (1) comply with applicable law, (2) avoid any general legal limitations such as general statutory limitations, financial assistance, maintenance of share capital, corporate benefit, “thin capitalization” rules, retention of title claims or similar matters or (3) avoid a conflict with the fiduciary duties of such company’s directors, contravention of any legal prohibition or regulatory condition, or the material risk of personal or criminal liability for any officers or directors (collectively referred to as “</w:t>
      </w:r>
      <w:r>
        <w:rPr>
          <w:rFonts w:ascii="Times New Roman;Times;Serif" w:hAnsi="Times New Roman;Times;Serif"/>
          <w:b/>
          <w:i w:val="false"/>
          <w:caps w:val="false"/>
          <w:smallCaps w:val="false"/>
          <w:sz w:val="20"/>
        </w:rPr>
        <w:t>Agreed Guarantee Principles</w:t>
      </w:r>
      <w:r>
        <w:rPr>
          <w:rFonts w:ascii="Times New Roman;Times;Serif" w:hAnsi="Times New Roman;Times;Serif"/>
          <w:b w:val="false"/>
          <w:i w:val="false"/>
          <w:caps w:val="false"/>
          <w:smallCaps w:val="false"/>
          <w:sz w:val="20"/>
        </w:rPr>
        <w:t xml:space="preserve">,” in each case as reasonably determined by the Company). Notwithstanding anything to the contrary contained in this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(including the preceding sentence), the foregoing limitations described in this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shall not apply to the Initial Guarantor, whose obligations under the Note Guarantee shall be subject solely to the limitations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evidence its Note Guarantee set forth in </w:t>
      </w:r>
      <w:r>
        <w:rPr>
          <w:rFonts w:ascii="Times New Roman;Times;Serif" w:hAnsi="Times New Roman;Times;Serif"/>
          <w:b w:val="false"/>
          <w:i w:val="false"/>
          <w:caps w:val="false"/>
          <w:smallCaps w:val="false"/>
          <w:sz w:val="20"/>
          <w:u w:val="single"/>
        </w:rPr>
        <w:t>Section 13.01 hereof</w:t>
      </w:r>
      <w:r>
        <w:rPr>
          <w:rFonts w:ascii="Times New Roman;Times;Serif" w:hAnsi="Times New Roman;Times;Serif"/>
          <w:b w:val="false"/>
          <w:i w:val="false"/>
          <w:caps w:val="false"/>
          <w:smallCaps w:val="false"/>
          <w:sz w:val="20"/>
        </w:rPr>
        <w:t>, each Guarantor hereby agrees that either (i) this Indenture (or a supplemental indenture, as the case may be) or (ii) a notation of such Note Guarantee that includes in each case such modifications and limitations as the Company reasonably determines are appropriate to comply with the Agreed Guarantee Principles, shall be executed on behalf of such Guarantor by one of its Officers, managers, its trustee, its managing member or its general partner,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Guarantor hereby agrees that its Note Guarantee set forth in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shall remain in full force and effect notwithstanding the absence of the endorsement of any notation of such Note Guarantee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 Officer, manager, trustee, managing member or general partner of a Guarantor whose signature is on this Indenture (or a supplemental indenture, as the case may be) no longer holds that office at the time the Trustee authenticates the Notes, the Note Guarantee shall be valid nevertheless.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delivery of any Note by the Trustee, after the authentication thereof hereunder, shall constitute due delivery of the Note Guarantee set forth in this Indenture on behalf of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         </w:t>
      </w:r>
      <w:r>
        <w:rPr>
          <w:rFonts w:ascii="Times New Roman;Times;Serif" w:hAnsi="Times New Roman;Times;Serif"/>
          <w:b w:val="false"/>
          <w:i w:val="false"/>
          <w:caps w:val="false"/>
          <w:smallCaps w:val="false"/>
          <w:sz w:val="20"/>
          <w:u w:val="single"/>
        </w:rPr>
        <w:t>Release of Guarantors</w:t>
      </w:r>
      <w:r>
        <w:rPr>
          <w:rFonts w:ascii="Times New Roman;Times;Serif" w:hAnsi="Times New Roman;Times;Serif"/>
          <w:b w:val="false"/>
          <w:i w:val="false"/>
          <w:caps w:val="false"/>
          <w:smallCaps w:val="false"/>
          <w:sz w:val="20"/>
        </w:rPr>
        <w:t>. A Guarantor will be automatically released from all of its obligations under the Notes, this Indenture and its Note Guarantee, and its Note Guarantee will automatically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satisfaction and discharge of this Indenture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consummation of any sale or other disposition of any portion or all of the Capital Stock of such Guarantor (including by way of merger or consolidation) or other transaction such that after giving effect to such sale, disposition or other transaction such Guarantor is no longer a Subsidiary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entry into a supplemental indenture to confirm and evidence the release, termination, discharge or retaking of any Note Guarantee with respect to the Notes when such release, termination, discharge or re-taking is provided for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         </w:t>
      </w:r>
      <w:r>
        <w:rPr>
          <w:rFonts w:ascii="Times New Roman;Times;Serif" w:hAnsi="Times New Roman;Times;Serif"/>
          <w:b w:val="false"/>
          <w:i w:val="false"/>
          <w:caps w:val="false"/>
          <w:smallCaps w:val="false"/>
          <w:sz w:val="20"/>
          <w:u w:val="single"/>
        </w:rPr>
        <w:t>Future Guarantors</w:t>
      </w:r>
      <w:r>
        <w:rPr>
          <w:rFonts w:ascii="Times New Roman;Times;Serif" w:hAnsi="Times New Roman;Times;Serif"/>
          <w:b w:val="false"/>
          <w:i w:val="false"/>
          <w:caps w:val="false"/>
          <w:smallCaps w:val="false"/>
          <w:sz w:val="20"/>
        </w:rPr>
        <w:t xml:space="preserve">. Within 60 days of any Subsidiary becoming required to be a Guarantor (noting that as of the date of this Indenture, only the Initial Guarantor is required to be a Guarantor), such Guarantor shall comply with the requirements to execute and deliver a Note Guarantee to the Trustee under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14</w:t>
        <w:br/>
        <w:t>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rPr>
        <w:t>Conversion Privilege and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and upon compliance with the provisions of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each Holder of a Note shall have the right, at such Holder’s option, to convert all or any portion (if the portion to be converted is $1,000 Capitalized Principal Amount or an integral multiple of $1.00 in excess thereof) of such Note at any time on or after the date of this Indenture and prior to the close of business on the second Scheduled Trading Day immediately preceding the Maturity Date. Each conversion shall be effected at a conversion rate determined with respect to the applicable Notice of Conversion, equal to the quotient obtained by dividing $1,000 by the Applicable Conversion Price, subject to adjustment as provided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(subject to, and in accordance with, the settlement provisions of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If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distribute to all or substantially all holders of the Common Stock any rights, options or warrants (other than in connection with a stockholder rights plan prior to the separation of such rights from the Common Stock)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and in commercially reasonable manner, exceeding 10% of the Last Reported Sale Price of the Common Stock on the Trading Day preceding the date of announcement for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the Company shall notify all Holders of the Notes, the Trustee and the Conversion Agent (if other than the Trustee) at least 45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Company is then otherwise permitted to settle conversions of Notes by Physical Settlement, then the Company may instead elect to provide such notice at least ten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Holders may not convert their Notes pursuant to this </w:t>
      </w:r>
      <w:r>
        <w:rPr>
          <w:rFonts w:ascii="Times New Roman;Times;Serif" w:hAnsi="Times New Roman;Times;Serif"/>
          <w:b w:val="false"/>
          <w:i w:val="false"/>
          <w:caps w:val="false"/>
          <w:smallCaps w:val="false"/>
          <w:sz w:val="20"/>
          <w:u w:val="single"/>
        </w:rPr>
        <w:t>subsection (b)(i)</w:t>
      </w:r>
      <w:r>
        <w:rPr>
          <w:rFonts w:ascii="Times New Roman;Times;Serif" w:hAnsi="Times New Roman;Times;Serif"/>
          <w:b w:val="false"/>
          <w:i w:val="false"/>
          <w:caps w:val="false"/>
          <w:smallCaps w:val="false"/>
          <w:sz w:val="20"/>
        </w:rPr>
        <w:t> if they participate, at the same time and upon the same terms as holders of the Common Stock and solely as a result of holding the Notes, in any of the transactions described in clause (A) or (B) of this </w:t>
      </w:r>
      <w:r>
        <w:rPr>
          <w:rFonts w:ascii="Times New Roman;Times;Serif" w:hAnsi="Times New Roman;Times;Serif"/>
          <w:b w:val="false"/>
          <w:i w:val="false"/>
          <w:caps w:val="false"/>
          <w:smallCaps w:val="false"/>
          <w:sz w:val="20"/>
          <w:u w:val="single"/>
        </w:rPr>
        <w:t>subsection (b)(i)</w:t>
      </w:r>
      <w:r>
        <w:rPr>
          <w:rFonts w:ascii="Times New Roman;Times;Serif" w:hAnsi="Times New Roman;Times;Serif"/>
          <w:b w:val="false"/>
          <w:i w:val="false"/>
          <w:caps w:val="false"/>
          <w:smallCaps w:val="false"/>
          <w:sz w:val="20"/>
        </w:rPr>
        <w:t xml:space="preserve"> without having to convert their Notes as if they held a number of shares of Common Stock equal to the applicable Conversion Rate as of the record date for such issuance or distribution,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the principal amount (expressed in thousands) of Notes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transaction or event that constitutes a Fundamental Change occurs, regardless of whether a Holder has the right to require the Company to repurchase the Notes pursuant to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or if the Company is a party to a consolidation, merger, binding share exchange, or transfer or lease of all or substantially all of its assets that occurs, in each case, pursuant to which the Common Stock would be converted into cash, securities or other assets (other than a merger effected solely to change the Company’s jurisdiction of incorporation solely within the United States that (x) does not otherwise constitute a Fundamental Change and (y) results in a reclassification, conversion, or exchange of outstanding shares of the Common Stock solely into shares of common stock of the surviving entity and such common stock becomes the sole Reference Property for the Notes), all or any portion of a Holder’s Notes may be surrendered for conversion at any time from or after the effective date of such transaction until the earlier of (x) 35 Scheduled Trading Days after the effective date of such transaction (or, if the Company gives notice after the effective date of such transaction, until 35 Trading Days after the date the Company gives notice) or, if such transaction also constitutes a Fundamental Change, until close of business on the Business Day immediately preceding the related Fundamental Change Repurchase Date and (y) the second Scheduled Trading Day immediately preceding the Maturity Date. The Company shall notify Holders, the Trustee and the Conversion Agent (if other than the entity acting as Trustee) as promptly as practicable following the effective date of such transaction, but in no event later than five Business Days after the effective date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Conversion Price applicable to each Notice of Conversion shall be the lowest of the prices determined pursuant to the following clauses (i) through (iii),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no event shall the Conversion Price be lower than the Lowest Absolute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Initial Fixed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Lowest VWAP Conversion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Average VWAP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Holder may deliver no more than one (1) Notice of Conversion per Trading Day. If the Applicable Conversion Price for a Notice of Conversion is determined pursuant to clause (ii) or (iii) of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 xml:space="preserve">, the aggregate Capitalized Principal Amount of Notes that may be converted pursuant to such Notice of Conversion shall not exceed $2,000,000, plus accrued and unpaid interest thereon, if any; provided that if the Applicable Conversion Price for a Notice of Conversion is determined pursuant to clause (ii) or (iii) of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 no Holder may submit a Conversion Notice if (i) any amount of the Existing Notes remain outstanding, (ii) no Event of Default (as defined in the indenture pursuant to which the Existing Notes were issued) has occurred and is continuing, (iii) no Mandatory Redemption Event (as defined in the indenture pursuant to which the Existing Notes were issued) has occurred and is continuing and (iv) no Effectiveness Failure, Maintenance Failure, or Current Public Information Failure (as each is defined in the registration rights agreement entered into in connection with the issuance of the Existing Notes)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aggregate purchase price payable for the shares of Common Stock issuable upon any conversion pursuant to this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 xml:space="preserve"> shall be offset against the outstanding Capitalized Principal Amount of the Notes, first against any accrued but unpaid interest (including Step-Up Interest and Default Interest, if any), and thereafter against principal, in each case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rPr>
        <w:t>Conversion Procedure; Physical Settlement Upon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 xml:space="preserve">, upon conversion of any Note, the Company shall satisfy its Conversion Obligation by delivering to the converting Holder, in respect of each $1,000 Capitalized Principal Amount of Notes being converted, shares of Common Stock (with any fractional shares of Common Stock left over in accordance with subsection (j) of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rounded up to the nearest whole share of Common Stock)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xml:space="preserve">”), as set forth in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The shares of Common Stock in respect of any conversion of Notes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shall be computed as follows (for the avoidance of doubt, with pro-ration for any portion of the Capitalized Principal Amount subject to conversion that is not an integral multiple of $1,000): the Company shall deliver to the converting Holder in respect of each $1,000 Capitalized Principal Amount of Notes being converted a number of shares of Common Stock equal to the Conversion Rate in effect on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14.02(e)</w:t>
      </w:r>
      <w:r>
        <w:rPr>
          <w:rFonts w:ascii="Times New Roman;Times;Serif" w:hAnsi="Times New Roman;Times;Serif"/>
          <w:b w:val="false"/>
          <w:i w:val="false"/>
          <w:caps w:val="false"/>
          <w:smallCaps w:val="false"/>
          <w:sz w:val="20"/>
        </w:rPr>
        <w:t xml:space="preserv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w:t>
      </w:r>
      <w:r>
        <w:rPr>
          <w:rFonts w:ascii="Times New Roman;Times;Serif" w:hAnsi="Times New Roman;Times;Serif"/>
          <w:b w:val="false"/>
          <w:i w:val="false"/>
          <w:caps w:val="false"/>
          <w:smallCaps w:val="false"/>
          <w:sz w:val="20"/>
          <w:u w:val="single"/>
        </w:rPr>
        <w:t>Section 14.02(h)</w:t>
      </w:r>
      <w:r>
        <w:rPr>
          <w:rFonts w:ascii="Times New Roman;Times;Serif" w:hAnsi="Times New Roman;Times;Serif"/>
          <w:b w:val="false"/>
          <w:i w:val="false"/>
          <w:caps w:val="false"/>
          <w:smallCaps w:val="false"/>
          <w:sz w:val="20"/>
        </w:rPr>
        <w:t> and (ii)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which notice shall be irrevocable, in either case)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 to interest payable on the next Interest Payment Date to which such Holder is not entitled as set forth in </w:t>
      </w:r>
      <w:r>
        <w:rPr>
          <w:rFonts w:ascii="Times New Roman;Times;Serif" w:hAnsi="Times New Roman;Times;Serif"/>
          <w:b w:val="false"/>
          <w:i w:val="false"/>
          <w:caps w:val="false"/>
          <w:smallCaps w:val="false"/>
          <w:sz w:val="20"/>
          <w:u w:val="single"/>
        </w:rPr>
        <w:t>Section 14.02(h)</w:t>
      </w:r>
      <w:r>
        <w:rPr>
          <w:rFonts w:ascii="Times New Roman;Times;Serif" w:hAnsi="Times New Roman;Times;Serif"/>
          <w:b w:val="false"/>
          <w:i w:val="false"/>
          <w:caps w:val="false"/>
          <w:smallCaps w:val="false"/>
          <w:sz w:val="20"/>
        </w:rPr>
        <w:t>, and (5) provide all required technical documentation to the Company for the creation of any shares of Common Stock of the Company required under Dutch law or for the entry into the Company's share register at the Company's share registration and transfer agent. The Trustee (and if different, the Conversion Agent) shall notify the Company of any conversion pursuant to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Note shall be deemed to have been converted immediately prior to the close of business on the date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that the Holder has complied with the requirements set forth in subsection (b) above. Except as set forth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 the Company shall deliver the consideration due in respect of the Conversion Obligation on the third Business Day immediately following the relevant Conversion Date with respect to the Physical Settlement. 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to an account of the Company's share register and transfer agent Continental Stock Transfer &amp; Trust Company (or any successor share register and transfer agent of the Company) in satisfaction of the Company’s Conversion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 Holder submits a Note for conversion, the Company shall pay any documentary, stamp or similar issue or transfer tax due on the issue or delivery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provided in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no adjustment shall be made for dividends on any shares of Common Stock issued upon the conversion of any Note as provided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entity acting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Upon conversion, a Holder shall not receive any separate cash payment for accrued and unpaid interest, if any, except as set forth below. The Company’s settlement of the full Conversion Obligation shall be deemed to satisfy in full its obligation to pay the Capitalized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payment shall be required (1) for conversions following the close of business on the Regular Record Date immediately preceding the Maturity Date; (2) if the Company has specified a Fundamental Change Repurchase Date that is after a Regular Record Date and on or prior to the Business Day immediately following the corresponding Interest Payment Date; or (4) to the extent of any Defaulted Amounts, if any Defaulted Amounts or Default Interest exist at the time of conversion with respect to such Note. Therefore, for the avoidance of doubt, all Holders of record at the close of business on the Regular Record Date immediately preceding the Maturity Date, or a Fundamental Change Repurchase Date referred to the proviso above shall receive the full interest payment due on the Maturity Date in cash regardless of whether their Notes have been converted following such Regular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Person in whose name the shares of Common Stock shall be issuable upon conversion shall become the stockholder of record as of the close of business on the relevant Conversion Date. Upon a conversion of Notes, such Person shall no longer be a Holder of such Notes surrendered for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issue any fractional share of Common Stock upon conversion of the Notes and shall instead deliver one (1) whole share of Common Stock with respect to such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Notwithstanding anything to the contrary herein, no Holder shall be entitled to receive shares of Common Stock upon conversion to the extent (but only to the extent) that such receipt would cause such converting Holder to become, directly or indirectly, a “beneficial owner” (within the meaning of Section 13(d) of the Exchange Act and the rules and regulations promulgated thereunder) of more than 4.99% of the shares of Common Stock outstanding at such time (the “</w:t>
      </w:r>
      <w:r>
        <w:rPr>
          <w:rFonts w:ascii="Times New Roman;Times;Serif" w:hAnsi="Times New Roman;Times;Serif"/>
          <w:b/>
          <w:i w:val="false"/>
          <w:caps w:val="false"/>
          <w:smallCaps w:val="false"/>
          <w:sz w:val="20"/>
        </w:rPr>
        <w:t>Limitation</w:t>
      </w:r>
      <w:r>
        <w:rPr>
          <w:rFonts w:ascii="Times New Roman;Times;Serif" w:hAnsi="Times New Roman;Times;Serif"/>
          <w:b w:val="false"/>
          <w:i w:val="false"/>
          <w:caps w:val="false"/>
          <w:smallCaps w:val="false"/>
          <w:sz w:val="20"/>
        </w:rPr>
        <w:t>”). Any purported delivery of shares of Common Stock upon conversion of Notes shall be void and have no effect to the extent (but only to the extent) that such delivery would result in the converting Holder becoming the beneficial owner of more than the Limitation. If any delivery of shares of Common Stock owed to a Holder upon conversion of Notes is not made, in whole or in part, as a result of the Limitation, the Company’s obligation to make such delivery shall not be extinguished and the Company shall deliver such shares as promptly as practicable after any such converting Holder gives notice to the Company that such delivery would not result in it being the beneficial owner of more than 4.99% of the shares of Common Stock outstanding at such time. The Limitation shall no longer apply following the effective date of any Fundamental Change. Any Holder, upon notice to the Company, may increase or decrease the Limitation with at least 61 days notice, but in no event shall the Limitation exceed 19.99% of the shares of Common Stock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Adjustment of Conversion Rate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without having to convert their Notes, as if they held a number of shares of Common Stock equal to the Conversion Rate,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the Capitalized Principal Amount (expressed in thousands) of Notes held by such Holder. In addition, no adjustments to the Conversion Rate shall be made in accordance with this Section 14.04 if the Conversion Price applicable to a relevant Notice of Conversion in accordance with Section 14.01(c) is calculated to be either the Lowest VWAP Conversion Price or the Average VWAP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shares of Common Stock as a dividend or distribution on shares of the Common Stock, or if the Company effects a share split or share combination,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573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0</w:t>
            </w:r>
          </w:p>
        </w:tc>
        <w:tc>
          <w:tcPr>
            <w:tcW w:w="155" w:type="dxa"/>
            <w:tcBorders/>
            <w:vAlign w:val="center"/>
          </w:tcPr>
          <w:p>
            <w:pPr>
              <w:pStyle w:val="TableContents"/>
              <w:bidi w:val="0"/>
              <w:spacing w:before="0" w:after="283"/>
              <w:jc w:val="center"/>
              <w:rPr/>
            </w:pPr>
            <w:r>
              <w:rPr/>
              <w:t>=</w:t>
            </w:r>
          </w:p>
        </w:tc>
        <w:tc>
          <w:tcPr>
            <w:tcW w:w="9640" w:type="dxa"/>
            <w:tcBorders/>
            <w:vAlign w:val="center"/>
          </w:tcPr>
          <w:p>
            <w:pPr>
              <w:pStyle w:val="TableContents"/>
              <w:bidi w:val="0"/>
              <w:spacing w:before="0" w:after="283"/>
              <w:jc w:val="both"/>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after the open of business on such Ex-Dividend Date or Effective Date,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pPr>
            <w:r>
              <w:rPr>
                <w:rFonts w:ascii="Times New Roman;Times;Serif" w:hAnsi="Times New Roman;Times;Serif"/>
                <w:sz w:val="20"/>
              </w:rPr>
              <w:t>OS</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700" w:type="dxa"/>
            <w:tcBorders/>
            <w:vAlign w:val="center"/>
          </w:tcPr>
          <w:p>
            <w:pPr>
              <w:pStyle w:val="TableContents"/>
              <w:bidi w:val="0"/>
              <w:spacing w:before="0" w:after="283"/>
              <w:jc w:val="both"/>
              <w:rPr/>
            </w:pPr>
            <w:r>
              <w:rPr/>
              <w:t>the number of shares of Common Stock outstanding immediately prior to the open of business on such Ex-Dividend Date or Effective Date, as applicable (before giving effect to any such dividend, distribution, split or combination);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pPr>
            <w:r>
              <w:rPr>
                <w:rFonts w:ascii="Times New Roman;Times;Serif" w:hAnsi="Times New Roman;Times;Serif"/>
                <w:sz w:val="20"/>
              </w:rPr>
              <w:t>OS</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700" w:type="dxa"/>
            <w:tcBorders/>
            <w:vAlign w:val="center"/>
          </w:tcPr>
          <w:p>
            <w:pPr>
              <w:pStyle w:val="TableContents"/>
              <w:bidi w:val="0"/>
              <w:spacing w:before="0" w:after="283"/>
              <w:jc w:val="both"/>
              <w:rPr/>
            </w:pPr>
            <w:r>
              <w:rPr/>
              <w:t>the number of shares of Common Stock outstanding immediately after giving effect to such dividend, distribution, share split or share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adjustment made under this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526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2600"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660" w:type="dxa"/>
        <w:jc w:val="left"/>
        <w:tblInd w:w="0" w:type="dxa"/>
        <w:tblLayout w:type="fixed"/>
        <w:tblCellMar>
          <w:top w:w="0" w:type="dxa"/>
          <w:left w:w="0" w:type="dxa"/>
          <w:bottom w:w="0" w:type="dxa"/>
          <w:right w:w="0" w:type="dxa"/>
        </w:tblCellMar>
      </w:tblPr>
      <w:tblGrid>
        <w:gridCol w:w="410"/>
        <w:gridCol w:w="125"/>
        <w:gridCol w:w="9125"/>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125"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pPr>
            <w:r>
              <w:rPr>
                <w:rFonts w:ascii="Times New Roman;Times;Serif" w:hAnsi="Times New Roman;Times;Serif"/>
                <w:sz w:val="20"/>
              </w:rPr>
              <w:t>OS</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700" w:type="dxa"/>
            <w:tcBorders/>
            <w:vAlign w:val="center"/>
          </w:tcPr>
          <w:p>
            <w:pPr>
              <w:pStyle w:val="TableContents"/>
              <w:bidi w:val="0"/>
              <w:spacing w:before="0" w:after="283"/>
              <w:jc w:val="both"/>
              <w:rPr/>
            </w:pPr>
            <w:r>
              <w:rPr/>
              <w:t>the number of shares of Common Stock outstanding immediately prior to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25"/>
        <w:gridCol w:w="99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125" w:type="dxa"/>
            <w:tcBorders/>
            <w:vAlign w:val="center"/>
          </w:tcPr>
          <w:p>
            <w:pPr>
              <w:pStyle w:val="TableContents"/>
              <w:bidi w:val="0"/>
              <w:spacing w:before="0" w:after="283"/>
              <w:jc w:val="center"/>
              <w:rPr>
                <w:sz w:val="20"/>
              </w:rPr>
            </w:pPr>
            <w:r>
              <w:rPr>
                <w:sz w:val="20"/>
              </w:rPr>
              <w:t>=</w:t>
            </w:r>
          </w:p>
        </w:tc>
        <w:tc>
          <w:tcPr>
            <w:tcW w:w="9910" w:type="dxa"/>
            <w:tcBorders/>
            <w:vAlign w:val="center"/>
          </w:tcPr>
          <w:p>
            <w:pPr>
              <w:pStyle w:val="TableContents"/>
              <w:bidi w:val="0"/>
              <w:spacing w:before="0" w:after="283"/>
              <w:jc w:val="left"/>
              <w:rPr/>
            </w:pPr>
            <w:r>
              <w:rPr/>
              <w:t>the total number of shares of Common Stock distributable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25"/>
        <w:gridCol w:w="99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125" w:type="dxa"/>
            <w:tcBorders/>
            <w:vAlign w:val="center"/>
          </w:tcPr>
          <w:p>
            <w:pPr>
              <w:pStyle w:val="TableContents"/>
              <w:bidi w:val="0"/>
              <w:spacing w:before="0" w:after="283"/>
              <w:jc w:val="center"/>
              <w:rPr>
                <w:sz w:val="20"/>
              </w:rPr>
            </w:pPr>
            <w:r>
              <w:rPr>
                <w:sz w:val="20"/>
              </w:rPr>
              <w:t>=</w:t>
            </w:r>
          </w:p>
        </w:tc>
        <w:tc>
          <w:tcPr>
            <w:tcW w:w="9910" w:type="dxa"/>
            <w:tcBorders/>
            <w:vAlign w:val="center"/>
          </w:tcPr>
          <w:p>
            <w:pPr>
              <w:pStyle w:val="TableContents"/>
              <w:bidi w:val="0"/>
              <w:spacing w:before="0" w:after="283"/>
              <w:jc w:val="left"/>
              <w:rPr/>
            </w:pPr>
            <w:r>
              <w:rPr/>
              <w:t xml:space="preserve">the number of shares of Common Stock equal to the aggregate price payable to exercise such rights, options or warrants, </w:t>
            </w:r>
            <w:r>
              <w:rPr>
                <w:i/>
              </w:rPr>
              <w:t>divided by</w:t>
            </w:r>
            <w:r>
              <w:rPr/>
              <w:t> the average of the Last Reported Sale Prices of the Common Stock over the 10 consecutive Trading Day period ending on, and including, the Trading Day immediately preceding the date of announcement of the distribution of such rights, options or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made under this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and for the purpose of </w:t>
      </w:r>
      <w:r>
        <w:rPr>
          <w:rFonts w:ascii="Times New Roman;Times;Serif" w:hAnsi="Times New Roman;Times;Serif"/>
          <w:b w:val="false"/>
          <w:i w:val="false"/>
          <w:caps w:val="false"/>
          <w:smallCaps w:val="false"/>
          <w:sz w:val="20"/>
          <w:u w:val="single"/>
        </w:rPr>
        <w:t>Section 14.01(b)(i)(A)</w:t>
      </w:r>
      <w:r>
        <w:rPr>
          <w:rFonts w:ascii="Times New Roman;Times;Serif" w:hAnsi="Times New Roman;Times;Serif"/>
          <w:b w:val="false"/>
          <w:i w:val="false"/>
          <w:caps w:val="false"/>
          <w:smallCaps w:val="false"/>
          <w:sz w:val="20"/>
        </w:rPr>
        <w:t>,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pursuant to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(ii) except as otherwise provided in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xml:space="preserve">, rights issued pursuant to any stockholder rights plan of the Company then in effect, (iii) distributions of Reference Property in exchange for, or upon conversion of, Common Stock in a Merger Event, (iv) dividends or distributions paid exclusively in cash as to which the provisions set forth in </w:t>
      </w:r>
      <w:r>
        <w:rPr>
          <w:rFonts w:ascii="Times New Roman;Times;Serif" w:hAnsi="Times New Roman;Times;Serif"/>
          <w:b w:val="false"/>
          <w:i w:val="false"/>
          <w:caps w:val="false"/>
          <w:smallCaps w:val="false"/>
          <w:sz w:val="20"/>
          <w:u w:val="single"/>
        </w:rPr>
        <w:t>Section 14.04(d)</w:t>
      </w:r>
      <w:r>
        <w:rPr>
          <w:rFonts w:ascii="Times New Roman;Times;Serif" w:hAnsi="Times New Roman;Times;Serif"/>
          <w:b w:val="false"/>
          <w:i w:val="false"/>
          <w:caps w:val="false"/>
          <w:smallCaps w:val="false"/>
          <w:sz w:val="20"/>
        </w:rPr>
        <w:t xml:space="preserve"> shall apply, and (v) Spin-Offs as to which the provisions set forth below in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shall apply (any of such shares of Capital Stock, evidences of indebtedness, other assets or property or rights, options or warrants to acquire Capital Stock or other securities,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then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811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660" w:type="dxa"/>
        <w:jc w:val="left"/>
        <w:tblInd w:w="0" w:type="dxa"/>
        <w:tblLayout w:type="fixed"/>
        <w:tblCellMar>
          <w:top w:w="0" w:type="dxa"/>
          <w:left w:w="0" w:type="dxa"/>
          <w:bottom w:w="0" w:type="dxa"/>
          <w:right w:w="0" w:type="dxa"/>
        </w:tblCellMar>
      </w:tblPr>
      <w:tblGrid>
        <w:gridCol w:w="410"/>
        <w:gridCol w:w="125"/>
        <w:gridCol w:w="9125"/>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125"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125"/>
        <w:gridCol w:w="9730"/>
      </w:tblGrid>
      <w:tr>
        <w:trPr/>
        <w:tc>
          <w:tcPr>
            <w:tcW w:w="350" w:type="dxa"/>
            <w:tcBorders/>
            <w:vAlign w:val="center"/>
          </w:tcPr>
          <w:p>
            <w:pPr>
              <w:pStyle w:val="TableContents"/>
              <w:bidi w:val="0"/>
              <w:spacing w:before="0" w:after="283"/>
              <w:jc w:val="left"/>
              <w:rPr/>
            </w:pPr>
            <w:r>
              <w:rPr>
                <w:rFonts w:ascii="Times New Roman;Times;Serif" w:hAnsi="Times New Roman;Times;Serif"/>
                <w:sz w:val="20"/>
              </w:rPr>
              <w:t>SP</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730" w:type="dxa"/>
            <w:tcBorders/>
            <w:vAlign w:val="center"/>
          </w:tcPr>
          <w:p>
            <w:pPr>
              <w:pStyle w:val="TableContents"/>
              <w:bidi w:val="0"/>
              <w:spacing w:before="0" w:after="283"/>
              <w:jc w:val="both"/>
              <w:rPr/>
            </w:pPr>
            <w:r>
              <w:rPr/>
              <w:t>the average of the Last Reported Sale Prices of the Common Stock over the 10 consecutive Trading Day period ending on, and including, the Trading Day immediately preceding the Ex-Dividend Date for such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25"/>
        <w:gridCol w:w="9625"/>
      </w:tblGrid>
      <w:tr>
        <w:trPr/>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FMV</w:t>
            </w:r>
          </w:p>
        </w:tc>
        <w:tc>
          <w:tcPr>
            <w:tcW w:w="125" w:type="dxa"/>
            <w:tcBorders/>
            <w:vAlign w:val="center"/>
          </w:tcPr>
          <w:p>
            <w:pPr>
              <w:pStyle w:val="TableContents"/>
              <w:bidi w:val="0"/>
              <w:spacing w:before="0" w:after="283"/>
              <w:jc w:val="left"/>
              <w:rPr>
                <w:sz w:val="20"/>
              </w:rPr>
            </w:pPr>
            <w:r>
              <w:rPr>
                <w:sz w:val="20"/>
              </w:rPr>
              <w:t>=</w:t>
            </w:r>
          </w:p>
        </w:tc>
        <w:tc>
          <w:tcPr>
            <w:tcW w:w="9625" w:type="dxa"/>
            <w:tcBorders/>
            <w:vAlign w:val="center"/>
          </w:tcPr>
          <w:p>
            <w:pPr>
              <w:pStyle w:val="TableContents"/>
              <w:bidi w:val="0"/>
              <w:spacing w:before="0" w:after="283"/>
              <w:jc w:val="left"/>
              <w:rPr/>
            </w:pPr>
            <w:r>
              <w:rPr/>
              <w:t>the fair market value (as determined by the Company in good faith and in a commercially reasonable manner) of the Distributed Property with respect to each outstanding share of the Common Stock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made under the portion of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in respect of each $1,000 Capitalized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 adjustment pursuant to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0" cy="36195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410"/>
        <w:gridCol w:w="125"/>
        <w:gridCol w:w="7835"/>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7835" w:type="dxa"/>
            <w:tcBorders/>
            <w:vAlign w:val="center"/>
          </w:tcPr>
          <w:p>
            <w:pPr>
              <w:pStyle w:val="TableContents"/>
              <w:bidi w:val="0"/>
              <w:spacing w:before="0" w:after="283"/>
              <w:jc w:val="both"/>
              <w:rPr/>
            </w:pPr>
            <w:r>
              <w:rPr/>
              <w:t>the Conversion Rate in effect immediately prior to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410"/>
        <w:gridCol w:w="125"/>
        <w:gridCol w:w="7565"/>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7565" w:type="dxa"/>
            <w:tcBorders/>
            <w:vAlign w:val="center"/>
          </w:tcPr>
          <w:p>
            <w:pPr>
              <w:pStyle w:val="TableContents"/>
              <w:bidi w:val="0"/>
              <w:spacing w:before="0" w:after="283"/>
              <w:jc w:val="both"/>
              <w:rPr/>
            </w:pPr>
            <w:r>
              <w:rPr/>
              <w:t>the Conversion Rate in effect immediately after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125"/>
        <w:gridCol w:w="9520"/>
      </w:tblGrid>
      <w:tr>
        <w:trPr/>
        <w:tc>
          <w:tcPr>
            <w:tcW w:w="560" w:type="dxa"/>
            <w:tcBorders/>
            <w:vAlign w:val="center"/>
          </w:tcPr>
          <w:p>
            <w:pPr>
              <w:pStyle w:val="TableContents"/>
              <w:bidi w:val="0"/>
              <w:spacing w:before="0" w:after="283"/>
              <w:jc w:val="left"/>
              <w:rPr/>
            </w:pPr>
            <w:r>
              <w:rPr>
                <w:rFonts w:ascii="Times New Roman;Times;Serif" w:hAnsi="Times New Roman;Times;Serif"/>
                <w:sz w:val="20"/>
              </w:rPr>
              <w:t>FMV</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520" w:type="dxa"/>
            <w:tcBorders/>
            <w:vAlign w:val="center"/>
          </w:tcPr>
          <w:p>
            <w:pPr>
              <w:pStyle w:val="TableContents"/>
              <w:bidi w:val="0"/>
              <w:spacing w:before="0" w:after="283"/>
              <w:jc w:val="both"/>
              <w:rPr/>
            </w:pPr>
            <w:r>
              <w:rPr/>
              <w:t xml:space="preserve">the average of the Last Reported Sale Prices of the Capital Stock or similar equity interest distributed to holders of the Common Stock applicable to one share of the Common Stock (determined by reference to the definition of Last Reported Sale Price as set forth in </w:t>
            </w:r>
            <w:r>
              <w:rPr>
                <w:u w:val="single"/>
              </w:rPr>
              <w:t>Section 1.01</w:t>
            </w:r>
            <w:r>
              <w:rPr/>
              <w:t> as if references therein to Common Stock were to such Capital Stock or similar equity interest) over the first 10 consecutive Trading Day period after, and including, the Ex-Dividend Date of the Spin-Off (the “</w:t>
            </w:r>
            <w:r>
              <w:rPr>
                <w:b/>
              </w:rPr>
              <w:t>Valuation Period</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9450" w:type="dxa"/>
        <w:jc w:val="left"/>
        <w:tblInd w:w="0" w:type="dxa"/>
        <w:tblLayout w:type="fixed"/>
        <w:tblCellMar>
          <w:top w:w="0" w:type="dxa"/>
          <w:left w:w="0" w:type="dxa"/>
          <w:bottom w:w="0" w:type="dxa"/>
          <w:right w:w="0" w:type="dxa"/>
        </w:tblCellMar>
      </w:tblPr>
      <w:tblGrid>
        <w:gridCol w:w="425"/>
        <w:gridCol w:w="125"/>
        <w:gridCol w:w="8900"/>
      </w:tblGrid>
      <w:tr>
        <w:trPr/>
        <w:tc>
          <w:tcPr>
            <w:tcW w:w="425" w:type="dxa"/>
            <w:tcBorders/>
            <w:vAlign w:val="center"/>
          </w:tcPr>
          <w:p>
            <w:pPr>
              <w:pStyle w:val="TableContents"/>
              <w:bidi w:val="0"/>
              <w:spacing w:before="0" w:after="283"/>
              <w:jc w:val="left"/>
              <w:rPr/>
            </w:pPr>
            <w:r>
              <w:rPr>
                <w:rFonts w:ascii="Times New Roman;Times;Serif" w:hAnsi="Times New Roman;Times;Serif"/>
                <w:sz w:val="20"/>
              </w:rPr>
              <w:t>MP</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8900" w:type="dxa"/>
            <w:tcBorders/>
            <w:vAlign w:val="center"/>
          </w:tcPr>
          <w:p>
            <w:pPr>
              <w:pStyle w:val="TableContents"/>
              <w:bidi w:val="0"/>
              <w:spacing w:before="0" w:after="283"/>
              <w:jc w:val="both"/>
              <w:rPr/>
            </w:pPr>
            <w:r>
              <w:rPr/>
              <w:t>the average of the Last Reported Sale Prices of the Common Stock over the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shall occur at the close of business on the last Trading Day of the Valuation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and (subject in all respect to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xml:space="preserve">”): (i) are deemed to be transferred with such shares of the Common Stock; (ii) are not exercisable; and (iii) are also issued in respect of future issuances of the Common Stock, shall be deemed not to have been distributed for purposes of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(and no adjustment to the Conversion Rate under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will be required) until the occurrence of the earliest Trigger Event, whereupon such rights, options or warrants shall be deemed to have been distributed and an appropriate adjustment (if any is required) to the Conversion Rate shall be made under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if any dividend or distribution to which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is applicable also includes one or both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dividend or distribution of shares of Common Stock to which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is applicable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dividend or distribution of rights, options or warrants to which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is applicable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xml:space="preserve">”), then, in either case, (1) such dividend or distribution, other than the Clause A Distribution and the Clause B Distribution, shall be deemed to be a dividend or distribution to which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is applicable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xml:space="preserve">”) and any Conversion Rate adjustment required by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with respect to such Clause C Distribution shall then be made, and (2) the Clause A Distribution and Clause B Distribution shall be deemed to immediately follow the Clause C Distribution and any Conversion Rate adjustment required by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or “outstanding immediately prior to the open of business on such Ex-Dividend Date” within the meaning of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makes any cash dividend or distribution to all or substantially all holders of the Common Stock,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05025"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05025"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prior to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after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125"/>
        <w:gridCol w:w="9730"/>
      </w:tblGrid>
      <w:tr>
        <w:trPr/>
        <w:tc>
          <w:tcPr>
            <w:tcW w:w="350" w:type="dxa"/>
            <w:tcBorders/>
            <w:vAlign w:val="center"/>
          </w:tcPr>
          <w:p>
            <w:pPr>
              <w:pStyle w:val="TableContents"/>
              <w:bidi w:val="0"/>
              <w:spacing w:before="0" w:after="283"/>
              <w:jc w:val="left"/>
              <w:rPr/>
            </w:pPr>
            <w:r>
              <w:rPr>
                <w:rFonts w:ascii="Times New Roman;Times;Serif" w:hAnsi="Times New Roman;Times;Serif"/>
                <w:sz w:val="20"/>
              </w:rPr>
              <w:t>SP</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730" w:type="dxa"/>
            <w:tcBorders/>
            <w:vAlign w:val="center"/>
          </w:tcPr>
          <w:p>
            <w:pPr>
              <w:pStyle w:val="TableContents"/>
              <w:bidi w:val="0"/>
              <w:spacing w:before="0" w:after="283"/>
              <w:jc w:val="both"/>
              <w:rPr/>
            </w:pPr>
            <w:r>
              <w:rPr/>
              <w:t>the Last Reported Sale Price of the Common Stock on the Trading Day immediately preceding the Ex-Dividend Date for such dividend or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25"/>
        <w:gridCol w:w="99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25" w:type="dxa"/>
            <w:tcBorders/>
            <w:vAlign w:val="center"/>
          </w:tcPr>
          <w:p>
            <w:pPr>
              <w:pStyle w:val="TableContents"/>
              <w:bidi w:val="0"/>
              <w:spacing w:before="0" w:after="283"/>
              <w:jc w:val="center"/>
              <w:rPr>
                <w:sz w:val="20"/>
              </w:rPr>
            </w:pPr>
            <w:r>
              <w:rPr>
                <w:sz w:val="20"/>
              </w:rPr>
              <w:t>=</w:t>
            </w:r>
          </w:p>
        </w:tc>
        <w:tc>
          <w:tcPr>
            <w:tcW w:w="9910" w:type="dxa"/>
            <w:tcBorders/>
            <w:vAlign w:val="center"/>
          </w:tcPr>
          <w:p>
            <w:pPr>
              <w:pStyle w:val="TableContents"/>
              <w:bidi w:val="0"/>
              <w:spacing w:before="0" w:after="283"/>
              <w:jc w:val="left"/>
              <w:rPr/>
            </w:pPr>
            <w:r>
              <w:rPr/>
              <w:t>the amount in cash per share the Company distributes to all or substantially all holders of the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pursuant to this </w:t>
      </w:r>
      <w:r>
        <w:rPr>
          <w:rFonts w:ascii="Times New Roman;Times;Serif" w:hAnsi="Times New Roman;Times;Serif"/>
          <w:b w:val="false"/>
          <w:i w:val="false"/>
          <w:caps w:val="false"/>
          <w:smallCaps w:val="false"/>
          <w:sz w:val="20"/>
          <w:u w:val="single"/>
        </w:rPr>
        <w:t>Section 14.04(d)</w:t>
      </w:r>
      <w:r>
        <w:rPr>
          <w:rFonts w:ascii="Times New Roman;Times;Serif" w:hAnsi="Times New Roman;Times;Serif"/>
          <w:b w:val="false"/>
          <w:i w:val="false"/>
          <w:caps w:val="false"/>
          <w:smallCaps w:val="false"/>
          <w:sz w:val="20"/>
        </w:rPr>
        <w:t>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for each $1,000 Capitalized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make a payment in respect of a tender or exchange offer for the Common Stock that is subject to the then-applicable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4315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43150"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prior to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rFonts w:ascii="Times New Roman;Times;Serif" w:hAnsi="Times New Roman;Times;Serif"/>
                <w:sz w:val="20"/>
              </w:rPr>
              <w:t>CR</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670" w:type="dxa"/>
            <w:tcBorders/>
            <w:vAlign w:val="center"/>
          </w:tcPr>
          <w:p>
            <w:pPr>
              <w:pStyle w:val="TableContents"/>
              <w:bidi w:val="0"/>
              <w:spacing w:before="0" w:after="283"/>
              <w:jc w:val="both"/>
              <w:rPr/>
            </w:pPr>
            <w:r>
              <w:rPr/>
              <w:t>the Conversion Rate in effect immediately after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125"/>
        <w:gridCol w:w="9775"/>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w:t>
            </w:r>
          </w:p>
        </w:tc>
        <w:tc>
          <w:tcPr>
            <w:tcW w:w="125" w:type="dxa"/>
            <w:tcBorders/>
            <w:vAlign w:val="center"/>
          </w:tcPr>
          <w:p>
            <w:pPr>
              <w:pStyle w:val="TableContents"/>
              <w:bidi w:val="0"/>
              <w:spacing w:before="0" w:after="283"/>
              <w:jc w:val="center"/>
              <w:rPr>
                <w:sz w:val="20"/>
              </w:rPr>
            </w:pPr>
            <w:r>
              <w:rPr>
                <w:sz w:val="20"/>
              </w:rPr>
              <w:t>=</w:t>
            </w:r>
          </w:p>
        </w:tc>
        <w:tc>
          <w:tcPr>
            <w:tcW w:w="9775" w:type="dxa"/>
            <w:tcBorders/>
            <w:vAlign w:val="center"/>
          </w:tcPr>
          <w:p>
            <w:pPr>
              <w:pStyle w:val="TableContents"/>
              <w:bidi w:val="0"/>
              <w:spacing w:before="0" w:after="283"/>
              <w:jc w:val="left"/>
              <w:rPr/>
            </w:pPr>
            <w:r>
              <w:rPr/>
              <w:t>the aggregate value of all cash and any other consideration (as determined by the Company in good faith and in a commercially reasonable manner) paid or payable for shares of Common Stock purchased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pPr>
            <w:r>
              <w:rPr>
                <w:rFonts w:ascii="Times New Roman;Times;Serif" w:hAnsi="Times New Roman;Times;Serif"/>
                <w:sz w:val="20"/>
              </w:rPr>
              <w:t>OS</w:t>
            </w:r>
            <w:r>
              <w:rPr>
                <w:position w:val="-2"/>
                <w:sz w:val="19"/>
              </w:rPr>
              <w:t>0</w:t>
            </w:r>
          </w:p>
        </w:tc>
        <w:tc>
          <w:tcPr>
            <w:tcW w:w="125" w:type="dxa"/>
            <w:tcBorders/>
            <w:vAlign w:val="center"/>
          </w:tcPr>
          <w:p>
            <w:pPr>
              <w:pStyle w:val="TableContents"/>
              <w:bidi w:val="0"/>
              <w:spacing w:before="0" w:after="283"/>
              <w:jc w:val="center"/>
              <w:rPr>
                <w:sz w:val="20"/>
              </w:rPr>
            </w:pPr>
            <w:r>
              <w:rPr>
                <w:sz w:val="20"/>
              </w:rPr>
              <w:t>=</w:t>
            </w:r>
          </w:p>
        </w:tc>
        <w:tc>
          <w:tcPr>
            <w:tcW w:w="9700" w:type="dxa"/>
            <w:tcBorders/>
            <w:vAlign w:val="center"/>
          </w:tcPr>
          <w:p>
            <w:pPr>
              <w:pStyle w:val="TableContents"/>
              <w:bidi w:val="0"/>
              <w:spacing w:before="0" w:after="283"/>
              <w:jc w:val="both"/>
              <w:rPr/>
            </w:pPr>
            <w:r>
              <w:rPr/>
              <w:t>the number of shares of Common Stock outstanding immediately prior to the date such tender or exchange offer expires (prior to giving effect to the purchase of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pPr>
            <w:r>
              <w:rPr>
                <w:rFonts w:ascii="Times New Roman;Times;Serif" w:hAnsi="Times New Roman;Times;Serif"/>
                <w:sz w:val="20"/>
              </w:rPr>
              <w:t>OS</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700" w:type="dxa"/>
            <w:tcBorders/>
            <w:vAlign w:val="center"/>
          </w:tcPr>
          <w:p>
            <w:pPr>
              <w:pStyle w:val="TableContents"/>
              <w:bidi w:val="0"/>
              <w:spacing w:before="0" w:after="283"/>
              <w:jc w:val="both"/>
              <w:rPr/>
            </w:pPr>
            <w:r>
              <w:rPr/>
              <w:t>the number of shares of Common Stock outstanding immediately after the date such tender or exchange offer expires (after giving effect to the purchase of all shares of Common Stock accepted for purchase or exchange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125"/>
        <w:gridCol w:w="9730"/>
      </w:tblGrid>
      <w:tr>
        <w:trPr/>
        <w:tc>
          <w:tcPr>
            <w:tcW w:w="350" w:type="dxa"/>
            <w:tcBorders/>
            <w:vAlign w:val="center"/>
          </w:tcPr>
          <w:p>
            <w:pPr>
              <w:pStyle w:val="TableContents"/>
              <w:bidi w:val="0"/>
              <w:spacing w:before="0" w:after="283"/>
              <w:jc w:val="left"/>
              <w:rPr/>
            </w:pPr>
            <w:r>
              <w:rPr>
                <w:rFonts w:ascii="Times New Roman;Times;Serif" w:hAnsi="Times New Roman;Times;Serif"/>
                <w:sz w:val="20"/>
              </w:rPr>
              <w:t>SP</w:t>
            </w:r>
            <w:r>
              <w:rPr>
                <w:position w:val="-2"/>
                <w:sz w:val="19"/>
              </w:rPr>
              <w:t>1</w:t>
            </w:r>
          </w:p>
        </w:tc>
        <w:tc>
          <w:tcPr>
            <w:tcW w:w="125" w:type="dxa"/>
            <w:tcBorders/>
            <w:vAlign w:val="center"/>
          </w:tcPr>
          <w:p>
            <w:pPr>
              <w:pStyle w:val="TableContents"/>
              <w:bidi w:val="0"/>
              <w:spacing w:before="0" w:after="283"/>
              <w:jc w:val="center"/>
              <w:rPr>
                <w:sz w:val="20"/>
              </w:rPr>
            </w:pPr>
            <w:r>
              <w:rPr>
                <w:sz w:val="20"/>
              </w:rPr>
              <w:t>=</w:t>
            </w:r>
          </w:p>
        </w:tc>
        <w:tc>
          <w:tcPr>
            <w:tcW w:w="9730" w:type="dxa"/>
            <w:tcBorders/>
            <w:vAlign w:val="center"/>
          </w:tcPr>
          <w:p>
            <w:pPr>
              <w:pStyle w:val="TableContents"/>
              <w:bidi w:val="0"/>
              <w:spacing w:before="0" w:after="283"/>
              <w:jc w:val="both"/>
              <w:rPr/>
            </w:pPr>
            <w:r>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this </w:t>
      </w:r>
      <w:r>
        <w:rPr>
          <w:rFonts w:ascii="Times New Roman;Times;Serif" w:hAnsi="Times New Roman;Times;Serif"/>
          <w:b w:val="false"/>
          <w:i w:val="false"/>
          <w:caps w:val="false"/>
          <w:smallCaps w:val="false"/>
          <w:sz w:val="20"/>
          <w:u w:val="single"/>
        </w:rPr>
        <w:t>Section 14.04(e)</w:t>
      </w:r>
      <w:r>
        <w:rPr>
          <w:rFonts w:ascii="Times New Roman;Times;Serif" w:hAnsi="Times New Roman;Times;Serif"/>
          <w:b w:val="false"/>
          <w:i w:val="false"/>
          <w:caps w:val="false"/>
          <w:smallCaps w:val="false"/>
          <w:sz w:val="20"/>
        </w:rPr>
        <w:t xml:space="preserve"> shall occur at the close of business on the 10th Trading Day immediately following, and including, the Trading Day next succeeding the date such tender or exchange offer expires;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or one of its Subsidiaries is obligated to purchase shares of Common Stock pursuant to any such tender or exchange offer described in this </w:t>
      </w:r>
      <w:r>
        <w:rPr>
          <w:rFonts w:ascii="Times New Roman;Times;Serif" w:hAnsi="Times New Roman;Times;Serif"/>
          <w:b w:val="false"/>
          <w:i w:val="false"/>
          <w:caps w:val="false"/>
          <w:smallCaps w:val="false"/>
          <w:sz w:val="20"/>
          <w:u w:val="single"/>
        </w:rPr>
        <w:t>Section 14.04(e)</w:t>
      </w:r>
      <w:r>
        <w:rPr>
          <w:rFonts w:ascii="Times New Roman;Times;Serif" w:hAnsi="Times New Roman;Times;Serif"/>
          <w:b w:val="false"/>
          <w:i w:val="false"/>
          <w:caps w:val="false"/>
          <w:smallCaps w:val="false"/>
          <w:sz w:val="20"/>
        </w:rPr>
        <w:t>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w:t>
      </w:r>
      <w:r>
        <w:rPr>
          <w:rFonts w:ascii="Times New Roman;Times;Serif" w:hAnsi="Times New Roman;Times;Serif"/>
          <w:b w:val="false"/>
          <w:i w:val="false"/>
          <w:caps w:val="false"/>
          <w:smallCaps w:val="false"/>
          <w:sz w:val="20"/>
          <w:u w:val="single"/>
        </w:rPr>
        <w:t>Section 14.02(i)</w:t>
      </w:r>
      <w:r>
        <w:rPr>
          <w:rFonts w:ascii="Times New Roman;Times;Serif" w:hAnsi="Times New Roman;Times;Serif"/>
          <w:b w:val="false"/>
          <w:i w:val="false"/>
          <w:caps w:val="false"/>
          <w:smallCaps w:val="false"/>
          <w:sz w:val="20"/>
        </w:rPr>
        <w:t xml:space="preserve"> based on an adjusted Conversion Rate for such Ex-Dividend Date, then, notwithstanding the Conversion Rate adjustment provisions in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addition to those adjustments required by clauses (a), (b), (c), (d) and (e) of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the Conversion Rate shall not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the issuance of any shares of Common Stock at a price below the Conversion Price or otherwise, other than any such issuance described in clause (a), (b) or (c) of this </w:t>
      </w:r>
      <w:r>
        <w:rPr>
          <w:rFonts w:ascii="Times New Roman;Times;Serif" w:hAnsi="Times New Roman;Times;Serif"/>
          <w:b w:val="false"/>
          <w:i w:val="false"/>
          <w:caps w:val="false"/>
          <w:smallCaps w:val="false"/>
          <w:sz w:val="20"/>
          <w:u w:val="single"/>
        </w:rPr>
        <w:t>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shares of the Common Stock pursuant to any option, warrant, right or exercisable, exchangeable or convertible security not described in clause (iii) of this subsection and outstanding as of the date the Notes were first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for a third-party tender offer by any party other than a tender offer by one or more of the Company’s Subsidiaries as described in clause (e) of this </w:t>
      </w:r>
      <w:r>
        <w:rPr>
          <w:rFonts w:ascii="Times New Roman;Times;Serif" w:hAnsi="Times New Roman;Times;Serif"/>
          <w:b w:val="false"/>
          <w:i w:val="false"/>
          <w:caps w:val="false"/>
          <w:smallCaps w:val="false"/>
          <w:sz w:val="20"/>
          <w:u w:val="single"/>
        </w:rPr>
        <w:t>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w:t>
      </w:r>
      <w:r>
        <w:rPr>
          <w:rFonts w:ascii="Times New Roman;Times;Serif" w:hAnsi="Times New Roman;Times;Serif"/>
          <w:b w:val="false"/>
          <w:i w:val="false"/>
          <w:caps w:val="false"/>
          <w:smallCaps w:val="false"/>
          <w:sz w:val="20"/>
          <w:u w:val="single"/>
        </w:rPr>
        <w:t>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solely for a change in the nominal value (or lack of nominal value) of the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for accrued and unpaid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calculations and other determinations under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shall be made by the Company and shall be made to the nearest one-ten thousandth (1/10,000th)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If an adjustment to the Conversion Rate otherwise required by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and (iii) on the effective date of any Fundamental Change unless the adjustment has already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Whenever the Conversion Rate is adjusted as herein provided, the Company shall promptly file with the Trustee (and the Conversion Agent if not the entity acting as Trustee) an Officer’s Certificate setting forth the Conversion Rate after such adjustment and setting forth a brief statement of the facts requiring such adjustment. Unless and until a Responsible Officer of the Trustee and the Conversion Agent shall have received such Officer’s Certificate, the Trustee and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For purposes of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         </w:t>
      </w:r>
      <w:r>
        <w:rPr>
          <w:rFonts w:ascii="Times New Roman;Times;Serif" w:hAnsi="Times New Roman;Times;Serif"/>
          <w:b w:val="false"/>
          <w:i w:val="false"/>
          <w:caps w:val="false"/>
          <w:smallCaps w:val="false"/>
          <w:sz w:val="20"/>
          <w:u w:val="single"/>
        </w:rPr>
        <w:t>Adjustments of Prices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Whenever any provision of this Indenture requires the Company to calculate the Last Reported Sale Prices or the Daily VWAPs over a span of multiple days, the Company shall make appropriate adjustments in good faith and in a commercially reasonable manner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or the Daily VWAPs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adjustments made pursuant to the foregoing paragraph shall be made, solely to the extent the Company determines in good faith and in a commercially reasonable manner that any such adjustment is appropriate, without duplication of any adjustment made pursuant to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         </w:t>
      </w:r>
      <w:r>
        <w:rPr>
          <w:rFonts w:ascii="Times New Roman;Times;Serif" w:hAnsi="Times New Roman;Times;Serif"/>
          <w:b w:val="false"/>
          <w:i w:val="false"/>
          <w:caps w:val="false"/>
          <w:smallCaps w:val="false"/>
          <w:sz w:val="20"/>
          <w:u w:val="single"/>
        </w:rPr>
        <w:t>Shares to Be Fully Paid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provide, free from preemptive rights, out of its authorized but unissued shares or shares held in treasury, sufficient shares of Common Stock to provide for conversion of the Notes from time to time as such Notes are presented for conversion (assuming at the time of computation of such number of shares, all such Notes would be converted by a single Holder and that Physical Settlement were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         </w:t>
      </w:r>
      <w:r>
        <w:rPr>
          <w:rFonts w:ascii="Times New Roman;Times;Serif" w:hAnsi="Times New Roman;Times;Serif"/>
          <w:b w:val="false"/>
          <w:i w:val="false"/>
          <w:caps w:val="false"/>
          <w:smallCaps w:val="false"/>
          <w:sz w:val="20"/>
          <w:u w:val="single"/>
        </w:rPr>
        <w:t>Effect of Recapitalizations, Reclassifications and Changes of the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Common Stock (other than a change to nominal value, or from nominal value to no nominal value, or changes resulting from a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Company and the Company’s Subsidiaries substantially as an entirety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Common Stock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Merger Event</w:t>
      </w:r>
      <w:r>
        <w:rPr>
          <w:rFonts w:ascii="Times New Roman;Times;Serif" w:hAnsi="Times New Roman;Times;Serif"/>
          <w:b w:val="false"/>
          <w:i w:val="false"/>
          <w:caps w:val="false"/>
          <w:smallCaps w:val="false"/>
          <w:sz w:val="20"/>
        </w:rPr>
        <w:t>”), then, at and after the effective time of such Merger Event, the right to convert each $1,000 Capitalized Principal Amount of Notes shall be changed into a right to convert such Capitalized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with each “</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xml:space="preserve">” meaning the kind and amount of Reference Property that a holder of one share of Common Stock is entitled to receive on account of such Merger Event (without giving effect to any arrangement not to issue or deliver a fractional portion of any security or other property)) upon such Merger Event and, prior to or at the effective time of such Merger Event, the Company or the successor or purchasing Person, as the case may be, shall execute with the Trustee a supplemental indenture permitted under </w:t>
      </w:r>
      <w:r>
        <w:rPr>
          <w:rFonts w:ascii="Times New Roman;Times;Serif" w:hAnsi="Times New Roman;Times;Serif"/>
          <w:b w:val="false"/>
          <w:i w:val="false"/>
          <w:caps w:val="false"/>
          <w:smallCaps w:val="false"/>
          <w:sz w:val="20"/>
          <w:u w:val="single"/>
        </w:rPr>
        <w:t>Section 10.01(g)</w:t>
      </w:r>
      <w:r>
        <w:rPr>
          <w:rFonts w:ascii="Times New Roman;Times;Serif" w:hAnsi="Times New Roman;Times;Serif"/>
          <w:b w:val="false"/>
          <w:i w:val="false"/>
          <w:caps w:val="false"/>
          <w:smallCaps w:val="false"/>
          <w:sz w:val="20"/>
        </w:rPr>
        <w:t xml:space="preserve"> providing for such change in the right to convert each $1,000 Capitalized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at and after the effective time of the Merger Event (A) the Company or the successor or acquiring company, as the case may be, shall continue to have the right to determine the form of consideration to be paid or delivered, as the case may be, upon conversion of Notes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(B) (I) any amount payable in cash upon conversion of the Notes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shall continue to be payable in cash, (II) any shares of Common Stock that the Company would have been required to deliver upon conversion of the Notes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shall instead be deliverable in the amount and type of Reference Property that a holder of that number of shares of Common Stock would have received in such Merger Event, and (III) the Daily VWAP shall be calculated based on the value of a unit of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Merger Event causes the Common Stock to be converted into, or exchanged for, the right to receive more than a single type of consideration (determined based in part upon any form of stockholder election), then the Reference Property into which the Notes will be convertible will be deemed to be (i) the weighted average of the types and amounts of consideration received by the holders of Common Stock that affirmatively make such an election or (ii) if no holders of Common Stock make such an election, the weighted average of the types and amounts of consideration actually received by the holders of Common Stock. The Company shall notify Holders, the Trustee and the Conversion Agent (if other than the entity acting as Trustee) of such weighted average as soon as practicable after such determination is made. If the holders of the Common Stock receive only cash in such Merger Event, then for all conversions for which the relevant Conversion Date occurs after the effective date of such Merger Event (A) the consideration due upon conversion of each $1,000 Capitalized Principal Amount of Notes shall be solely cash in an amount equal to the Conversion Rate in effect on the Conversion Date,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the price paid per share of Common Stock in such Merger Event and (B) the Company shall satisfy the Conversion Obligation by paying cash to converting Holders on the second Business Day immediately following the relevant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in respect of any Merger Event includes, in whole or in part, common equity, the supplemental indenture described in the second immediately preceding paragraph providing that the Notes will convertible into Reference Property (other than cash) shall also provide for anti-dilution and other adjustments that shall be as nearly equivalent as is possible to the adjustments provided for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with respect to the portion of Reference Property constituting such common equity. If, in the case of any Merger Event, the Reference Property includes shares of stock, securities or other property or assets (including any combination thereof), other than cash and/or cash equivalents, of a Person other than the Company or the successor or purchasing corporation, as the case may be, in such Merger Event, then such supplemental indenture shall also be executed by such other Person, if such Person is an Affiliate of the Company or the successor or purchasing corporation, and shall contain such additional provisions to protect the interests of the Holders as the Company shall in good faith reasonably consider necessary by reason of the foregoing, including the provisions providing for the purchase rights set forth in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 the Company executes a supplemental indenture pursuant to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 become a party to any Merger Event unless its terms are consistent with this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 xml:space="preserve">. None of the foregoing provisions shall affect the right of a holder of Notes to convert its Notes into cash, shares of Common Stock or a combination of cash and shares of Common Stock, as applicable, as set forth in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prior to the effective date of such Merger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above provisions of this Section shall similarly apply to successive Merger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         </w:t>
      </w:r>
      <w:r>
        <w:rPr>
          <w:rFonts w:ascii="Times New Roman;Times;Serif" w:hAnsi="Times New Roman;Times;Serif"/>
          <w:b w:val="false"/>
          <w:i w:val="false"/>
          <w:caps w:val="false"/>
          <w:smallCaps w:val="false"/>
          <w:sz w:val="20"/>
          <w:u w:val="single"/>
        </w:rPr>
        <w:t>Certain Covenants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The Company covenants that all shares of Common Stock issued upon conversion of Notes will be fully paid and non-assessable by the Company and free from all taxes, liens and charges with respect to the issue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         </w:t>
      </w:r>
      <w:r>
        <w:rPr>
          <w:rFonts w:ascii="Times New Roman;Times;Serif" w:hAnsi="Times New Roman;Times;Serif"/>
          <w:b w:val="false"/>
          <w:i w:val="false"/>
          <w:caps w:val="false"/>
          <w:smallCaps w:val="false"/>
          <w:sz w:val="20"/>
          <w:u w:val="single"/>
        </w:rPr>
        <w:t>Responsibility of Trustee</w:t>
      </w:r>
      <w:r>
        <w:rPr>
          <w:rFonts w:ascii="Times New Roman;Times;Serif" w:hAnsi="Times New Roman;Times;Serif"/>
          <w:b w:val="false"/>
          <w:i w:val="false"/>
          <w:caps w:val="false"/>
          <w:smallCaps w:val="false"/>
          <w:sz w:val="20"/>
        </w:rPr>
        <w:t>. The Trustee and any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Conversion Agent shall not be accountable with respect to the validity or value (or the kind or amount) of any shares of Common Stock, or of any securities, property or cash that may at any time be issued or delivered upon the conversion of any Note; and the Trustee and any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Without limiting the generality of the foregoing, neither the Trustee nor any Conversion Agent shall be under any responsibility to determine the correctness of any provisions contained in any supplemental indenture entered into pursuant to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 relating either to the kind or amount of shares of stock or securities or property (including cash) receivable by Holders upon the conversion of their Notes after any event referred to in such Section</w:t>
      </w:r>
      <w:r>
        <w:rPr>
          <w:rFonts w:ascii="Times New Roman;Times;Serif" w:hAnsi="Times New Roman;Times;Serif"/>
          <w:b w:val="false"/>
          <w:i w:val="false"/>
          <w:caps w:val="false"/>
          <w:smallCaps w:val="false"/>
          <w:sz w:val="20"/>
          <w:u w:val="single"/>
        </w:rPr>
        <w:t> 14.07</w:t>
      </w:r>
      <w:r>
        <w:rPr>
          <w:rFonts w:ascii="Times New Roman;Times;Serif" w:hAnsi="Times New Roman;Times;Serif"/>
          <w:b w:val="false"/>
          <w:i w:val="false"/>
          <w:caps w:val="false"/>
          <w:smallCaps w:val="false"/>
          <w:sz w:val="20"/>
        </w:rPr>
        <w:t> or to any adjustment to be made with respect thereto, but, subject to the provisions of Section</w:t>
      </w:r>
      <w:r>
        <w:rPr>
          <w:rFonts w:ascii="Times New Roman;Times;Serif" w:hAnsi="Times New Roman;Times;Serif"/>
          <w:b w:val="false"/>
          <w:i w:val="false"/>
          <w:caps w:val="false"/>
          <w:smallCaps w:val="false"/>
          <w:sz w:val="20"/>
          <w:u w:val="single"/>
        </w:rPr>
        <w:t> 7.01</w:t>
      </w:r>
      <w:r>
        <w:rPr>
          <w:rFonts w:ascii="Times New Roman;Times;Serif" w:hAnsi="Times New Roman;Times;Serif"/>
          <w:b w:val="false"/>
          <w:i w:val="false"/>
          <w:caps w:val="false"/>
          <w:smallCaps w:val="false"/>
          <w:sz w:val="20"/>
        </w:rPr>
        <w:t xml:space="preserve">,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w:t>
      </w:r>
      <w:r>
        <w:rPr>
          <w:rFonts w:ascii="Times New Roman;Times;Serif" w:hAnsi="Times New Roman;Times;Serif"/>
          <w:b w:val="false"/>
          <w:i w:val="false"/>
          <w:caps w:val="false"/>
          <w:smallCaps w:val="false"/>
          <w:sz w:val="20"/>
          <w:u w:val="single"/>
        </w:rPr>
        <w:t>Section 14.01(b)</w:t>
      </w:r>
      <w:r>
        <w:rPr>
          <w:rFonts w:ascii="Times New Roman;Times;Serif" w:hAnsi="Times New Roman;Times;Serif"/>
          <w:b w:val="false"/>
          <w:i w:val="false"/>
          <w:caps w:val="false"/>
          <w:smallCaps w:val="false"/>
          <w:sz w:val="20"/>
        </w:rPr>
        <w:t xml:space="preserve"> has occurred that makes the Notes eligible for conversion or no longer eligible therefor until the Company has delivered to the Trustee and the Conversion Agent the notices referred to in </w:t>
      </w:r>
      <w:r>
        <w:rPr>
          <w:rFonts w:ascii="Times New Roman;Times;Serif" w:hAnsi="Times New Roman;Times;Serif"/>
          <w:b w:val="false"/>
          <w:i w:val="false"/>
          <w:caps w:val="false"/>
          <w:smallCaps w:val="false"/>
          <w:sz w:val="20"/>
          <w:u w:val="single"/>
        </w:rPr>
        <w:t>Section 14.01(b)</w:t>
      </w:r>
      <w:r>
        <w:rPr>
          <w:rFonts w:ascii="Times New Roman;Times;Serif" w:hAnsi="Times New Roman;Times;Serif"/>
          <w:b w:val="false"/>
          <w:i w:val="false"/>
          <w:caps w:val="false"/>
          <w:smallCaps w:val="false"/>
          <w:sz w:val="20"/>
        </w:rPr>
        <w:t xml:space="preserve">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w:t>
      </w:r>
      <w:r>
        <w:rPr>
          <w:rFonts w:ascii="Times New Roman;Times;Serif" w:hAnsi="Times New Roman;Times;Serif"/>
          <w:b w:val="false"/>
          <w:i w:val="false"/>
          <w:caps w:val="false"/>
          <w:smallCaps w:val="false"/>
          <w:sz w:val="20"/>
          <w:u w:val="single"/>
        </w:rPr>
        <w:t>Section 14.01(b)</w:t>
      </w:r>
      <w:r>
        <w:rPr>
          <w:rFonts w:ascii="Times New Roman;Times;Serif" w:hAnsi="Times New Roman;Times;Serif"/>
          <w:b w:val="false"/>
          <w:i w:val="false"/>
          <w:caps w:val="false"/>
          <w:smallCaps w:val="false"/>
          <w:sz w:val="20"/>
        </w:rPr>
        <w:t>. Neither the Trustee nor the Conversion Agent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 or to otherwise independently determine or verify if any Fundamental Change, Share Exchange Event, Trigger Event, or any other event has occurred or notify the Holders of any such event. Neither the Trustee nor Conversion Agent shall have the responsibility for any act or omission of any Designated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         Notice to Holders Prior to Certain Actions. In case of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action by the Company or one of its Subsidiaries that would require an adjustment in the Conversion Rate pursuant to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voluntary or involuntary dissolution, liquidation or winding-up of the Company; then, in each case (unless notice of such event is otherwise required pursuant to another provision of this Indenture), the Company shall cause to be filed with the Trustee and the Conversion Agent (if other than the entity acting as Trustee) and to be delivered to each Holder, as promptly as possible but in any event at least 10 days prior to the applicable date hereinafter specified, a notice stating (i) the date on which a record is to be taken for the purpose of such action by the Company or, if a record is not to be taken, the date as of which the holders of Common Stock of record are to be determined for the purposes of such action by the Company,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dissolution, liquidation or winding-up.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14.11 </w:t>
      </w:r>
      <w:r>
        <w:rPr>
          <w:rFonts w:ascii="Times New Roman;Times;Serif" w:hAnsi="Times New Roman;Times;Serif"/>
          <w:b w:val="false"/>
          <w:i w:val="false"/>
          <w:caps w:val="false"/>
          <w:smallCaps w:val="false"/>
          <w:sz w:val="20"/>
          <w:u w:val="single"/>
        </w:rPr>
        <w:t>Stockholder Rights Plans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subject to readjustment in the event of the expiration, termination or redemption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         </w:t>
      </w:r>
      <w:r>
        <w:rPr>
          <w:rFonts w:ascii="Times New Roman;Times;Serif" w:hAnsi="Times New Roman;Times;Serif"/>
          <w:b w:val="false"/>
          <w:i w:val="false"/>
          <w:caps w:val="false"/>
          <w:smallCaps w:val="false"/>
          <w:sz w:val="20"/>
          <w:u w:val="single"/>
        </w:rPr>
        <w:t>Exchange in Lieu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Holder surrenders its Notes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cause the surrender, on or prior to the Trading Day immediately following the Conversion Date, of such Notes to one or more financial institutions designated by the Company (each, a “</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xml:space="preserve">”) for exchange in lieu of conversion. In order to accept any Notes surrendered for conversion, the Designated Financial Institution(s) must agree to timely pay or deliver, as the case may be, in exchange for such Notes, the cash, shares of Common Stock or combination thereof that would otherwise be due upon conversion pursuant to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or such other amount agreed to by the Holder and the Designated Financial Institution(s)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designation of any Designated Financial Institution(s) to which the Notes may be submitted for exchange does not require such Designated Financial Institution(s) to accept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15</w:t>
        <w:br/>
        <w:t>REPURCHASE OF NOTES AT OPTION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         </w:t>
      </w:r>
      <w:r>
        <w:rPr>
          <w:rFonts w:ascii="Times New Roman;Times;Serif" w:hAnsi="Times New Roman;Times;Serif"/>
          <w:b w:val="false"/>
          <w:i w:val="false"/>
          <w:caps w:val="false"/>
          <w:smallCaps w:val="false"/>
          <w:sz w:val="20"/>
          <w:u w:val="single"/>
        </w:rPr>
        <w:t>Repurchase at Option of Holders Upon a Fundamental Change</w:t>
      </w:r>
      <w:r>
        <w:rPr>
          <w:rFonts w:ascii="Times New Roman;Times;Serif" w:hAnsi="Times New Roman;Times;Serif"/>
          <w:b w:val="false"/>
          <w:i w:val="false"/>
          <w:caps w:val="false"/>
          <w:smallCaps w:val="false"/>
          <w:sz w:val="20"/>
        </w:rPr>
        <w:t xml:space="preserve">. (a) If a Fundamental Change occurs at any time, each Holder shall have the right, at such Holder’s option, to require the Company to repurchase for cash all of such Holder’s Notes, or any portion of the principal amount thereof properly surrendered and not validly withdrawn pursuant to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 that is equal to $1,000 or an integral multiple of $1.00, on the date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specified by the Company that is not less than 20 Business Days or more than 35 Business Days following the date of the Fundamental Change Company Notice at a repurchase price equal to the Applicable Call Price of the Capitalized Principal Amount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accrued and unpaid interest thereon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the Applicable Call Price of the Capitalized Principal Amount of Notes to be repurchased pursuant to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the 20th calendar day after the occurrence of the effective date of a Fundamental Change, the Company shall provide to all Holders and the Trustee, the Conversion Agent and the Paying Agent (in the case of a Paying Agent other than the entity acting as Trustee) a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may exercise the repurchase right pursuant to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 as a result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the Notes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repurchase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failure of the Company to give the foregoing notices and no defect therein shall limit the Holders’ repurchase rights or affect the validity of the proceedings for the repurchase of the Notes pursuant to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given at least two Business Days prior to the date the Fundamental Change Company Notice is to be sent (or such shorter period as may be agreed to by the Trustee),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Fundamental Change Company Notice shall be prepared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Repurchases of Notes under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shall be made, at the option of the Holder thereof,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in the form set forth in Attachment 2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Physical Notes to be repurchased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certificate numbers of the Notes to be delivered for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portion of the principal amount of Notes to be repurchased, which must be $1,000 or an integral multiple of $1.00 in excess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the Notes are to be repurchased by the Company pursuant to the applicable provisions of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to exercise the Fundamental Change repurchase right, Holders must surrender their Notes in accordance with applicable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any Holder delivering to the Paying Agent the Fundamental Change Repurchase Notice contemplated by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xml:space="preserve">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Fundamental Change Repurchase Notice or written notice of withdrawal thereof.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the Company shall not be required to repurchase or make an offer to repurchase, the Notes upon a Fundamental Change if a third party makes such an offer in the same manner, at the same time and otherwise in compliance with the requirements for an offer made by the Company as set forth in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and such third party purchases all Notes properly surrendered and not validly withdrawn under its offer in the same manner, at the same time and otherwise in compliance with the requirements for an offer made by the Company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         </w:t>
      </w:r>
      <w:r>
        <w:rPr>
          <w:rFonts w:ascii="Times New Roman;Times;Serif" w:hAnsi="Times New Roman;Times;Serif"/>
          <w:b w:val="false"/>
          <w:i w:val="false"/>
          <w:caps w:val="false"/>
          <w:smallCaps w:val="false"/>
          <w:sz w:val="20"/>
          <w:u w:val="single"/>
        </w:rPr>
        <w:t>Withdrawal of Fundamental Change Repurchase Notice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A Fundamental Change Repurchase Notice may be withdrawn (in whole or in part) in respect of Physical Notes by means of a written notice of withdrawal delivered to the Corporate Trust Office of the Paying Agent in accordance with this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 at any time prior to the close of business on the Business Day immediately preceding the Fundamental Change Repurchase Date,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Notes with respect to which such notice of withdrawal is being submitted, which must be $1,000 or an integral multiple of $1.00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certificate number of the Note in respect of which such notice of withdrawal is being submitted,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of such Note that remains subject to the original Fundamental Change Repurchase Notice, which portion must be in principal amounts of $1,000 or an integral multiple of $1.00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Holders may withdraw their Notes subject to repurchase at any time prior to the close of business on the Business Day immediately preceding the Fundamental Change Repurchase Date in accordance with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         </w:t>
      </w:r>
      <w:r>
        <w:rPr>
          <w:rFonts w:ascii="Times New Roman;Times;Serif" w:hAnsi="Times New Roman;Times;Serif"/>
          <w:b w:val="false"/>
          <w:i w:val="false"/>
          <w:caps w:val="false"/>
          <w:smallCaps w:val="false"/>
          <w:sz w:val="20"/>
          <w:u w:val="single"/>
        </w:rPr>
        <w:t>Deposit of Fundamental Change Repurchase Price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The Company will deposit with the Paying Agent, or if the Company is acting as its own Paying Agent, set aside, segregate and hold in trust as provided in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on or prior to 10:00 a.m., New York City time, on the Fundamental Change Repurchase Date an amount of money sufficient to repurchase all of the Notes to be repurchased at the appropriate Fundamental Change Repurchase Price. Subject to receipt of funds and/or Notes by the Paying Agent,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the Holder has satisfied the conditions in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xml:space="preserve">) and (ii) the time of book-entry transfer or the delivery of such Note to the Paying Agent by the Holder thereof in the manner required by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xml:space="preserve"> by mailing checks for the amount payable to the Holders of such Notes entitled thereto as they shall appear in the Note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 The Paying Agent shall, promptly after such payment and upon written demand by the Company, return to the Company any funds in excess of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by 10:00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surrender of a Note that is to be repurchased in part pursuant to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the Company shall execute and the Trustee shall authenticate and deliver to the Holder a new Note in an authorized denomination equal in principal amount to the unrepurchased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         </w:t>
      </w:r>
      <w:r>
        <w:rPr>
          <w:rFonts w:ascii="Times New Roman;Times;Serif" w:hAnsi="Times New Roman;Times;Serif"/>
          <w:b w:val="false"/>
          <w:i w:val="false"/>
          <w:caps w:val="false"/>
          <w:smallCaps w:val="false"/>
          <w:sz w:val="20"/>
          <w:u w:val="single"/>
        </w:rPr>
        <w:t>Covenant to Comply with Applicable Laws Upon Repurchase of Notes</w:t>
      </w:r>
      <w:r>
        <w:rPr>
          <w:rFonts w:ascii="Times New Roman;Times;Serif" w:hAnsi="Times New Roman;Times;Serif"/>
          <w:b w:val="false"/>
          <w:i w:val="false"/>
          <w:caps w:val="false"/>
          <w:smallCaps w:val="false"/>
          <w:sz w:val="20"/>
        </w:rPr>
        <w:t>. In connection with any repurchase offer upon a Fundamental Change pursuant to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the Company will,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with the tender offer rules under the Exchange Act that may then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a Schedule TO or any other required schedule under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otherwise comply in all material respects with all federal and state securities laws in connection with any offer by the Company to repurchase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so as to permit the rights and obligations under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to be exercised in the time and in the manner specified in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as a result of a change in law occurring after the first date on which the Notes are issued, the provisions of any securities laws or regulations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16</w:t>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No sinking fund is provided for the Notes. The Notes shall not be redeemable at the option of the Company, in whole or in part, at any time prior to the Maturity Date (i.e., the Notes are not callable for life), other than pursuant to the mandatory redemption provisions of Section 4.17.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17</w:t>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         </w:t>
      </w:r>
      <w:r>
        <w:rPr>
          <w:rFonts w:ascii="Times New Roman;Times;Serif" w:hAnsi="Times New Roman;Times;Serif"/>
          <w:b w:val="false"/>
          <w:i w:val="false"/>
          <w:caps w:val="false"/>
          <w:smallCaps w:val="false"/>
          <w:sz w:val="20"/>
          <w:u w:val="single"/>
        </w:rPr>
        <w:t>Provisions Binding on Company’s and Guarantors’ Successors</w:t>
      </w:r>
      <w:r>
        <w:rPr>
          <w:rFonts w:ascii="Times New Roman;Times;Serif" w:hAnsi="Times New Roman;Times;Serif"/>
          <w:b w:val="false"/>
          <w:i w:val="false"/>
          <w:caps w:val="false"/>
          <w:smallCaps w:val="false"/>
          <w:sz w:val="20"/>
        </w:rPr>
        <w:t>. All the covenants, stipulations, promises and agreements of the Company and each Guarantor contained in this Indenture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        </w:t>
      </w:r>
      <w:r>
        <w:rPr>
          <w:rFonts w:ascii="Times New Roman;Times;Serif" w:hAnsi="Times New Roman;Times;Serif"/>
          <w:b w:val="false"/>
          <w:i w:val="false"/>
          <w:caps w:val="false"/>
          <w:smallCaps w:val="false"/>
          <w:sz w:val="20"/>
          <w:u w:val="single"/>
        </w:rPr>
        <w:t>Official Acts by Successor Corporation</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committee or Officer of the Company or a Guarantor shall and may be done and performed with like force and effect by the like board, committee or officer of any corporation or other entity that shall at the time be the lawful sole successor of the Company or such Guarantor,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        </w:t>
      </w:r>
      <w:r>
        <w:rPr>
          <w:rFonts w:ascii="Times New Roman;Times;Serif" w:hAnsi="Times New Roman;Times;Serif"/>
          <w:b w:val="false"/>
          <w:i w:val="false"/>
          <w:caps w:val="false"/>
          <w:smallCaps w:val="false"/>
          <w:sz w:val="20"/>
          <w:u w:val="single"/>
        </w:rPr>
        <w:t>Addresses for Notices, Etc</w:t>
      </w:r>
      <w:r>
        <w:rPr>
          <w:rFonts w:ascii="Times New Roman;Times;Serif" w:hAnsi="Times New Roman;Times;Serif"/>
          <w:b w:val="false"/>
          <w:i w:val="false"/>
          <w:caps w:val="false"/>
          <w:smallCaps w:val="false"/>
          <w:sz w:val="20"/>
        </w:rPr>
        <w:t>. Any notice or demand that by any provision of this Indenture is required or permitted to be given or served by the Trustee or by the Holders on the Company or any Guarantor shall be deemed to have been sufficiently given or made, for all purposes if given or served by overnight courier or by being deposited postage prepaid by registered or certified mail in a post office letter box addressed (until another address is filed by the Company or any Guarantor with the Trustee) to SCHMID Group N.V., Robert-Bosch-Str. 32-36, 72250 Freudenstadt, Germany (attention: CFO and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17.04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INDENTURE, THE NOTE GUARANTEES AND EACH NOTE, AND ANY CLAIM, CONTROVERSY OR DISPUTE ARISING UNDER OR RELATED TO THIS INDENTURE AND EACH NOTE, SHALL BE GOVERNED BY, AND CONSTRUED IN ACCORDANCE WITH, THE LAWS OF THE STATE OF NEW YORK (WITHOUT REGARD TO THE CONFLICT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Guarantor irrevocably consents and agrees, for the benefit of the Holders from time to time of the Notes and the Trustee, that any legal action, suit or proceeding against it with respect to obligations, liabilities or any other matter arising out of or in connection with this Indenture, The Note Guarantees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Guarantor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and the Initial Guarantor incorporated, formed or otherwise organized outside of the United States (the “</w:t>
      </w:r>
      <w:r>
        <w:rPr>
          <w:rFonts w:ascii="Times New Roman;Times;Serif" w:hAnsi="Times New Roman;Times;Serif"/>
          <w:b/>
          <w:i w:val="false"/>
          <w:caps w:val="false"/>
          <w:smallCaps w:val="false"/>
          <w:sz w:val="20"/>
        </w:rPr>
        <w:t>Foreign Entities</w:t>
      </w:r>
      <w:r>
        <w:rPr>
          <w:rFonts w:ascii="Times New Roman;Times;Serif" w:hAnsi="Times New Roman;Times;Serif"/>
          <w:b w:val="false"/>
          <w:i w:val="false"/>
          <w:caps w:val="false"/>
          <w:smallCaps w:val="false"/>
          <w:sz w:val="20"/>
        </w:rPr>
        <w:t>”) has appointed Cogency Global Inc., 122 East 42nd Street, 18th Floor, New York, NY 10168 as their authorized agent (the “</w:t>
      </w:r>
      <w:r>
        <w:rPr>
          <w:rFonts w:ascii="Times New Roman;Times;Serif" w:hAnsi="Times New Roman;Times;Serif"/>
          <w:b/>
          <w:i w:val="false"/>
          <w:caps w:val="false"/>
          <w:smallCaps w:val="false"/>
          <w:sz w:val="20"/>
        </w:rPr>
        <w:t>Authorized Agent</w:t>
      </w:r>
      <w:r>
        <w:rPr>
          <w:rFonts w:ascii="Times New Roman;Times;Serif" w:hAnsi="Times New Roman;Times;Serif"/>
          <w:b w:val="false"/>
          <w:i w:val="false"/>
          <w:caps w:val="false"/>
          <w:smallCaps w:val="false"/>
          <w:sz w:val="20"/>
        </w:rPr>
        <w:t>”) upon whom process may be served in any such action arising out of or based on this Indenture, the Notes, the Note Guarantee or the transactions contemplated hereby or thereby that may be instituted in any federal or state court in the State of New York, expressly consents to the jurisdiction of any such court in respect of any such action, and waives any other requirements of or objections to personal jurisdiction with respect thereto. Such appointment shall be irrevocable. The Foreign Entities, each represent and warrant, that their Authorized Agent has agreed to act as such agent for service of process and agrees to take any and all action, including the filing of any and all documents and instruments, which may be necessary to continue such appointments in full force and effect as stated above. Service of process upon the Company’s Authorized Agent and written notice of such service to the Company shall be deemed, in every respect, effective service of process upon the Company. Service of process upon the Initial Guarantor’s Authorized Agent and written notice of such service to the Initial Guarantor shall be deemed, in every respect, effective service of process upon the Initial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         </w:t>
      </w:r>
      <w:r>
        <w:rPr>
          <w:rFonts w:ascii="Times New Roman;Times;Serif" w:hAnsi="Times New Roman;Times;Serif"/>
          <w:b w:val="false"/>
          <w:i w:val="false"/>
          <w:caps w:val="false"/>
          <w:smallCaps w:val="false"/>
          <w:sz w:val="20"/>
          <w:u w:val="single"/>
        </w:rPr>
        <w:t>Evidence of Compliance with Conditions Precedent; Certificates and Opinions of Counsel to Trustee</w:t>
      </w:r>
      <w:r>
        <w:rPr>
          <w:rFonts w:ascii="Times New Roman;Times;Serif" w:hAnsi="Times New Roman;Times;Serif"/>
          <w:b w:val="false"/>
          <w:i w:val="false"/>
          <w:caps w:val="false"/>
          <w:smallCaps w:val="false"/>
          <w:sz w:val="20"/>
        </w:rPr>
        <w:t>. Upon any application or demand by the Company to the Trustee to take any action under any of the provisions of this Indenture, the Company shall furnish to the Trustee an Officer’s Certificate and Opinion of Counsel stating that such action is permitted by the terms of this Indenture and that all conditions precedent to such 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Officer’s Certificate and Opinion of Counsel provided for, by or on behalf of the Company in this Indenture and delivered to the Trustee with respect to compliance with this Indenture (other than the Officer’s Certificates provided for in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or (3) a request by the Company that the Trustee deliver a notice to Holders under the Indenture where the Trustee receives an Officer’s Certificate with respect to such notice.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if any provision in this Indenture specifically provides that the Trustee shall or may receive an Opinion of Counsel in connection with any action to be taken by the Trustee or the Company hereunder, the Trustee shall be entitled to such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In any case where any Interest Payment Date, any Fundamental Change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17.06</w:t>
      </w:r>
      <w:r>
        <w:rPr>
          <w:rFonts w:ascii="Times New Roman;Times;Serif" w:hAnsi="Times New Roman;Times;Serif"/>
          <w:b w:val="false"/>
          <w:i w:val="false"/>
          <w:caps w:val="false"/>
          <w:smallCaps w:val="false"/>
          <w:sz w:val="20"/>
        </w:rPr>
        <w:t>, a day on which the applicable place of payment is authorized or required by law or executive order to close or be closed will be deemed not to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         </w:t>
      </w:r>
      <w:r>
        <w:rPr>
          <w:rFonts w:ascii="Times New Roman;Times;Serif" w:hAnsi="Times New Roman;Times;Serif"/>
          <w:b w:val="false"/>
          <w:i w:val="false"/>
          <w:caps w:val="false"/>
          <w:smallCaps w:val="false"/>
          <w:sz w:val="20"/>
          <w:u w:val="single"/>
        </w:rPr>
        <w:t>No Security Interest Created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         </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15.04</w:t>
      </w:r>
      <w:r>
        <w:rPr>
          <w:rFonts w:ascii="Times New Roman;Times;Serif" w:hAnsi="Times New Roman;Times;Serif"/>
          <w:b w:val="false"/>
          <w:i w:val="false"/>
          <w:caps w:val="false"/>
          <w:smallCaps w:val="false"/>
          <w:sz w:val="20"/>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the corporate trust business of any authenticating agent, shall be the successor of the authenticating agent hereunder, if such successor corporation or other entity is otherwise eligible under this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without the execution or filing of any paper or any further act on the part of the parties hereto or the authenticating agent or such successor corporation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authenticating agent from time to time reasonable compensation for its services although the Company may terminate the authenticating agent, if it determines such agent’s fees to be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shall be applicable to any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authenticating agent is appointed pursuant to this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the Notes may have endorsed thereon, in addition to the Trustee’s certificate of authentication, an alternative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 certifies that this is one of the Notes described in the within-named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the event any provision of this Indenture or in the Notes shall be invalid, illegal or unenforceable, then (to the extent permitted by law) the validity, legality or enforceability of the remaining provisions shall not in any way be affected or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OF THE COMPANY, EACH GUARANTOR AND THE TRUSTEE HEREBY IRREVOCABLY WAIVES, TO THE FULLEST EXTENT PERMITTED BY APPLICABLE LAW, ANY AND ALL RIGHT TO TRIAL BY JURY IN ANY LEGAL PROCEEDING ARISING OUT OF OR RELATING TO THIS INDENTURE, THE NOTES, THE NOTE GUARANTEES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pandemics, epidemics, recognized public emergencies, quarantine restrictions, nuclear or natural catastrophes or acts of God,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Except as otherwise provided herein, the Company shall be responsible for making all calculations called for under the Notes. These calculations include, but are not limited to, determinations of the Last Reported Sale Prices of the Common Stock, the Daily VWAPs accrued interest payable on the Notes (including Default Interest and Step-Up Interest), the Redemption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17.16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17.17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In order to enable the Company and the Trustee to comply with their obligations with respect to this Indenture and the Notes under Sections 1471 through 1474 of the Internal Revenue Code,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any regulations thereunder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(inclusive of official interpretations of FATCA promulgated by competent authorities), any applicable agreement entered into pursuant to Section 1471(b) of the Code and/or any applicable intergovernmental agreement entered into in order to implement FATCA, each of the Company, the Trustee and the Paying Agent agree (i) to provide to one another such reasonable information that is within its possession and is reasonably requested by the others to assist the other in determining whether it has tax related obligations under FATCA, and (ii) that the Trustee and the Paying Agent shall be entitled to make any withholding or deduction from payments under this Indenture to the extent necessary to comply with FATCA without liability, including without liability to gross-up for such withholding or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294" w:type="dxa"/>
        <w:jc w:val="left"/>
        <w:tblInd w:w="0" w:type="dxa"/>
        <w:tblLayout w:type="fixed"/>
        <w:tblCellMar>
          <w:top w:w="0" w:type="dxa"/>
          <w:left w:w="0" w:type="dxa"/>
          <w:bottom w:w="0" w:type="dxa"/>
          <w:right w:w="0" w:type="dxa"/>
        </w:tblCellMar>
      </w:tblPr>
      <w:tblGrid>
        <w:gridCol w:w="75"/>
        <w:gridCol w:w="631"/>
        <w:gridCol w:w="3588"/>
      </w:tblGrid>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Arthur Schuetz</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caps w:val="false"/>
                <w:smallCaps w:val="false"/>
              </w:rPr>
            </w:pPr>
            <w:r>
              <w:rPr>
                <w:caps w:val="false"/>
                <w:smallCaps w:val="false"/>
              </w:rPr>
              <w:t> </w:t>
            </w:r>
          </w:p>
        </w:tc>
        <w:tc>
          <w:tcPr>
            <w:tcW w:w="35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Arthur Schuetz</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caps w:val="false"/>
                <w:smallCaps w:val="false"/>
              </w:rPr>
            </w:pPr>
            <w:r>
              <w:rPr>
                <w:caps w:val="false"/>
                <w:smallCaps w:val="false"/>
              </w:rPr>
              <w:t> </w:t>
            </w:r>
          </w:p>
        </w:tc>
        <w:tc>
          <w:tcPr>
            <w:tcW w:w="35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CFO</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GEBR. SCHMID GMBH</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Initial Guarantor</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Julia Nattarer</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caps w:val="false"/>
                <w:smallCaps w:val="false"/>
              </w:rPr>
            </w:pPr>
            <w:r>
              <w:rPr>
                <w:caps w:val="false"/>
                <w:smallCaps w:val="false"/>
              </w:rPr>
              <w:t> </w:t>
            </w:r>
          </w:p>
        </w:tc>
        <w:tc>
          <w:tcPr>
            <w:tcW w:w="35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Julia Nattarer</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caps w:val="false"/>
                <w:smallCaps w:val="false"/>
              </w:rPr>
            </w:pPr>
            <w:r>
              <w:rPr>
                <w:caps w:val="false"/>
                <w:smallCaps w:val="false"/>
              </w:rPr>
              <w:t> </w:t>
            </w:r>
          </w:p>
        </w:tc>
        <w:tc>
          <w:tcPr>
            <w:tcW w:w="35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CFO</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SAVINGS FUND SOCIETY, FSB</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Anita Woolery</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caps w:val="false"/>
                <w:smallCaps w:val="false"/>
              </w:rPr>
            </w:pPr>
            <w:r>
              <w:rPr>
                <w:caps w:val="false"/>
                <w:smallCaps w:val="false"/>
              </w:rPr>
              <w:t> </w:t>
            </w:r>
          </w:p>
        </w:tc>
        <w:tc>
          <w:tcPr>
            <w:tcW w:w="35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Anita Woolery</w:t>
            </w:r>
          </w:p>
        </w:tc>
      </w:tr>
      <w:tr>
        <w:trPr/>
        <w:tc>
          <w:tcPr>
            <w:tcW w:w="75"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caps w:val="false"/>
                <w:smallCaps w:val="false"/>
              </w:rPr>
            </w:pPr>
            <w:r>
              <w:rPr>
                <w:caps w:val="false"/>
                <w:smallCaps w:val="false"/>
              </w:rPr>
              <w:t> </w:t>
            </w:r>
          </w:p>
        </w:tc>
        <w:tc>
          <w:tcPr>
            <w:tcW w:w="35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 FOLLOWING LEGEND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SCHMID GROUP N.V. (THE “COMPANY”) THAT IT WILL NOT OFFER, SELL, PLEDGE OR OTHERWISE TRANSFER THIS SECURITY AND THE COMMON STOCK, IF ANY, ISSUABLE UPON CONVERSION OF THIS SECURITY, IF ANY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NON-U.S. PERSON LOCATED OUTSIDE THE UNITED STATES IN ACCORDANCE WITH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(2)(E)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AFFILIATE (AS DEFINED IN RULE 144 UNDER THE SECURITIES ACT) OF SCHMID GROUP N.V. OR PERSON THAT HAS BEEN AN AFFILIATE (AS DEFINED IN RULE 144 UNDER THE SECURITIES ACT) OF SCHMID GROUP N.V. DURING THE PRECEDING THREE MONTHS MAY PURCHASE, OTHERWISE ACQUIRE OR HOLD THIS SECURITY OR A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SECURITY WAS ISSUED WITH ORIGINAL ISSUE DISCOUNT (“OID”) WITHIN THE MEANING OF SECTION 1273 OF THE INTERNAL REVENUE CODE OF 1986, AS AMENDED. A HOLDER OF THIS NOTE MAY OBTAIN INFORMATION REGARDING THE AMOUNT OF OID, THE ISSUE PRICE, THE ISSUE DATE AND THE YIELD TO MATURITY BY CONTACTING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Convertible Senior PIK Toggle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[__________]</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 a Dutch public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[__________]</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or registered assigns, the principal sum [as set forth in the “Schedule of Exchanges of Notes” attached hereto]</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[of $[__________]]</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which amount, taken together with the principal amounts of all other outstanding Notes, shall not, unless permitted by the Indenture, exceed $[______] in aggregate at any time, in accordance with the rules and applicable procedures of the Depositary, on January 14, 2029, and interest thereon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bear interest at the applicable Cash Interest Rate or PIK Interest Rate from July 14, 2026 or from the most recent date to which interest has been paid or provided for to, but excluding, the next scheduled Interest Payment Date until January 14, 2029. Accrued interest on this Note shall be computed on the basis of a 360-day year composed of twelve 30-day months and, for partial months, on the basis of the number of days actually elapsed in a 30-day month. Interest is payable quarterly in arrears in cash at the Cash Interest Rate or by PIK Payments at the PIK Interest Rate, pursuant to Section 2.03(d) of the Indenture, on each March 15, June 15, September 15 and December 15 commencing on December 15, 2026, to Holders of record at the close of business on the preceding March 1, June 1, September 1 and December 1 (whether or not such day is a Business Day), respectively. The Company shall make payments on the Notes in the manner set forth in the Indenture. Step-Up Interest will be payable as set forth in Section 2.03(e) of the within-mentioned Indenture, and any reference to interest on, or in respect of, any Note therein shall be deemed to include Step-Up Interest if, in such context, Step-Up Interest is, was or would be payable pursuant to any of such Section 2.03(e), and any express mention of the payment of Step-Up Interest in any provision therein shall not be construed as excluding Step-Up Interest in those provisions thereof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This Note will be deemed to be identified by CUSIP No. [__________]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Defaulted Amounts shall accrue interest per annum at the rate equal to 2.0% per annum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(which shall be in addition to, not in lieu of, the interest payable pursuant to the Indenture and the Notes), subject to the enforceability thereof under applicable law, from, and including, the relevant payment date to, but excluding, the date on which such Defaulted Amounts and Default Interest shall have been paid by the Company, at its election, in accordance with Section 2.03(c) and Article 6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entity acting as Trustee as its Paying Agent and Note Registrar in respect of the Notes and its agency in the contiguous United States, as a place where Notes may be presented for payment or for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and any claim, controversy or dispute arising under or related to this Note, shall be construed in accordance with and governed by the laws of the State of New York (without regard to the conflict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Note and the Indenture, the provisions of the Indenture shall control and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or electronically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Note to be duly executed.</w:t>
      </w:r>
    </w:p>
    <w:p>
      <w:pPr>
        <w:pStyle w:val="TextBody"/>
        <w:bidi w:val="0"/>
        <w:spacing w:before="0" w:after="0"/>
        <w:ind w:left="0" w:right="0" w:hanging="0"/>
        <w:jc w:val="left"/>
        <w:rPr>
          <w:caps w:val="false"/>
          <w:smallCaps w:val="false"/>
        </w:rPr>
      </w:pPr>
      <w:r>
        <w:rPr>
          <w:caps w:val="false"/>
          <w:smallCaps w:val="false"/>
        </w:rPr>
        <w:t> </w:t>
      </w:r>
    </w:p>
    <w:tbl>
      <w:tblPr>
        <w:tblW w:w="2029" w:type="dxa"/>
        <w:jc w:val="left"/>
        <w:tblInd w:w="0" w:type="dxa"/>
        <w:tblLayout w:type="fixed"/>
        <w:tblCellMar>
          <w:top w:w="0" w:type="dxa"/>
          <w:left w:w="0" w:type="dxa"/>
          <w:bottom w:w="0" w:type="dxa"/>
          <w:right w:w="0" w:type="dxa"/>
        </w:tblCellMar>
      </w:tblPr>
      <w:tblGrid>
        <w:gridCol w:w="75"/>
        <w:gridCol w:w="710"/>
        <w:gridCol w:w="1244"/>
      </w:tblGrid>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tc>
      </w:tr>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4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283"/>
        <w:jc w:val="left"/>
        <w:rPr/>
      </w:pPr>
      <w:r>
        <w:rPr/>
        <w:t> </w:t>
      </w:r>
    </w:p>
    <w:tbl>
      <w:tblPr>
        <w:tblW w:w="7279" w:type="dxa"/>
        <w:jc w:val="left"/>
        <w:tblInd w:w="0" w:type="dxa"/>
        <w:tblLayout w:type="fixed"/>
        <w:tblCellMar>
          <w:top w:w="0" w:type="dxa"/>
          <w:left w:w="0" w:type="dxa"/>
          <w:bottom w:w="0" w:type="dxa"/>
          <w:right w:w="0" w:type="dxa"/>
        </w:tblCellMar>
      </w:tblPr>
      <w:tblGrid>
        <w:gridCol w:w="1143"/>
        <w:gridCol w:w="6061"/>
        <w:gridCol w:w="75"/>
      </w:tblGrid>
      <w:tr>
        <w:trPr/>
        <w:tc>
          <w:tcPr>
            <w:tcW w:w="72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Wilmington Savings Fund Society, FSB, </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certifies that this is one of the Notes described in the within-named Indenture.</w:t>
            </w:r>
          </w:p>
        </w:tc>
        <w:tc>
          <w:tcPr>
            <w:tcW w:w="75" w:type="dxa"/>
            <w:tcBorders/>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6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43" w:type="dxa"/>
            <w:tcBorders/>
            <w:vAlign w:val="center"/>
          </w:tcPr>
          <w:p>
            <w:pPr>
              <w:pStyle w:val="TableContents"/>
              <w:bidi w:val="0"/>
              <w:spacing w:before="0" w:after="283"/>
              <w:jc w:val="left"/>
              <w:rPr>
                <w:caps w:val="false"/>
                <w:smallCaps w:val="false"/>
              </w:rPr>
            </w:pPr>
            <w:r>
              <w:rPr>
                <w:caps w:val="false"/>
                <w:smallCaps w:val="false"/>
              </w:rPr>
              <w:t> </w:t>
            </w:r>
          </w:p>
        </w:tc>
        <w:tc>
          <w:tcPr>
            <w:tcW w:w="6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Convertible Senior PIK Toggle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Company, designated as its 5.0% Convertible Senior PIK Toggle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the aggregate principal amount of $20,000,000 (as may be increased by any PIK Payments) all issued or to be issued under and pursuant to an Indenture dated as of July 14, 2026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the Guarantors and Wilmington Savings Fund Society, FSB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The originally issued Notes, all PIK Notes, and any additional Notes issued as set forth in the Indenture or this Note shall constitute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all payments and deliveries in respect of the Fundamental Change Repurchase Price on the Fundamental Change Repurchase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the Guarantors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guaranteed to the extent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shall have the right to receive payment or delivery, as the case may be, of (x) the principal (including the Fundamental Change Repurchase Price, if applicable) of, (y) accrued and unpaid interest, if any, on, and (z) the consideration due upon conversion of, this Note at the place, at the respective times, at the rate and in the lawful money and/or shares of Common Stock, as the case may be,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registered form without coupons in denominations of $1.00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at the Company’s option on or after the date of the Indenture in accordance with the terms and subject to the conditions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Fundamental Change, the Holder has the right, at such Holder’s option and subject to the limitations set forth in the Indenture, to require the Company to repurchase for cash all of such Holder’s Notes or any portion thereof (in principal amounts of $1,000 or an integral multiple of $1.00 in excess thereof) on the Fundamental Change Repurchase Date at a price equal to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of $1.00 in excess thereof, into cash, shares of Common Stock or a combination of cash and shares of Common Stock, as applicable and subject to the limitations set forth in the Indenture, in each case, at the Conversion Rate specified in the Indenture, as adjusted from time to time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joint tenants with right of survivorship and not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Convertible Senior PIK Toggle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[__________] DOLLARS ($[__________]).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28" w:type="dxa"/>
          <w:right w:w="0" w:type="dxa"/>
        </w:tblCellMar>
      </w:tblPr>
      <w:tblGrid>
        <w:gridCol w:w="980"/>
        <w:gridCol w:w="60"/>
        <w:gridCol w:w="1475"/>
        <w:gridCol w:w="60"/>
        <w:gridCol w:w="1475"/>
        <w:gridCol w:w="60"/>
        <w:gridCol w:w="1535"/>
        <w:gridCol w:w="60"/>
        <w:gridCol w:w="1340"/>
      </w:tblGrid>
      <w:tr>
        <w:trPr/>
        <w:tc>
          <w:tcPr>
            <w:tcW w:w="980" w:type="dxa"/>
            <w:tcBorders>
              <w:bottom w:val="single" w:sz="8" w:space="0" w:color="000000"/>
            </w:tcBorders>
            <w:vAlign w:val="center"/>
          </w:tcPr>
          <w:p>
            <w:pPr>
              <w:pStyle w:val="TableContents"/>
              <w:bidi w:val="0"/>
              <w:spacing w:before="0" w:after="283"/>
              <w:jc w:val="center"/>
              <w:rPr>
                <w:b/>
              </w:rPr>
            </w:pPr>
            <w:r>
              <w:rPr>
                <w:b/>
              </w:rPr>
              <w:t>Date of</w:t>
              <w:br/>
              <w:t>exchange</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center"/>
              <w:rPr>
                <w:b/>
              </w:rPr>
            </w:pPr>
            <w:r>
              <w:rPr>
                <w:b/>
              </w:rPr>
              <w:t xml:space="preserve">Amount of </w:t>
              <w:br/>
              <w:t xml:space="preserve">decrease in </w:t>
              <w:br/>
              <w:t xml:space="preserve">principal </w:t>
              <w:br/>
              <w:t>amount of this</w:t>
              <w:br/>
              <w:t>Global Note</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8" w:space="0" w:color="000000"/>
            </w:tcBorders>
            <w:vAlign w:val="center"/>
          </w:tcPr>
          <w:p>
            <w:pPr>
              <w:pStyle w:val="TableContents"/>
              <w:bidi w:val="0"/>
              <w:spacing w:before="0" w:after="283"/>
              <w:jc w:val="center"/>
              <w:rPr>
                <w:b/>
              </w:rPr>
            </w:pPr>
            <w:r>
              <w:rPr>
                <w:b/>
              </w:rPr>
              <w:t xml:space="preserve">Amount of </w:t>
              <w:br/>
              <w:t xml:space="preserve">increase in </w:t>
              <w:br/>
              <w:t xml:space="preserve">principal </w:t>
              <w:br/>
              <w:t>amount of this</w:t>
              <w:br/>
              <w:t>Global Note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pPr>
            <w:r>
              <w:rPr>
                <w:b/>
              </w:rPr>
              <w:t xml:space="preserve">Principal </w:t>
              <w:br/>
              <w:t xml:space="preserve">amount of this </w:t>
              <w:br/>
              <w:t>Global Note</w:t>
            </w:r>
            <w:r>
              <w:rPr/>
              <w:t xml:space="preserve"> </w:t>
            </w:r>
            <w:r>
              <w:rPr>
                <w:b/>
              </w:rPr>
              <w:br/>
              <w:t xml:space="preserve">following such </w:t>
              <w:br/>
              <w:t xml:space="preserve">decrease or </w:t>
              <w:br/>
              <w:t>increase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rPr>
            </w:pPr>
            <w:r>
              <w:rPr>
                <w:b/>
              </w:rPr>
              <w:t xml:space="preserve">Signature of </w:t>
              <w:br/>
              <w:t xml:space="preserve">authorized </w:t>
              <w:br/>
              <w:t xml:space="preserve">signatory of </w:t>
              <w:br/>
              <w:t xml:space="preserve">Trustee or </w:t>
              <w:br/>
              <w:t>Custodian</w:t>
            </w:r>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Include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CONVERSION]</w:t>
      </w:r>
    </w:p>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35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3845" w:type="dxa"/>
            <w:tcBorders/>
            <w:vAlign w:val="center"/>
          </w:tcPr>
          <w:p>
            <w:pPr>
              <w:pStyle w:val="TableContents"/>
              <w:bidi w:val="0"/>
              <w:spacing w:before="0" w:after="283"/>
              <w:jc w:val="left"/>
              <w:rPr/>
            </w:pPr>
            <w:r>
              <w:rPr/>
              <w:t>Wilmington Savings Fund Society, FSB</w:t>
              <w:br/>
              <w:t xml:space="preserve">500 Delaware Avenue, 11th Floor </w:t>
              <w:br/>
              <w:t>Wilmington, DE 19801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exercises the option to convert this Note, or the portion hereof (that is $1,000 Capitalized Principal Amount or an integral multiple of $1.00 in excess thereof) below designated, into shares of Common Stock in accordance with the terms of the Indenture referred to in this Note (any fractional shares of Common Stock shall be rounded up to one (1) whole Share of Common Stock), and directs that any cash payable and any shares of Common Stock issuable and deliverable upon such conversion, together with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shares if to be issued, and Notes if to be delivered, other 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28" w:type="dxa"/>
          <w:left w:w="0" w:type="dxa"/>
          <w:bottom w:w="0" w:type="dxa"/>
          <w:right w:w="0" w:type="dxa"/>
        </w:tblCellMar>
      </w:tblPr>
      <w:tblGrid>
        <w:gridCol w:w="2540"/>
        <w:gridCol w:w="75"/>
      </w:tblGrid>
      <w:tr>
        <w:trPr/>
        <w:tc>
          <w:tcPr>
            <w:tcW w:w="2540" w:type="dxa"/>
            <w:tcBorders>
              <w:top w:val="single" w:sz="8" w:space="0" w:color="000000"/>
            </w:tcBorders>
            <w:vAlign w:val="center"/>
          </w:tcPr>
          <w:p>
            <w:pPr>
              <w:pStyle w:val="TableContents"/>
              <w:bidi w:val="0"/>
              <w:spacing w:before="0" w:after="283"/>
              <w:jc w:val="left"/>
              <w:rPr/>
            </w:pPr>
            <w:r>
              <w:rPr/>
              <w:t>(Name)</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op w:val="single" w:sz="8" w:space="0" w:color="000000"/>
            </w:tcBorders>
            <w:vAlign w:val="center"/>
          </w:tcPr>
          <w:p>
            <w:pPr>
              <w:pStyle w:val="TableContents"/>
              <w:bidi w:val="0"/>
              <w:spacing w:before="0" w:after="283"/>
              <w:jc w:val="left"/>
              <w:rPr/>
            </w:pPr>
            <w:r>
              <w:rPr/>
              <w:t>(Street Address)</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op w:val="single" w:sz="8" w:space="0" w:color="000000"/>
            </w:tcBorders>
            <w:vAlign w:val="center"/>
          </w:tcPr>
          <w:p>
            <w:pPr>
              <w:pStyle w:val="TableContents"/>
              <w:bidi w:val="0"/>
              <w:spacing w:before="0" w:after="283"/>
              <w:jc w:val="left"/>
              <w:rPr/>
            </w:pPr>
            <w:r>
              <w:rPr/>
              <w:t>(City, State and Zip Code)</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Schedule 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19"/>
        <w:gridCol w:w="8486"/>
      </w:tblGrid>
      <w:tr>
        <w:trPr/>
        <w:tc>
          <w:tcPr>
            <w:tcW w:w="1719" w:type="dxa"/>
            <w:tcBorders/>
            <w:vAlign w:val="center"/>
          </w:tcPr>
          <w:p>
            <w:pPr>
              <w:pStyle w:val="TableContents"/>
              <w:bidi w:val="0"/>
              <w:spacing w:before="0" w:after="283"/>
              <w:jc w:val="left"/>
              <w:rPr/>
            </w:pPr>
            <w:r>
              <w:rPr>
                <w:rFonts w:ascii="Times New Roman;Times;Serif" w:hAnsi="Times New Roman;Times;Serif"/>
                <w:sz w:val="20"/>
              </w:rPr>
              <w:t>Please</w:t>
            </w:r>
            <w:r>
              <w:rPr/>
              <w:t xml:space="preserve"> print name and address</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to be converted (if less than all):  $____,000</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pPr>
            <w:r>
              <w:rPr/>
              <w:t> </w:t>
            </w:r>
          </w:p>
        </w:tc>
      </w:tr>
      <w:tr>
        <w:trPr/>
        <w:tc>
          <w:tcPr>
            <w:tcW w:w="1719" w:type="dxa"/>
            <w:tcBorders/>
            <w:vAlign w:val="center"/>
          </w:tcPr>
          <w:p>
            <w:pPr>
              <w:pStyle w:val="TableContents"/>
              <w:bidi w:val="0"/>
              <w:spacing w:before="0" w:after="283"/>
              <w:jc w:val="left"/>
              <w:rPr/>
            </w:pPr>
            <w:r>
              <w:rPr/>
              <w:t> </w:t>
            </w:r>
          </w:p>
        </w:tc>
        <w:tc>
          <w:tcPr>
            <w:tcW w:w="8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FUNDAMENTAL CHANGE REPURCHASE NOTICE]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844"/>
        <w:gridCol w:w="9270"/>
      </w:tblGrid>
      <w:tr>
        <w:trPr/>
        <w:tc>
          <w:tcPr>
            <w:tcW w:w="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To:</w:t>
            </w:r>
          </w:p>
        </w:tc>
        <w:tc>
          <w:tcPr>
            <w:tcW w:w="9270" w:type="dxa"/>
            <w:tcBorders/>
            <w:vAlign w:val="center"/>
          </w:tcPr>
          <w:p>
            <w:pPr>
              <w:pStyle w:val="TableContents"/>
              <w:bidi w:val="0"/>
              <w:spacing w:before="0" w:after="283"/>
              <w:jc w:val="left"/>
              <w:rPr/>
            </w:pPr>
            <w:r>
              <w:rPr/>
              <w:t>Wilmington Savings Fund Society, FSB</w:t>
              <w:br/>
              <w:t>500 Delaware Avenue, 11th Floor</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Capitalized Principal Amount or an integral multiple of $1.00 in excess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8"/>
        <w:gridCol w:w="9657"/>
      </w:tblGrid>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9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r>
      <w:tr>
        <w:trPr/>
        <w:tc>
          <w:tcPr>
            <w:tcW w:w="54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54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or Other Taxpayer Identification Number</w:t>
            </w:r>
          </w:p>
        </w:tc>
      </w:tr>
      <w:tr>
        <w:trPr/>
        <w:tc>
          <w:tcPr>
            <w:tcW w:w="54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54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to be repaid (if less than all):  $,000</w:t>
            </w:r>
          </w:p>
        </w:tc>
      </w:tr>
      <w:tr>
        <w:trPr/>
        <w:tc>
          <w:tcPr>
            <w:tcW w:w="54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54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Note occurring prior to the Resale Restriction Termination Date, as defined in the Indenture governing such Note, the undersigned confirms that such Note is being transferred: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533"/>
        <w:gridCol w:w="9584"/>
      </w:tblGrid>
      <w:tr>
        <w:trPr/>
        <w:tc>
          <w:tcPr>
            <w:tcW w:w="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w:t>
            </w:r>
          </w:p>
        </w:tc>
        <w:tc>
          <w:tcPr>
            <w:tcW w:w="9584" w:type="dxa"/>
            <w:tcBorders/>
            <w:vAlign w:val="center"/>
          </w:tcPr>
          <w:p>
            <w:pPr>
              <w:pStyle w:val="TableContents"/>
              <w:bidi w:val="0"/>
              <w:spacing w:before="0" w:after="283"/>
              <w:jc w:val="left"/>
              <w:rPr>
                <w:sz w:val="20"/>
              </w:rPr>
            </w:pPr>
            <w:r>
              <w:rPr>
                <w:sz w:val="20"/>
              </w:rPr>
              <w:t>To SCHMID Group N.V. or a subsidiary thereof;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sz w:val="20"/>
              </w:rPr>
            </w:pPr>
            <w:r>
              <w:rPr>
                <w:sz w:val="20"/>
              </w:rPr>
              <w:t>Pursuant to a registration statement that has become or been declared effective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1"/>
        <w:gridCol w:w="9866"/>
      </w:tblGrid>
      <w:tr>
        <w:trPr/>
        <w:tc>
          <w:tcPr>
            <w:tcW w:w="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left"/>
              <w:rPr>
                <w:sz w:val="20"/>
              </w:rPr>
            </w:pPr>
            <w:r>
              <w:rPr>
                <w:sz w:val="20"/>
              </w:rPr>
              <w:t>Pursuant to and in compliance with Rule 144A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61"/>
        <w:gridCol w:w="9902"/>
      </w:tblGrid>
      <w:tr>
        <w:trPr/>
        <w:tc>
          <w:tcPr>
            <w:tcW w:w="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left"/>
              <w:rPr>
                <w:sz w:val="20"/>
              </w:rPr>
            </w:pPr>
            <w:r>
              <w:rPr>
                <w:sz w:val="20"/>
              </w:rPr>
              <w:t>Outside the United States in accordance with Regulation S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sz w:val="20"/>
              </w:rPr>
            </w:pPr>
            <w:r>
              <w:rPr>
                <w:sz w:val="20"/>
              </w:rPr>
              <w:t>Pursuant to and in compliance with Rule 144 under the Securities Act of 1933, as amended, or any other available exemption from the registration requirements of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1759" w:type="dxa"/>
        <w:jc w:val="left"/>
        <w:tblInd w:w="0" w:type="dxa"/>
        <w:tblLayout w:type="fixed"/>
        <w:tblCellMar>
          <w:top w:w="0" w:type="dxa"/>
          <w:left w:w="0" w:type="dxa"/>
          <w:bottom w:w="0" w:type="dxa"/>
          <w:right w:w="0" w:type="dxa"/>
        </w:tblCellMar>
      </w:tblPr>
      <w:tblGrid>
        <w:gridCol w:w="1507"/>
        <w:gridCol w:w="177"/>
        <w:gridCol w:w="75"/>
      </w:tblGrid>
      <w:tr>
        <w:trPr/>
        <w:tc>
          <w:tcPr>
            <w:tcW w:w="1507" w:type="dxa"/>
            <w:tcBorders/>
            <w:vAlign w:val="center"/>
          </w:tcPr>
          <w:p>
            <w:pPr>
              <w:pStyle w:val="TableContents"/>
              <w:bidi w:val="0"/>
              <w:spacing w:before="0" w:after="283"/>
              <w:jc w:val="left"/>
              <w:rPr>
                <w:sz w:val="20"/>
              </w:rPr>
            </w:pPr>
            <w:r>
              <w:rPr>
                <w:sz w:val="20"/>
              </w:rPr>
              <w:t>Dated:  </w:t>
            </w:r>
          </w:p>
        </w:tc>
        <w:tc>
          <w:tcPr>
            <w:tcW w:w="17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7"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top w:val="single" w:sz="8" w:space="0" w:color="000000"/>
            </w:tcBorders>
            <w:tcMar>
              <w:top w:w="28" w:type="dxa"/>
            </w:tcMar>
            <w:vAlign w:val="center"/>
          </w:tcPr>
          <w:p>
            <w:pPr>
              <w:pStyle w:val="TableContents"/>
              <w:bidi w:val="0"/>
              <w:spacing w:before="0" w:after="283"/>
              <w:jc w:val="left"/>
              <w:rPr>
                <w:sz w:val="20"/>
              </w:rPr>
            </w:pPr>
            <w:r>
              <w:rPr>
                <w:sz w:val="20"/>
              </w:rPr>
              <w:t>Signature(s)</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top w:val="single" w:sz="8" w:space="0" w:color="000000"/>
            </w:tcBorders>
            <w:tcMar>
              <w:top w:w="28" w:type="dxa"/>
            </w:tcMar>
            <w:vAlign w:val="center"/>
          </w:tcPr>
          <w:p>
            <w:pPr>
              <w:pStyle w:val="TableContents"/>
              <w:bidi w:val="0"/>
              <w:spacing w:before="0" w:after="283"/>
              <w:jc w:val="left"/>
              <w:rPr>
                <w:sz w:val="20"/>
              </w:rPr>
            </w:pPr>
            <w:r>
              <w:rPr>
                <w:sz w:val="20"/>
              </w:rPr>
              <w:t>Signature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Note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for the Notes Guarantee of the Initial Guarantor and any other Guarantor that is a German private limited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German Guarantor</w:t>
      </w:r>
      <w:r>
        <w:rPr>
          <w:rFonts w:ascii="Times New Roman;Times;Serif" w:hAnsi="Times New Roman;Times;Serif"/>
          <w:b w:val="false"/>
          <w:i w:val="false"/>
          <w:caps w:val="false"/>
          <w:smallCaps w:val="false"/>
          <w:sz w:val="20"/>
        </w:rPr>
        <w:t>" means the Initial Guarantor or any other Guarantor in Germany as long as it is incorporated in the Federal Republic of Germany as a private limited company "</w:t>
      </w:r>
      <w:r>
        <w:rPr>
          <w:rFonts w:ascii="Times New Roman;Times;Serif" w:hAnsi="Times New Roman;Times;Serif"/>
          <w:b w:val="false"/>
          <w:i/>
          <w:caps w:val="false"/>
          <w:smallCaps w:val="false"/>
          <w:sz w:val="20"/>
        </w:rPr>
        <w:t>Gesellschaft mit beschränkter Haftung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Guarantee Obligations</w:t>
      </w:r>
      <w:r>
        <w:rPr>
          <w:rFonts w:ascii="Times New Roman;Times;Serif" w:hAnsi="Times New Roman;Times;Serif"/>
          <w:b w:val="false"/>
          <w:i w:val="false"/>
          <w:caps w:val="false"/>
          <w:smallCaps w:val="false"/>
          <w:sz w:val="20"/>
        </w:rPr>
        <w:t>" means the obligations of the Initial Guarantor or any other Guarantor in Germany granted or incurred under the Notes Guarantee included in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Net Assets</w:t>
      </w:r>
      <w:r>
        <w:rPr>
          <w:rFonts w:ascii="Times New Roman;Times;Serif" w:hAnsi="Times New Roman;Times;Serif"/>
          <w:b w:val="false"/>
          <w:i w:val="false"/>
          <w:caps w:val="false"/>
          <w:smallCaps w:val="false"/>
          <w:sz w:val="20"/>
        </w:rPr>
        <w:t>" means, in relation to the German Guarantor, the amount of its assets (section 266 sub-section 2 A, B, C, D and E HGB) less (i) the aggregate of its liabilities (section 266 sub-section 3 B, C (but, for the avoidance of doubt, disregarding any Guarantee Obligations), D and E HGB), and (ii) its stated share capital "Stammkapital".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of the Notes Guarantee shall be limited in relation to German Guarantors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Holders and the Trustee (as defined in the Indenture) agree not to enforce the Notes Guarantee if and to the extent: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Guarantee relate to any obligations of, or amounts owed by, an affiliate of the German Guarantor (other than the relevant German Guarantor's Subsidiaries (each an "Upstream Affiliate");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enforcement would cause the German Guarantor's Net Assets to be reduced below zero or further reduced if already below zero (such circumstances constituting a "Share Capital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the purposes of the calculation of the Net Assets, the following balance sheet items shall be adjusted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 of any increase of the registered share capital "Stammkapital" of the German Guarantor after the date of the Indenture which is not expressly permitted under the Indenture shall be deducted from the relevant registered share capital "Stammkapital";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registered share capital of the relevant German Guarantor is not fully paid up "nicht voll eingezahlt", the amount which is not paid up shall be deducted from the relevant registered share capital "Stammkapital";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loans and other liabilities which are subordinated (including, without limitation, pursuant to any subordination agreement or section 39 sub-section 1 no. 5 InsO) to any indebtedness outstanding under the Indenture (including liabilities in respect of guarantees for loans or other liabilities which is so subordinated) shall be disregarded to the extent that the subordination has not been declared in breach with section 30 GmbHG, which for the avoidance of doubt include the following subordinated loans owed by the Initial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39" w:type="dxa"/>
        <w:jc w:val="left"/>
        <w:tblInd w:w="0" w:type="dxa"/>
        <w:tblLayout w:type="fixed"/>
        <w:tblCellMar>
          <w:top w:w="0" w:type="dxa"/>
          <w:left w:w="0" w:type="dxa"/>
          <w:bottom w:w="28" w:type="dxa"/>
          <w:right w:w="0" w:type="dxa"/>
        </w:tblCellMar>
      </w:tblPr>
      <w:tblGrid>
        <w:gridCol w:w="5150"/>
        <w:gridCol w:w="60"/>
        <w:gridCol w:w="62"/>
        <w:gridCol w:w="992"/>
        <w:gridCol w:w="75"/>
      </w:tblGrid>
      <w:tr>
        <w:trPr/>
        <w:tc>
          <w:tcPr>
            <w:tcW w:w="51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7,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property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Grundstücke GmbH und Co KG (SGK 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Grundstücke GmbH und Co KG (SGK II)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U.Wein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1,623,892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Grundstücke GmbH und Co KG (BTV)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65,434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Verwaltungs GmbH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2,050,408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Grundstücke GmbH und Co KG (current account)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424,728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shareholder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Christian Schmid (Marenzius)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2,816,417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Group N.V.</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Group N.V.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Group N.V.</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SCHMID Group N.V.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992"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subordinated loans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46.730.879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Further for the avoidance of doubt, for purposes of the calculation of Net Assets, the contribution into the capital reserves of the Initial Guarantor of shares of SCHMID Technology (Guangdong) Co., Ltd. from Schmid Group N.V. in an amount of EUR 23,209,026,38 (completed in June 2026) shall be taken into account to calculate Net Assets by adding the EUR 23,209,026,38 to the assets of the Initial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Indebtedness outstanding subject to liens / contractually potential liens</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235"/>
        <w:gridCol w:w="60"/>
        <w:gridCol w:w="2210"/>
      </w:tblGrid>
      <w:tr>
        <w:trPr/>
        <w:tc>
          <w:tcPr>
            <w:tcW w:w="7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Loan Bank of China (CNY 10m)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EUR  1,230,000</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ABC bank loan  (CNY 10m)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EUR 1,230,000</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Bank Loan from Kreissparkasse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EUR 400,000</w:t>
            </w:r>
          </w:p>
        </w:tc>
      </w:tr>
      <w:tr>
        <w:trPr/>
        <w:tc>
          <w:tcPr>
            <w:tcW w:w="7235" w:type="dxa"/>
            <w:tcBorders/>
            <w:shd w:fill="FFFFFF" w:val="clear"/>
            <w:vAlign w:val="center"/>
          </w:tcPr>
          <w:p>
            <w:pPr>
              <w:pStyle w:val="TableContents"/>
              <w:bidi w:val="0"/>
              <w:spacing w:before="0" w:after="283"/>
              <w:jc w:val="left"/>
              <w:rPr>
                <w:caps w:val="false"/>
                <w:smallCaps w:val="false"/>
                <w:color w:val="212121"/>
              </w:rPr>
            </w:pPr>
            <w:r>
              <w:rPr>
                <w:caps w:val="false"/>
                <w:smallCaps w:val="false"/>
                <w:color w:val="212121"/>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EUR2,500,000</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 xml:space="preserve">Black Forrest Special Situation I Financing Facility Loan from EUKO Consulting GmbH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170,000</w:t>
            </w:r>
          </w:p>
        </w:tc>
      </w:tr>
      <w:tr>
        <w:trPr/>
        <w:tc>
          <w:tcPr>
            <w:tcW w:w="7235" w:type="dxa"/>
            <w:tcBorders/>
            <w:shd w:fill="FFFFFF" w:val="clear"/>
            <w:vAlign w:val="center"/>
          </w:tcPr>
          <w:p>
            <w:pPr>
              <w:pStyle w:val="TableContents"/>
              <w:bidi w:val="0"/>
              <w:spacing w:before="0" w:after="283"/>
              <w:jc w:val="left"/>
              <w:rPr>
                <w:sz w:val="20"/>
              </w:rPr>
            </w:pPr>
            <w:r>
              <w:rPr>
                <w:sz w:val="20"/>
              </w:rPr>
              <w:t xml:space="preserve">Current account loan agreement dated December 31, 2024 (Christian Schmid) </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right"/>
              <w:rPr>
                <w:sz w:val="20"/>
              </w:rPr>
            </w:pPr>
            <w:r>
              <w:rPr>
                <w:sz w:val="20"/>
              </w:rPr>
              <w:t xml:space="preserve">EUR 531,376 </w:t>
            </w:r>
          </w:p>
        </w:tc>
      </w:tr>
      <w:tr>
        <w:trPr/>
        <w:tc>
          <w:tcPr>
            <w:tcW w:w="7235" w:type="dxa"/>
            <w:tcBorders/>
            <w:shd w:fill="CCEEFF" w:val="clear"/>
            <w:vAlign w:val="center"/>
          </w:tcPr>
          <w:p>
            <w:pPr>
              <w:pStyle w:val="TableContents"/>
              <w:bidi w:val="0"/>
              <w:spacing w:before="0" w:after="283"/>
              <w:jc w:val="left"/>
              <w:rPr>
                <w:sz w:val="20"/>
              </w:rPr>
            </w:pPr>
            <w:r>
              <w:rPr>
                <w:sz w:val="20"/>
              </w:rPr>
              <w:t xml:space="preserve">Current account loan agreement dated December 31, 2024 (Anette Schmid) </w:t>
            </w:r>
          </w:p>
        </w:tc>
        <w:tc>
          <w:tcPr>
            <w:tcW w:w="6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sz w:val="20"/>
              </w:rPr>
            </w:pPr>
            <w:r>
              <w:rPr>
                <w:sz w:val="20"/>
              </w:rPr>
              <w:t xml:space="preserve">EUR 547,083 </w:t>
            </w:r>
          </w:p>
        </w:tc>
      </w:tr>
      <w:tr>
        <w:trPr/>
        <w:tc>
          <w:tcPr>
            <w:tcW w:w="7235" w:type="dxa"/>
            <w:tcBorders/>
            <w:shd w:fill="FFFFFF" w:val="clear"/>
            <w:vAlign w:val="center"/>
          </w:tcPr>
          <w:p>
            <w:pPr>
              <w:pStyle w:val="TableContents"/>
              <w:bidi w:val="0"/>
              <w:spacing w:before="0" w:after="283"/>
              <w:jc w:val="left"/>
              <w:rPr>
                <w:sz w:val="20"/>
              </w:rPr>
            </w:pPr>
            <w:r>
              <w:rPr>
                <w:sz w:val="20"/>
              </w:rPr>
              <w:t>Validus loan</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right"/>
              <w:rPr>
                <w:sz w:val="20"/>
              </w:rPr>
            </w:pPr>
            <w:r>
              <w:rPr>
                <w:sz w:val="20"/>
              </w:rPr>
              <w:t>USD 2,350,000</w:t>
            </w:r>
          </w:p>
        </w:tc>
      </w:tr>
      <w:tr>
        <w:trPr/>
        <w:tc>
          <w:tcPr>
            <w:tcW w:w="7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right"/>
              <w:rPr/>
            </w:pPr>
            <w:r>
              <w:rPr/>
              <w:t> </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Schmid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EUR 400,000</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Verwaltungs GmbH loan dated July 9,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 2,050,408</w:t>
            </w:r>
          </w:p>
        </w:tc>
      </w:tr>
      <w:tr>
        <w:trPr/>
        <w:tc>
          <w:tcPr>
            <w:tcW w:w="7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right"/>
              <w:rPr/>
            </w:pPr>
            <w:r>
              <w:rPr/>
              <w:t> </w:t>
            </w:r>
          </w:p>
        </w:tc>
      </w:tr>
      <w:tr>
        <w:trPr/>
        <w:tc>
          <w:tcPr>
            <w:tcW w:w="7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Loan facility to Chinese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CNY 10,000,000</w:t>
            </w:r>
          </w:p>
        </w:tc>
      </w:tr>
      <w:tr>
        <w:trPr/>
        <w:tc>
          <w:tcPr>
            <w:tcW w:w="7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Letter of credit maximum facility availability for Chinese sub.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CNY 50,000,000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3-4</w:t>
      </w:r>
    </w:p>
    <w:p>
      <w:pPr>
        <w:pStyle w:val="TextBody"/>
        <w:bidi w:val="0"/>
        <w:ind w:left="0" w:right="0" w:hanging="0"/>
        <w:jc w:val="left"/>
        <w:rPr/>
      </w:pPr>
      <w:bookmarkStart w:id="4" w:name="tm2620429d1_ex10-2.htm"/>
      <w:bookmarkStart w:id="5" w:name="kstm2620429d1_ex102"/>
      <w:bookmarkEnd w:id="4"/>
      <w:bookmarkEnd w:id="5"/>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14, 2026, is by and among SCHMID Group N.V., a Dutch public limited liability company with offices located at Robert-Bosch-Str. 32-36, 72250 Freudenstadt, Germany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buyers (each, a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or collectively,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the Investment Agreement by and among the parties hereto, dated as July 7, 2026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the Company has agreed, upon the terms and subject to the conditions of the Securities Purchase Agreement, to issue and sell to the Buyers the Notes (as defined in the Securities Purchase Agreement) which will be convertible into ordinary shares of the Company (such shares underlying the notes,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in accordance with the terms of the Notes and the Indenture (as defined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premises and the mutual covenants contained herein and for other good and valuable consideration, the receipt and sufficiency of which are hereby acknowledged, the Company and each of the Buyers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shall have the respective meanings set forth in the Securities Purchase Agreement.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set forth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Effectiveness Date</w:t>
      </w:r>
      <w:r>
        <w:rPr>
          <w:rFonts w:ascii="Times New Roman;Times;Serif" w:hAnsi="Times New Roman;Times;Serif"/>
          <w:b w:val="false"/>
          <w:i w:val="false"/>
          <w:caps w:val="false"/>
          <w:smallCaps w:val="false"/>
          <w:sz w:val="20"/>
        </w:rPr>
        <w:t>” means the date that the applicable Registration Statement has been declared effective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means (i) with respect to the initial Registration Statement required to be filed pursuant to Section 2(a), August 15, 2026, and (ii) with respect to any additional Registration Statements that may be required to be filed by the Company pursuant to this Agreement, the earlier of the (A) 75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the Company was required to file such additional Registration Statement and (B)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after the date the Company is notified (orally or in writing, whichever is earlier) by the SEC that such Registration Statement will not be reviewed or will not be subject to further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a Buyer or any transferee or assignee of any Registrable Securities or Notes, as applicable, to whom a Buyer assigns its rights under this Agreement and who agrees to become bound by the provisions of this Agreement in accordance with Section 9 and any transferee or assignee thereof to whom a transferee or assignee of any Registrable Securities or Notes, as applicable, assigns its rights under this Agreement and who agrees to become bound by the provisions of this Agreement in accordance with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or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in compliance with the 1933 Act and pursuant to Rule 415 and the declaration of effectiveness of such Registration Statement(s)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Conversion Shares, and (ii) any security of the Company issued or issuable with respect to the Conversion Shares or the Notes, including, without limitation, (1) as a result of any share split, share dividend, recapitalization, exchange or similar event or otherwise and (2) shares of the Company into which the Ordinary Shares are converted or exchanged and shares of a successor entity into which the Ordinary Shares are converted or exchanged, in each case, without regard to any limitations 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 registration statement or registration statements of the Company filed under the 1933 Act covering Registrable Securities, including the amendments and supplements to such registration statement or prospectus, including post-effective amendments, all exhibits thereto, and all material incorporated by reference or deemed to be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following the Closing, holders of a majority of the outstanding principal amount of Notes as of such time, or if no Notes are outstanding at such time, a majority of the Conversion Shares as of such time (excluding any Conversion Shares held by the Company or any of its Subsidiaries as of such time) issued or issuable hereunder or pursuant to the Notes; provided, that any such majority must include Linden Advisors LP so as long as Linden Advisors LP and its affiliates continue to hold any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Required Registration Amount</w:t>
      </w:r>
      <w:r>
        <w:rPr>
          <w:rFonts w:ascii="Times New Roman;Times;Serif" w:hAnsi="Times New Roman;Times;Serif"/>
          <w:b w:val="false"/>
          <w:i w:val="false"/>
          <w:caps w:val="false"/>
          <w:smallCaps w:val="false"/>
          <w:sz w:val="20"/>
        </w:rPr>
        <w:t>” means the maximum number of Conversion Shares issuable upon conversion of the Notes (assuming for purposes hereof that (x) the Notes are convertible at the Lowest Absolute Conversion Price (as defined in the Indenture) as of the Effectiveness Date, (y) the Capitalized Principal Amount (as defined in the Indenture) will be the principal amount which would be outstanding as of immediately prior to the Maturity Date (as defined in the Indenture) assuming the Capitalization Method (as defined in the Indenture) is selected by the Company at every available opportunity, no Mandatory Amortization Event (as defined in the Indenture) occurs and no redemptions of the Notes occur prior to the scheduled Maturity Date and (z) any such conversion shall not take into account any limitations on the conversion of the Notes set forth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means Rule 415 promulgated by the SEC under the 1933 Act, as such rule may be amended from time to time, or any other similar or successor rule or regulation of the SEC providing for offering securities on a continuous or delayed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prepare and, as soon as practicable, submit to the SEC an initial Registration Statement on Form F-1 or Form S-1 covering the resale of all of the Registrable Securities, provided that such initial Registration Statement shall register for resale at least the number of Ordinary Shares equal to the Required Registration Amount as of the date such Registration Statement is initially filed with the SEC; provided further that neither Form F-1 nor Form S-1 is available for such a registration, the Company shall use such other form as is required by Section 2(c). Such initial Registration Statement, and each other Registration Statement required to be filed pursuant to the terms of this Agreement, shall contain (except if otherwise directed by the Required Holders) the “</w:t>
      </w:r>
      <w:r>
        <w:rPr>
          <w:rFonts w:ascii="Times New Roman;Times;Serif" w:hAnsi="Times New Roman;Times;Serif"/>
          <w:b w:val="false"/>
          <w:i w:val="false"/>
          <w:caps w:val="false"/>
          <w:smallCaps w:val="false"/>
          <w:sz w:val="20"/>
          <w:u w:val="single"/>
        </w:rPr>
        <w:t>Selling shareholders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sections in substantially the form attached hereto as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The Company shall use its reasonable best efforts to have such initial Registration Statement, and each other Registration Statement required to be filed pursuant to the terms of this Agreement, declared effective by the SEC as soon as practicable, but in no event later than the applicable Effectiveness Deadline for such Registration Statement. </w:t>
      </w:r>
      <w:r>
        <w:rPr>
          <w:rFonts w:ascii="Times New Roman;Times;Serif" w:hAnsi="Times New Roman;Times;Serif"/>
          <w:b w:val="false"/>
          <w:i w:val="false"/>
          <w:caps w:val="false"/>
          <w:smallCaps w:val="false"/>
          <w:sz w:val="20"/>
          <w:shd w:fill="FFFFFF" w:val="clear"/>
        </w:rPr>
        <w:t>The Company shall not file any other registration statements on Form F-3, Form F-1, or otherwise, until the initial Registration Statement required hereunder is declared effective by the SEC, provided that this Section 2(a) shall not prohibit the Company from (i) filing amendments to registration statements already filed or (ii) provided all other terms and conditions contained herein are complied with and satisfied in all respects, including the Registrable Securities in the initial Registration Statement. Except as permitted pursuant to this agreement, the Company shall not include any other securities on a Registration Statement unless otherwise agreed by the Required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Subject to Section 5 hereof, Pillsbury Winthrop Shaw Pittman LLP, counsel solely to the lead investor (“</w:t>
      </w:r>
      <w:r>
        <w:rPr>
          <w:rFonts w:ascii="Times New Roman;Times;Serif" w:hAnsi="Times New Roman;Times;Serif"/>
          <w:b/>
          <w:i w:val="false"/>
          <w:caps w:val="false"/>
          <w:smallCaps w:val="false"/>
          <w:sz w:val="20"/>
        </w:rPr>
        <w:t>Legal Counsel</w:t>
      </w:r>
      <w:r>
        <w:rPr>
          <w:rFonts w:ascii="Times New Roman;Times;Serif" w:hAnsi="Times New Roman;Times;Serif"/>
          <w:b w:val="false"/>
          <w:i w:val="false"/>
          <w:caps w:val="false"/>
          <w:smallCaps w:val="false"/>
          <w:sz w:val="20"/>
        </w:rPr>
        <w:t>”) shall review and oversee any registration, solely on behalf of the lead investor, pursuant to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(as defined in the Indenture) immediately preceding the date of the filing of such amendment or new Registration Statement, in each case, as soon as practicable, but in any event not later than ten (10) Business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the number of Ordinary Shares available for resale under the applicable Registration Statement is less than the Required Registration Amount as of such time. The calculation set forth in the foregoing sentence shall be made without regard to any limitations on conversion, amortization and/or redemption of the Notes (and such calculation shall assume (A) that the Notes are then convertible in full into Ordinary Shares at the Lowest Absolute Conversion Price as of the Effectiveness Date (after giving effect to any adjustments to the Applicable Conversion Price on the Effectiveness Date) and (B) the Capitalized Principal Amount will be the principal amount which would be outstanding as of immediately prior to the Maturity Date assuming the Capitalization Method is selected by the Company at every available opportunity, no Mandatory Amortization Event occurs and no redemptions of the Notes occur prior to the scheduled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Effect of Failure to File and Obtain and Maintain Effectiveness of any Registration Statement</w:t>
      </w:r>
      <w:r>
        <w:rPr>
          <w:rFonts w:ascii="Times New Roman;Times;Serif" w:hAnsi="Times New Roman;Times;Serif"/>
          <w:b w:val="false"/>
          <w:i w:val="false"/>
          <w:caps w:val="false"/>
          <w:smallCaps w:val="false"/>
          <w:sz w:val="20"/>
        </w:rPr>
        <w:t>. If (i) a Registration Statement covering the resale of all of the Registrable Securities required to be covered thereby (disregarding any reduction pursuant to Section 2(f)) and required to be filed by the Company pursuant to this Agreement is not declared effective by the SEC on or before the Effectiveness Deadline for such Registration Statement (an “</w:t>
      </w:r>
      <w:r>
        <w:rPr>
          <w:rFonts w:ascii="Times New Roman;Times;Serif" w:hAnsi="Times New Roman;Times;Serif"/>
          <w:b/>
          <w:i w:val="false"/>
          <w:caps w:val="false"/>
          <w:smallCaps w:val="false"/>
          <w:sz w:val="20"/>
        </w:rPr>
        <w:t>Effectiveness Failure</w:t>
      </w:r>
      <w:r>
        <w:rPr>
          <w:rFonts w:ascii="Times New Roman;Times;Serif" w:hAnsi="Times New Roman;Times;Serif"/>
          <w:b w:val="false"/>
          <w:i w:val="false"/>
          <w:caps w:val="false"/>
          <w:smallCaps w:val="false"/>
          <w:sz w:val="20"/>
        </w:rPr>
        <w:t>”) (it being understood that if on the Business Day immediately following the Effectiveness Date for such Registration Statement the Company shall not have filed a “final” prospectus for such Registration Statement with the SEC under Rule 424(b) in accordance with Section 3(b) (whether or not such a prospectus is technically required by such rule), the Company shall be deemed to not have satisfied this clause (i)(B) and such event shall be deemed to be an Effectiveness Failure unless such final prospectus is filed on or before the Effectiveness Deadline for such Registration Statement), (ii) other than during an Allowable Grace Period (as defined below), on any day after the Effectiveness Date of a Registration Statement sales of all of the Registrable Securities required to be included on such Registration Statement (disregarding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Ordinary Shares on The Nasdaq Stock Market (or, if the Ordinary Shares are not then listed on The Nasdaq Stock Market, on the principal other U.S. national or regional securities exchange on which the Ordinary Shares are then listed) (the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or any other limitations imposed by the Principal Market, or a failure to register a sufficient number of Ordinary Shares or by reason of a stop order) or the prospectus contained therein is not available for use for any reason (a “</w:t>
      </w:r>
      <w:r>
        <w:rPr>
          <w:rFonts w:ascii="Times New Roman;Times;Serif" w:hAnsi="Times New Roman;Times;Serif"/>
          <w:b/>
          <w:i w:val="false"/>
          <w:caps w:val="false"/>
          <w:smallCaps w:val="false"/>
          <w:sz w:val="20"/>
        </w:rPr>
        <w:t>Maintenance Failure</w:t>
      </w:r>
      <w:r>
        <w:rPr>
          <w:rFonts w:ascii="Times New Roman;Times;Serif" w:hAnsi="Times New Roman;Times;Serif"/>
          <w:b w:val="false"/>
          <w:i w:val="false"/>
          <w:caps w:val="false"/>
          <w:smallCaps w:val="false"/>
          <w:sz w:val="20"/>
        </w:rPr>
        <w:t>”), or (iii) if a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Times;Serif" w:hAnsi="Times New Roman;Times;Serif"/>
          <w:b/>
          <w:i w:val="false"/>
          <w:caps w:val="false"/>
          <w:smallCaps w:val="false"/>
          <w:sz w:val="20"/>
        </w:rPr>
        <w:t>Current Public Information Failure</w:t>
      </w:r>
      <w:r>
        <w:rPr>
          <w:rFonts w:ascii="Times New Roman;Times;Serif" w:hAnsi="Times New Roman;Times;Serif"/>
          <w:b w:val="false"/>
          <w:i w:val="false"/>
          <w:caps w:val="false"/>
          <w:smallCaps w:val="false"/>
          <w:sz w:val="20"/>
        </w:rPr>
        <w:t>”) as a result of which any of the Investors are unable to sell Registrable Securities without restriction under Rule 144 (including, without limitation, volume restrictions), then, as partial relief for the damages to any holder by reason of any such delay in, or reduction of, its ability to sell the underlying Ordinary Shares (which remedy shall not be exclusive of any other remedies available at law or in equity, including, without limitation, specific performance), the Company shall pay to each holder of Registrable Securities relating to such Registration Statement an amount in cash equal to one percent (1%) of such Investor’s Capitalized Principal Amount outstanding as of such date of determination provided in such Investor’s Note (1) on the date of such Effectiveness Failure, Maintenance Failure or Current Public Information Failure, as applicable, and (2) on every thirty (30) day anniversary of (I) an Effectiveness Failure until such Effectiveness Failure is cured; (II) a Maintenance Failure until such Maintenance Failure is cured; and (III)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of Registrable Securities shall be entitled pursuant to this Section 2(e) are referred to herein as “</w:t>
      </w:r>
      <w:r>
        <w:rPr>
          <w:rFonts w:ascii="Times New Roman;Times;Serif" w:hAnsi="Times New Roman;Times;Serif"/>
          <w:b/>
          <w:i w:val="false"/>
          <w:caps w:val="false"/>
          <w:smallCaps w:val="false"/>
          <w:sz w:val="20"/>
        </w:rPr>
        <w:t>Registration Delay Payments</w:t>
      </w:r>
      <w:r>
        <w:rPr>
          <w:rFonts w:ascii="Times New Roman;Times;Serif" w:hAnsi="Times New Roman;Times;Serif"/>
          <w:b w:val="false"/>
          <w:i w:val="false"/>
          <w:caps w:val="false"/>
          <w:smallCaps w:val="false"/>
          <w:sz w:val="20"/>
        </w:rPr>
        <w:t>.” Notwithstanding any other provision in this Agreement, no Effectiveness Failure, Maintenance Failure or Current Public Information Failure shall be deemed to have occurred during any period in which the interest rate applicable to the Notes reflects Step-Up Interest (as defined in the Indenture).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such cure. In the event the Company fails to make Registration Delay Payments in a timely manner in accordance with the foregoing, such Registration Delay Payments shall bear interest at the rate of one half of a percent (0.5%) per month (prorated for partial months) until paid in full. Notwithstanding the foregoing, no Registration Delay Payments shall be owed to an Investor (other than with respect to a Maintenance Failure resulting from a suspension or delisting of (or a failure to timely list) the Ordinary Shares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Notwithstanding anything to the contrary contained in this Agreement, but subject to the payment of the Registration Delay Payments pursuant to Section 2(e), in the event the staff of the SEC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otherwise directed by Linden Advisors LP, in which case the Company shall reduce the number of shares to be included by Investors pursuant to the instructions of Linden Advisors LP; provided that, if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further,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Piggyback Registrations</w:t>
      </w:r>
      <w:r>
        <w:rPr>
          <w:rFonts w:ascii="Times New Roman;Times;Serif" w:hAnsi="Times New Roman;Times;Serif"/>
          <w:b w:val="false"/>
          <w:i w:val="false"/>
          <w:caps w:val="false"/>
          <w:smallCaps w:val="false"/>
          <w:sz w:val="20"/>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offering statement relating to an offering for its own account or the account of others under the 1933 Act of any of its equity securities (other than on Form F-4, S-4 or Form S-8 (each as promulgated under the 1933 Act) or their then equivalents relating to equity securities to be issued solely in connection with any acquisition of any entity or business or equity securities issuable in connection with the Company’s share option or other employee benefit plans), then the Company shall deliver to each Investor a written notice of such determination and, if within ten (10)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Allocation of Registrable Securities</w:t>
      </w:r>
      <w:r>
        <w:rPr>
          <w:rFonts w:ascii="Times New Roman;Times;Serif" w:hAnsi="Times New Roman;Times;Serif"/>
          <w:b w:val="false"/>
          <w:i w:val="false"/>
          <w:caps w:val="false"/>
          <w:smallCaps w:val="false"/>
          <w:sz w:val="20"/>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unless otherwise directed by Linden Advisors LP, in which case the Company shall reduce the number of shares to be included by Investors pursuant to the instructions of Linden Advisors LP.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Ordinary Shares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Inclusion of Other Securities</w:t>
      </w:r>
      <w:r>
        <w:rPr>
          <w:rFonts w:ascii="Times New Roman;Times;Serif" w:hAnsi="Times New Roman;Times;Serif"/>
          <w:b w:val="false"/>
          <w:i w:val="false"/>
          <w:caps w:val="false"/>
          <w:smallCaps w:val="false"/>
          <w:sz w:val="20"/>
        </w:rPr>
        <w:t>. The Company shall in no event include any securities other than Registrable Securities on any Registration Statement filed in accordance herewith without the prior written consent of the Required Holders. Until the earlier of (x) the first date on which the resale by the Buyers of all the Registrable Securities required to be filed on the initial Registration Statement pursuant to this Agreement is declared effective by the SEC (and each prospectus contained therein is available for use on such date) or (y) the first date on which all of the Registrable Securities are eligible to be resold by the Buyers pursuant to Rule 144 (or, if a Current Public Information Failure has occurred and is continuing, such later date after which the Company has cured such Current Public Information Failure), the Company shall not enter into any agreement providing any registration rights to any of its security holders, except as otherwise permitted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Related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its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promptly prepare and file with the SEC a Registration Statement with respect to all the Registrable Securities and use its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w:t>
      </w:r>
      <w:r>
        <w:rPr>
          <w:rFonts w:ascii="Times New Roman;Times;Serif" w:hAnsi="Times New Roman;Times;Serif"/>
          <w:b w:val="false"/>
          <w:i w:val="false"/>
          <w:caps w:val="false"/>
          <w:smallCaps w:val="false"/>
          <w:sz w:val="20"/>
          <w:shd w:fill="FFFFFF" w:val="clear"/>
        </w:rPr>
        <w:t>as determined by the counsel to the Company pursuant to a written opinion letter to such effect, addressed and reasonably acceptable to the Company’s transfer agent,</w:t>
      </w:r>
      <w:r>
        <w:rPr>
          <w:rFonts w:ascii="Times New Roman;Times;Serif" w:hAnsi="Times New Roman;Times;Serif"/>
          <w:b w:val="false"/>
          <w:i w:val="false"/>
          <w:caps w:val="false"/>
          <w:smallCaps w:val="false"/>
          <w:sz w:val="20"/>
        </w:rPr>
        <w:t xml:space="preserve"> or (ii) the date on which the Investors shall have sold all of the Registrable Securities covered by such Registration Statement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ten (10) days after the receipt of comments by or notice from the SEC that an amendment is required in order for a Registration Statement to be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Effectiveness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6-K or Form 20-F or any analogous report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and legal counsel for each other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20-F, Reports on Form 6-K,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other Investor, without charge, copies of any electronic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The Company shall reasonably cooperate with Legal Counsel and legal counsel for each other Investor in performing the Company’s obligations pursuant to this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The Company shall also promptly notify Legal Counsel, legal counsel for each other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other Investor and each Investor by facsimile or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ten (10) Business Days after the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(ii) legal counsel for such Investor and (iii) one (1) firm of accountants or other agents retained by such Investor (collectively, the “</w:t>
      </w:r>
      <w:r>
        <w:rPr>
          <w:rFonts w:ascii="Times New Roman;Times;Serif" w:hAnsi="Times New Roman;Times;Serif"/>
          <w:b/>
          <w:i w:val="false"/>
          <w:caps w:val="false"/>
          <w:smallCaps w:val="false"/>
          <w:sz w:val="20"/>
        </w:rPr>
        <w:t>Inspectors</w:t>
      </w:r>
      <w:r>
        <w:rPr>
          <w:rFonts w:ascii="Times New Roman;Times;Serif" w:hAnsi="Times New Roman;Times;Serif"/>
          <w:b w:val="false"/>
          <w:i w:val="false"/>
          <w:caps w:val="false"/>
          <w:smallCaps w:val="false"/>
          <w:sz w:val="20"/>
        </w:rPr>
        <w:t>”), all pertinent financial and other records, and pertinent corporate documents and properties of the Company (collectively, the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as shall be reasonably deemed necessary by each Inspector,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(as defined in the Indenture).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Without limiting any obligation of the Company under the Securities Purchase Agreement, the Company shall use its best efforts either to (i) 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(ii) secure designation and quotation of all of the Registrable Securities covered by each Registration Statement on The New York Stock Exchange, the Nasdaq Global Select Market or the Nasdaq Global Market (each, an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or (iii) if, despite the Company’s best efforts to satisfy the preceding clauses (i) or (ii) the Company is unsuccessful in satisfying the preceding clauses (i) or (ii), without limiting the generality of the foregoing, to use its best efforts to arrange for at least two market makers to register with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use its best efforts to cause the Registrable Securities covered by a Registration Statement to be registered with or approved by such other governmental agencies or authorities as may be necessary to consummate the disposition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make generally available to its security holders as soon as practical, but not later than sixty (60)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Effectiveness Date of each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shall otherwise use its best efforts to comply with all applicable rules and regulations of the SEC in connection with any registration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Within three (3) Business Days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(or such other form deemed acceptable by the transfer agent for the purpose of facilitating (a) the delivery of any yet to be issued Registrable Securities to the Investors without a restrictive legend and (b) the removal of any restrictive legend on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Notwithstanding anything to the contrary herein (but subject to the last sentence of this Section 3(r)), at any time after the Effectiveness Date of a particular Registration Statement, the Company may delay the disclosure of material, non-public information concerning the Company or any of its Subsidiaries pursuant to the first sentence of Section 3(f) the disclosure of which at the time is not, in the good faith opinion of the board of directors of the Company, in the best interest of the Company and, in the opinion of counsel to the Company, otherwise required (a “</w:t>
      </w:r>
      <w:r>
        <w:rPr>
          <w:rFonts w:ascii="Times New Roman;Times;Serif" w:hAnsi="Times New Roman;Times;Serif"/>
          <w:b/>
          <w:i w:val="false"/>
          <w:caps w:val="false"/>
          <w:smallCaps w:val="false"/>
          <w:sz w:val="20"/>
        </w:rPr>
        <w:t>Grace Period</w:t>
      </w:r>
      <w:r>
        <w:rPr>
          <w:rFonts w:ascii="Times New Roman;Times;Serif" w:hAnsi="Times New Roman;Times;Serif"/>
          <w:b w:val="false"/>
          <w:i w:val="false"/>
          <w:caps w:val="false"/>
          <w:smallCaps w:val="false"/>
          <w:sz w:val="20"/>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Effectiveness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Times;Serif" w:hAnsi="Times New Roman;Times;Serif"/>
          <w:b/>
          <w:i w:val="false"/>
          <w:caps w:val="false"/>
          <w:smallCaps w:val="false"/>
          <w:sz w:val="20"/>
        </w:rPr>
        <w:t>Allowable Grace Period</w:t>
      </w:r>
      <w:r>
        <w:rPr>
          <w:rFonts w:ascii="Times New Roman;Times;Serif" w:hAnsi="Times New Roman;Times;Serif"/>
          <w:b w:val="false"/>
          <w:i w:val="false"/>
          <w:caps w:val="false"/>
          <w:smallCaps w:val="false"/>
          <w:sz w:val="20"/>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Ordinary Shares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shall take all other reasonable actions necessary to expedite and facilitate disposition by each Investors of its Registrable Securities pursuant to each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Neither the Company nor any Subsidiary or affiliate thereof shall identify any Investor as an underwriter in any public disclosure or filing with the SEC, the Principal Market or any Eligible Market and any Buyer being deemed an underwriter by the SEC shall not relieve the Company of any obligations it has under this Agreement or any other Transaction Document (as defined in the Indenture); provided, however, that the foregoing shall not prohibit the Company from including the disclosure found in the “Plan of Distribution” section attached hereto as Exhibit B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 it being understood and agreed that the following agreements that the Company has already entered into as of the date of this Agreement shall not be deemed to breach this Section 3(u): the agreements listed on Schedule 3(u)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Obligations of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three (3)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the happening of any event of the kind described in Section 3(g) or the first sentence of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the Company shall cause its transfer agent to deliver unlegended Ordinary Shares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Expenses of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each Investor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Times;Serif" w:hAnsi="Times New Roman;Times;Serif"/>
          <w:b/>
          <w:i w:val="false"/>
          <w:caps w:val="false"/>
          <w:smallCaps w:val="false"/>
          <w:sz w:val="20"/>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Times;Serif" w:hAnsi="Times New Roman;Times;Serif"/>
          <w:b/>
          <w:i w:val="false"/>
          <w:caps w:val="false"/>
          <w:smallCaps w:val="false"/>
          <w:sz w:val="20"/>
        </w:rPr>
        <w:t>Blue Sky Filing</w:t>
      </w:r>
      <w:r>
        <w:rPr>
          <w:rFonts w:ascii="Times New Roman;Times;Serif" w:hAnsi="Times New Roman;Times;Serif"/>
          <w:b w:val="false"/>
          <w:i w:val="false"/>
          <w:caps w:val="false"/>
          <w:smallCaps w:val="false"/>
          <w:sz w:val="20"/>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Times New Roman;Times;Serif" w:hAnsi="Times New Roman;Times;Serif"/>
          <w:b/>
          <w:i w:val="false"/>
          <w:caps w:val="false"/>
          <w:smallCaps w:val="false"/>
          <w:sz w:val="20"/>
        </w:rPr>
        <w:t>Violations</w:t>
      </w:r>
      <w:r>
        <w:rPr>
          <w:rFonts w:ascii="Times New Roman;Times;Serif" w:hAnsi="Times New Roman;Times;Serif"/>
          <w:b w:val="false"/>
          <w:i w:val="false"/>
          <w:caps w:val="false"/>
          <w:smallCaps w:val="false"/>
          <w:sz w:val="20"/>
        </w:rPr>
        <w:t>”). The Company shall reimburse the Indemnified Persons, promptly as such expenses are incurred and are due and payable, for any legal fees or other reasonable expenses incurred by them in connection with investigating or defending any such Claim. Such indemnity shall remain in full force and effect regardless of any investigation made by or on behalf of the Indemnified Person and shall survive the transfer of any of the Registrable Securities by any of the Investors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an Indemnified Person under this Section 6 of notice of the commencement of any action or proceeding (including, without limitation, any governmental action or proceeding) involving a Claim, such Indemnified Person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provided, however, an Indemnified Person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in any such Claim; or (iii) the named parties to any such Claim (including, without limitation, any impleaded parties) include both such Indemnified Person and the indemnifying party, and such Indemnified Person shall have been advised by counsel that a conflict of interest is likely to exist if the same counsel were to represent such Indemnified Person and the indemnifying party (in which case, if such Indemnified Person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 (1) separate legal counsel for such Indemnified Person. The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Person (as the case may be) which relates to such action or Claim. The indemnifying party shall keep the Indemnified Person (as the case may be)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Person, consent to entry of any judgment or enter into any settlement or other compromise which does not include as an unconditional term thereof the giving by the claimant or plaintiff to such Indemnified Person of a release from all liability in respect to such Claim or litigation, and such settlement shall not include any admission as to fault on the part of the Indemnified Person. Following indemnification as provided for hereunder, the indemnifying party shall be subrogated to all rights of the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under this Section 6, except to the extent that the indemnifying party is materially and adversely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required by this Section 6 shall be made by periodic payments of the amount thereof during the course of the investigation or defense, as and when bills are received or Indemnified Damages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indemnity and contribution agreements contained herein shall be in addition to (i) any cause of action or similar right of the Indemnified Person against the indemnifying party or others, and (ii) any liabilities the indemnifying party may be subject to pursuant to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Reports Under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Investors the benefits of Rule 144, the Company agrees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Transaction Documents) and the filing of such reports and other documents is required for the applicable provisions of Rule 144;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Assignment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portion of the rights under this Agreement shall be automatically assignable by each Investor to any transferee or assignee (as the case may be) of all or any portion of such Investor’s Registrable Securities or Notes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Transaction Documents (as the case may be); and (vi) such transfer or assignment (as the case may be) shall have been conducted in accordance with all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 nationally recognized overnight delivery service with next day delivery specified, in each case, properly addressed to the party to receive the same. The addresses, facsimile numbers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Robert-Bosch-Strasse 32-36</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72250 Freudenstadt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Arthur Schütz; Anette Schmid; Julia Natterer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schuetz.ar@schmid-group.com; schmid.an@schmid-group.com; natterer.ju@schmid-group.com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actual or constructive notice) to:</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Clifford Chance PmbB</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Junghofstrasse 14</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60325 Frankfurt am Main, Germany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Axel Wittmann; George Hacket; Carla Winslow Kruger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Axel.Wittmann@cliffordchance.com; George.Hacket@cliffordchance.com; Carla.Winslow-Kruger@cliffordchance.com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Pillsbury Winthrop Shaw Pittman LLP</w:t>
        <w:br/>
        <w:t>31 West 52nd Street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br/>
        <w:t>Telephone: (212) 858-1330</w:t>
        <w:br/>
        <w:t>Attention: John F. Storz, Esq.</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john.storz@pillsburylaw.com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Buyers, to its address, facsimile number and/or email address set forth on its signature page attached to the Securities Purchase Agreement, with copies to such Buyer’s representatives as set forth on its signature page, or to such other address, facsimile number, and/or email address and/or to the attention of such other Person as the recipient party has specified by written notice given to each other party five (5) days prior to the effectiveness of such change, provided that Pillsbury Winthrop Shaw Pittman LLP shall only be provided notices sent to the lead investor. Written confirmation of receipt (A) given by the recipient of such notice, consent, waiver or other communication, (B) mechanically or electronically generated by the sender’s facsimile machine or email containing the time, date, recipient facsimile number or email address and an image of the first page of such transmission or (C) provided by a courier or overnight courier service shall be rebuttable evidence of personal service, receipt by facsimile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consents and other determinations required to be made by the Investors pursuant to this Agreement shall be made, unless otherwise specified in this Agreement, by the Required Holders, determined as if all of the outstanding Notes then held by the Investors have been converted for Registrable Securities without regard to any limitations on redemption, amortization and/or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Buyers and the Company have caused their respective signature page to this Registration Rights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60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COMPANY</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GROUP N.V.</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Arthur Schuetz</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40" w:type="dxa"/>
            <w:tcBorders/>
            <w:vAlign w:val="center"/>
          </w:tcPr>
          <w:p>
            <w:pPr>
              <w:pStyle w:val="TableContents"/>
              <w:bidi w:val="0"/>
              <w:spacing w:before="0" w:after="283"/>
              <w:jc w:val="left"/>
              <w:rPr>
                <w:sz w:val="20"/>
              </w:rPr>
            </w:pPr>
            <w:r>
              <w:rPr>
                <w:sz w:val="20"/>
              </w:rPr>
              <w:t>Arthur Schuetz</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Buyers and the Company have caused their respective signature page to this Registration Rights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8974" w:type="dxa"/>
        <w:jc w:val="left"/>
        <w:tblInd w:w="0" w:type="dxa"/>
        <w:tblLayout w:type="fixed"/>
        <w:tblCellMar>
          <w:top w:w="0" w:type="dxa"/>
          <w:left w:w="0" w:type="dxa"/>
          <w:bottom w:w="0" w:type="dxa"/>
          <w:right w:w="0" w:type="dxa"/>
        </w:tblCellMar>
      </w:tblPr>
      <w:tblGrid>
        <w:gridCol w:w="1416"/>
        <w:gridCol w:w="7483"/>
        <w:gridCol w:w="75"/>
      </w:tblGrid>
      <w:tr>
        <w:trPr/>
        <w:tc>
          <w:tcPr>
            <w:tcW w:w="88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BUYERS</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8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9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LINDEN ADVISORS LP, on behalf of certain advised or managed funds and accounts</w:t>
            </w:r>
          </w:p>
        </w:tc>
        <w:tc>
          <w:tcPr>
            <w:tcW w:w="75" w:type="dxa"/>
            <w:tcBorders/>
            <w:vAlign w:val="center"/>
          </w:tcPr>
          <w:p>
            <w:pPr>
              <w:pStyle w:val="TableContents"/>
              <w:bidi w:val="0"/>
              <w:spacing w:before="0" w:after="283"/>
              <w:jc w:val="left"/>
              <w:rPr/>
            </w:pPr>
            <w:r>
              <w:rPr/>
              <w:t> </w:t>
            </w:r>
          </w:p>
        </w:tc>
      </w:tr>
      <w:tr>
        <w:trPr/>
        <w:tc>
          <w:tcPr>
            <w:tcW w:w="8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7483" w:type="dxa"/>
            <w:tcBorders>
              <w:bottom w:val="single" w:sz="8" w:space="0" w:color="000000"/>
            </w:tcBorders>
            <w:tcMar>
              <w:bottom w:w="28" w:type="dxa"/>
            </w:tcMar>
            <w:vAlign w:val="center"/>
          </w:tcPr>
          <w:p>
            <w:pPr>
              <w:pStyle w:val="TableContents"/>
              <w:bidi w:val="0"/>
              <w:spacing w:before="0" w:after="283"/>
              <w:jc w:val="left"/>
              <w:rPr/>
            </w:pPr>
            <w:r>
              <w:rPr/>
              <w:t>/s/ Saul Ahn</w:t>
            </w:r>
          </w:p>
        </w:tc>
        <w:tc>
          <w:tcPr>
            <w:tcW w:w="75" w:type="dxa"/>
            <w:tcBorders/>
            <w:vAlign w:val="center"/>
          </w:tcPr>
          <w:p>
            <w:pPr>
              <w:pStyle w:val="TableContents"/>
              <w:bidi w:val="0"/>
              <w:spacing w:before="0" w:after="283"/>
              <w:jc w:val="left"/>
              <w:rPr/>
            </w:pPr>
            <w:r>
              <w:rPr/>
              <w:t> </w:t>
            </w:r>
          </w:p>
        </w:tc>
      </w:tr>
      <w:tr>
        <w:trPr/>
        <w:tc>
          <w:tcPr>
            <w:tcW w:w="1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7483" w:type="dxa"/>
            <w:tcBorders/>
            <w:vAlign w:val="center"/>
          </w:tcPr>
          <w:p>
            <w:pPr>
              <w:pStyle w:val="TableContents"/>
              <w:bidi w:val="0"/>
              <w:spacing w:before="0" w:after="283"/>
              <w:jc w:val="left"/>
              <w:rPr/>
            </w:pPr>
            <w:r>
              <w:rPr/>
              <w:t>Saul Ahn</w:t>
            </w:r>
          </w:p>
        </w:tc>
        <w:tc>
          <w:tcPr>
            <w:tcW w:w="75" w:type="dxa"/>
            <w:tcBorders/>
            <w:vAlign w:val="center"/>
          </w:tcPr>
          <w:p>
            <w:pPr>
              <w:pStyle w:val="TableContents"/>
              <w:bidi w:val="0"/>
              <w:spacing w:before="0" w:after="283"/>
              <w:jc w:val="left"/>
              <w:rPr/>
            </w:pPr>
            <w:r>
              <w:rPr/>
              <w:t> </w:t>
            </w:r>
          </w:p>
        </w:tc>
      </w:tr>
      <w:tr>
        <w:trPr/>
        <w:tc>
          <w:tcPr>
            <w:tcW w:w="1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7483" w:type="dxa"/>
            <w:tcBorders/>
            <w:vAlign w:val="center"/>
          </w:tcPr>
          <w:p>
            <w:pPr>
              <w:pStyle w:val="TableContents"/>
              <w:bidi w:val="0"/>
              <w:spacing w:before="0" w:after="283"/>
              <w:jc w:val="left"/>
              <w:rPr/>
            </w:pPr>
            <w:r>
              <w:rPr/>
              <w:t>General Counsel / 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Buyers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Linden Capital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Crown Managed Accounts SPC acting for and on behalf of Crown/Linden Segregated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PCH Manager Fund, SPC. solely on behalf of and for the account of Segregated Portfolio 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EFFECTIVENESS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REGISTRATION STATEMENT</w:t>
      </w:r>
    </w:p>
    <w:p>
      <w:pPr>
        <w:pStyle w:val="TextBody"/>
        <w:bidi w:val="0"/>
        <w:spacing w:before="0" w:after="0"/>
        <w:ind w:left="0" w:right="0" w:hanging="0"/>
        <w:jc w:val="left"/>
        <w:rPr>
          <w:caps w:val="false"/>
          <w:smallCaps w:val="false"/>
        </w:rPr>
      </w:pPr>
      <w:r>
        <w:rPr>
          <w:caps w:val="false"/>
          <w:smallCaps w:val="false"/>
        </w:rPr>
        <w:t> </w:t>
      </w:r>
    </w:p>
    <w:tbl>
      <w:tblPr>
        <w:tblW w:w="1175" w:type="dxa"/>
        <w:jc w:val="left"/>
        <w:tblInd w:w="0" w:type="dxa"/>
        <w:tblLayout w:type="fixed"/>
        <w:tblCellMar>
          <w:top w:w="0" w:type="dxa"/>
          <w:left w:w="0" w:type="dxa"/>
          <w:bottom w:w="28" w:type="dxa"/>
          <w:right w:w="0" w:type="dxa"/>
        </w:tblCellMar>
      </w:tblPr>
      <w:tblGrid>
        <w:gridCol w:w="1040"/>
        <w:gridCol w:w="60"/>
        <w:gridCol w:w="75"/>
      </w:tblGrid>
      <w:tr>
        <w:trPr/>
        <w:tc>
          <w:tcPr>
            <w:tcW w:w="1100"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both"/>
              <w:rPr/>
            </w:pPr>
            <w:r>
              <w:rPr/>
              <w:t> </w:t>
            </w:r>
          </w:p>
        </w:tc>
      </w:tr>
      <w:tr>
        <w:trPr/>
        <w:tc>
          <w:tcPr>
            <w:tcW w:w="1100"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100"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040" w:type="dxa"/>
            <w:tcBorders/>
            <w:tcMar>
              <w:bottom w:w="0" w:type="dxa"/>
            </w:tcMar>
            <w:vAlign w:val="center"/>
          </w:tcPr>
          <w:p>
            <w:pPr>
              <w:pStyle w:val="TableContents"/>
              <w:bidi w:val="0"/>
              <w:spacing w:before="0" w:after="283"/>
              <w:jc w:val="left"/>
              <w:rPr/>
            </w:pPr>
            <w:r>
              <w:rPr/>
              <w:t xml:space="preserve">Attention: </w:t>
            </w:r>
          </w:p>
        </w:tc>
        <w:tc>
          <w:tcPr>
            <w:tcW w:w="6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 </w:t>
      </w: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are][I am] counsel to SCHMID Group N.V., a Dutch public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have represented the Company in connection with that certain Investment Agreement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entered into by and among the Company and the buyers named therein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pursuant to which the Company issued to the Holders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convertible into the Company’s Ordinary Shares, €0.01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Pursuant to the Securities Purchase Agreement, the Company also has entered into a Registration Rights Agreement with the Holders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pursuant to which the Company agreed, among other things, to register the Registrable Securities (as defined in the Registration Rights Agreement), including the Ordinary Shares issuable upon conversion of the Notes, under the Securities Act of 1933, as amended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In connection with the Company’s obligations under the Registration Rights Agreement, on ____________ ___, 20__, the Company filed a Registration Statement on Form F-1 (File No. 333-_____________)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relating to the Registrable Securities which names each of the Holders as a selling shareholder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[we][I] advise you that [a member of the SEC’s staff has advised [us][me] by telephone that [the SEC has entered an order declaring the Registration Statement effective under the 1933 Act at [ENTER TIME OF EFFECTIVENESS] on [ENTER DATE OF EFFECTIVENESS]] [an order declaring the Registration Statement effective under the 1933 Act at [ENTER TIME OF EFFECTIVENESS] on [ENTER DATE OF EFFECTIVENESS]] has been posted on the web site of the SEC at www.sec.gov] and [we][I] have no knowledge, after a review of information posted on the website of the SEC at http://www.sec.gov/litigation/stoporders.shtml,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serve as our standing opinion to you that the Ordinary Shares, including the Ordinary Shares underlying the Notes are freely transferable by the Holders pursuant to the Registration Statement. You need not require further letters from us to effect any future legend-free issuance or reissuance of such Ordinary Shares to the Holders as contemplated by the Company’s Irrevocable Transfer Agent Instructions dated _________ __, 20__.</w:t>
      </w:r>
    </w:p>
    <w:p>
      <w:pPr>
        <w:pStyle w:val="TextBody"/>
        <w:bidi w:val="0"/>
        <w:spacing w:before="0" w:after="0"/>
        <w:ind w:left="0" w:right="0" w:hanging="0"/>
        <w:jc w:val="left"/>
        <w:rPr>
          <w:caps w:val="false"/>
          <w:smallCaps w:val="false"/>
        </w:rPr>
      </w:pPr>
      <w:r>
        <w:rPr>
          <w:caps w:val="false"/>
          <w:smallCaps w:val="false"/>
        </w:rPr>
        <w:t> </w:t>
      </w:r>
    </w:p>
    <w:tbl>
      <w:tblPr>
        <w:tblW w:w="5229" w:type="dxa"/>
        <w:jc w:val="left"/>
        <w:tblInd w:w="0" w:type="dxa"/>
        <w:tblLayout w:type="fixed"/>
        <w:tblCellMar>
          <w:top w:w="0" w:type="dxa"/>
          <w:left w:w="0" w:type="dxa"/>
          <w:bottom w:w="0" w:type="dxa"/>
          <w:right w:w="0" w:type="dxa"/>
        </w:tblCellMar>
      </w:tblPr>
      <w:tblGrid>
        <w:gridCol w:w="2795"/>
        <w:gridCol w:w="517"/>
        <w:gridCol w:w="1917"/>
      </w:tblGrid>
      <w:tr>
        <w:trPr/>
        <w:tc>
          <w:tcPr>
            <w:tcW w:w="279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Very truly yours,</w:t>
            </w:r>
          </w:p>
        </w:tc>
      </w:tr>
      <w:tr>
        <w:trPr/>
        <w:tc>
          <w:tcPr>
            <w:tcW w:w="279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pPr>
            <w:r>
              <w:rPr/>
              <w:t> </w:t>
            </w:r>
          </w:p>
        </w:tc>
      </w:tr>
      <w:tr>
        <w:trPr/>
        <w:tc>
          <w:tcPr>
            <w:tcW w:w="279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[ISSUER’S COUNSEL]</w:t>
            </w:r>
          </w:p>
        </w:tc>
      </w:tr>
      <w:tr>
        <w:trPr/>
        <w:tc>
          <w:tcPr>
            <w:tcW w:w="2795" w:type="dxa"/>
            <w:tcBorders/>
            <w:vAlign w:val="center"/>
          </w:tcPr>
          <w:p>
            <w:pPr>
              <w:pStyle w:val="TableContents"/>
              <w:bidi w:val="0"/>
              <w:spacing w:before="0" w:after="283"/>
              <w:jc w:val="both"/>
              <w:rPr/>
            </w:pPr>
            <w:r>
              <w:rPr/>
              <w:t> </w:t>
            </w:r>
          </w:p>
        </w:tc>
        <w:tc>
          <w:tcPr>
            <w:tcW w:w="517" w:type="dxa"/>
            <w:tcBorders/>
            <w:vAlign w:val="center"/>
          </w:tcPr>
          <w:p>
            <w:pPr>
              <w:pStyle w:val="TableContents"/>
              <w:bidi w:val="0"/>
              <w:spacing w:before="0" w:after="283"/>
              <w:jc w:val="both"/>
              <w:rPr/>
            </w:pPr>
            <w:r>
              <w:rPr/>
              <w:t> </w:t>
            </w:r>
          </w:p>
        </w:tc>
        <w:tc>
          <w:tcPr>
            <w:tcW w:w="1917" w:type="dxa"/>
            <w:tcBorders/>
            <w:vAlign w:val="center"/>
          </w:tcPr>
          <w:p>
            <w:pPr>
              <w:pStyle w:val="TableContents"/>
              <w:bidi w:val="0"/>
              <w:spacing w:before="0" w:after="283"/>
              <w:jc w:val="both"/>
              <w:rPr/>
            </w:pPr>
            <w:r>
              <w:rPr/>
              <w:t> </w:t>
            </w:r>
          </w:p>
        </w:tc>
      </w:tr>
      <w:tr>
        <w:trPr/>
        <w:tc>
          <w:tcPr>
            <w:tcW w:w="2795" w:type="dxa"/>
            <w:tcBorders/>
            <w:vAlign w:val="center"/>
          </w:tcPr>
          <w:p>
            <w:pPr>
              <w:pStyle w:val="TableContents"/>
              <w:bidi w:val="0"/>
              <w:spacing w:before="0" w:after="283"/>
              <w:jc w:val="both"/>
              <w:rPr/>
            </w:pPr>
            <w:r>
              <w:rPr/>
              <w:t> </w:t>
            </w:r>
          </w:p>
        </w:tc>
        <w:tc>
          <w:tcPr>
            <w:tcW w:w="5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By: </w:t>
            </w:r>
          </w:p>
        </w:tc>
        <w:tc>
          <w:tcPr>
            <w:tcW w:w="19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both"/>
              <w:rPr/>
            </w:pPr>
            <w:r>
              <w:rPr/>
              <w:t> </w:t>
            </w:r>
          </w:p>
        </w:tc>
        <w:tc>
          <w:tcPr>
            <w:tcW w:w="517" w:type="dxa"/>
            <w:tcBorders/>
            <w:vAlign w:val="center"/>
          </w:tcPr>
          <w:p>
            <w:pPr>
              <w:pStyle w:val="TableContents"/>
              <w:bidi w:val="0"/>
              <w:spacing w:before="0" w:after="283"/>
              <w:jc w:val="both"/>
              <w:rPr/>
            </w:pPr>
            <w:r>
              <w:rPr/>
              <w:t> </w:t>
            </w:r>
          </w:p>
        </w:tc>
        <w:tc>
          <w:tcPr>
            <w:tcW w:w="1917" w:type="dxa"/>
            <w:tcBorders/>
            <w:vAlign w:val="center"/>
          </w:tcPr>
          <w:p>
            <w:pPr>
              <w:pStyle w:val="TableContents"/>
              <w:bidi w:val="0"/>
              <w:spacing w:before="0" w:after="283"/>
              <w:jc w:val="both"/>
              <w:rPr/>
            </w:pPr>
            <w:r>
              <w:rPr/>
              <w:t> </w:t>
            </w:r>
          </w:p>
        </w:tc>
      </w:tr>
      <w:tr>
        <w:trPr/>
        <w:tc>
          <w:tcPr>
            <w:tcW w:w="27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CC: [INVESTOR ENTITY]</w:t>
            </w:r>
          </w:p>
        </w:tc>
        <w:tc>
          <w:tcPr>
            <w:tcW w:w="517" w:type="dxa"/>
            <w:tcBorders/>
            <w:vAlign w:val="center"/>
          </w:tcPr>
          <w:p>
            <w:pPr>
              <w:pStyle w:val="TableContents"/>
              <w:bidi w:val="0"/>
              <w:spacing w:before="0" w:after="283"/>
              <w:jc w:val="both"/>
              <w:rPr/>
            </w:pPr>
            <w:r>
              <w:rPr/>
              <w:t> </w:t>
            </w:r>
          </w:p>
        </w:tc>
        <w:tc>
          <w:tcPr>
            <w:tcW w:w="1917"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shareholders are those issuable to the selling shareholders upon conversion of the notes. For additional information regarding the issuance of the notes, see “Private Placement of Notes” above. We are registering the Ordinary Shares in order to permit the selling shareholders to offer the shares for resale from time to time. Except for the ownership of the notes, Ordinary Shares issued pursuant to the Securities Purchase Agreement, the selling shareholders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(as determined under Section 13(d) of the Securities Exchange Act of 1934, as amended, and the rules and regulations thereunder) of the Ordinary Shares held by each of the selling shareholders. The second column lists the number of Ordinary Shares beneficially owned by the selling shareholders, based on their respective ownership of Ordinary Shares, notes, as of ________, 202_, assuming conversion of the notes held by each such selling shareholder on that date but taking account of any limitations on conversion and exercise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Ordinary Shares being offered by this prospectus by the selling shareholders and does not take in account any limitations on conversion of the notes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holders of the Ordinary Shares, notes, this prospectus generally covers the resale of the sum of (i) the Ordinary Shares currently held by the holders and (ii) the maximum number of Ordinary Shares issued or issuable pursuant to the Notes, including payment of interest on the notes through the maturity date of the notes, assuming such interest is paid-in-kind to the maximum extent permissible in accordance with the indenture, and in each case, determined as if the outstanding notes (including interest on the notes through the maturity date of the notes) were converted or exercised (as the case may be) in full (without regard to any limitations on conversion or exercise contained therein solely for the purpose of such calculation) at a conversion price or exercise price (as the case may be) calculated as of _____, 202_. Because the conversion price of the notes, the number of shares that will actually be issued may be more or less than the number of shares being offered by this prospectus. The fourth column assumes the sale of all of the shares offered by the selling shareholders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notes, a selling shareholder may not convert the notes to the extent (but only to the extent) such selling shareholder or any of its affiliates would beneficially own a number of our Ordinary Shares which would exceed 4.99% of the outstanding shares of the Company. The number of shares in the second column reflects these limitations. The selling shareholders may sell all, some or none of their shares in this offering. See “Plan of Distribution.”</w:t>
      </w:r>
    </w:p>
    <w:p>
      <w:pPr>
        <w:pStyle w:val="TextBody"/>
        <w:bidi w:val="0"/>
        <w:spacing w:before="0" w:after="0"/>
        <w:ind w:left="0" w:right="0" w:hanging="0"/>
        <w:jc w:val="left"/>
        <w:rPr>
          <w:caps w:val="false"/>
          <w:smallCaps w:val="false"/>
        </w:rPr>
      </w:pPr>
      <w:r>
        <w:rPr>
          <w:caps w:val="false"/>
          <w:smallCaps w:val="false"/>
        </w:rPr>
        <w:t> </w:t>
      </w:r>
    </w:p>
    <w:tbl>
      <w:tblPr>
        <w:tblW w:w="6678" w:type="dxa"/>
        <w:jc w:val="left"/>
        <w:tblInd w:w="0" w:type="dxa"/>
        <w:tblLayout w:type="fixed"/>
        <w:tblCellMar>
          <w:top w:w="0" w:type="dxa"/>
          <w:left w:w="0" w:type="dxa"/>
          <w:bottom w:w="28" w:type="dxa"/>
          <w:right w:w="0" w:type="dxa"/>
        </w:tblCellMar>
      </w:tblPr>
      <w:tblGrid>
        <w:gridCol w:w="2465"/>
        <w:gridCol w:w="60"/>
        <w:gridCol w:w="685"/>
        <w:gridCol w:w="685"/>
        <w:gridCol w:w="60"/>
        <w:gridCol w:w="60"/>
        <w:gridCol w:w="691"/>
        <w:gridCol w:w="693"/>
        <w:gridCol w:w="60"/>
        <w:gridCol w:w="60"/>
        <w:gridCol w:w="542"/>
        <w:gridCol w:w="542"/>
        <w:gridCol w:w="75"/>
      </w:tblGrid>
      <w:tr>
        <w:trPr/>
        <w:tc>
          <w:tcPr>
            <w:tcW w:w="24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Ordinary </w:t>
              <w:br/>
              <w:t xml:space="preserve">Shares </w:t>
              <w:br/>
              <w:t xml:space="preserve">Owned Prior to </w:t>
              <w:br/>
              <w:t>Offering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Maximum </w:t>
              <w:br/>
              <w:t xml:space="preserve">Number of </w:t>
              <w:br/>
              <w:t xml:space="preserve">Ordinary </w:t>
              <w:br/>
              <w:t xml:space="preserve">Shares to be </w:t>
              <w:br/>
              <w:t>Sold</w:t>
              <w:br/>
              <w:t xml:space="preserve">Pursuant to this </w:t>
              <w:br/>
              <w:t>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Ordinary </w:t>
              <w:br/>
              <w:t xml:space="preserve">Shares of </w:t>
              <w:br/>
              <w:t>Owned After</w:t>
              <w:br/>
              <w:t>Offering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ENTITY]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1"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2" w:type="dxa"/>
            <w:tcBorders/>
            <w:shd w:fill="FFFFFF" w:val="clear"/>
            <w:tcMar>
              <w:bottom w:w="0" w:type="dxa"/>
            </w:tcMar>
            <w:vAlign w:val="center"/>
          </w:tcPr>
          <w:p>
            <w:pPr>
              <w:pStyle w:val="TableContents"/>
              <w:bidi w:val="0"/>
              <w:spacing w:before="0" w:after="283"/>
              <w:jc w:val="left"/>
              <w:rPr/>
            </w:pPr>
            <w:r>
              <w:rPr/>
              <w:t> </w:t>
            </w:r>
          </w:p>
        </w:tc>
        <w:tc>
          <w:tcPr>
            <w:tcW w:w="54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1"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2" w:type="dxa"/>
            <w:tcBorders/>
            <w:shd w:fill="FFFFFF" w:val="clear"/>
            <w:tcMar>
              <w:bottom w:w="0" w:type="dxa"/>
            </w:tcMar>
            <w:vAlign w:val="center"/>
          </w:tcPr>
          <w:p>
            <w:pPr>
              <w:pStyle w:val="TableContents"/>
              <w:bidi w:val="0"/>
              <w:spacing w:before="0" w:after="283"/>
              <w:jc w:val="left"/>
              <w:rPr/>
            </w:pPr>
            <w:r>
              <w:rPr/>
              <w:t> </w:t>
            </w:r>
          </w:p>
        </w:tc>
        <w:tc>
          <w:tcPr>
            <w:tcW w:w="54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left"/>
              <w:rPr/>
            </w:pPr>
            <w:r>
              <w:rPr/>
              <w:t> </w:t>
            </w:r>
          </w:p>
        </w:tc>
        <w:tc>
          <w:tcPr>
            <w:tcW w:w="5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[To be updated to reflect any additional selling shareholders].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 ENTITY], has voting and investment power over these securities. [INDIVIDUAL] is the managing member of [INVESTOR ENTITY], which is the general partner of [INVESTOR ENTITY]. Each of [INVESTOR ENTITY]. and [INDIVIDUAL] disclaims beneficial ownership over these securities. Includes [●] shares issuable upon conversion of the Convertible Note.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issuable upon conversion of the notes to permit the resale of these Ordinary Shares by the holders of the notes from time to time after the date of this prospectus. We will not receive any of the proceeds from the sale by the selling shareholders of the Ordinary Shares. We will bear all fees and expenses incident to our obligation to register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held by them and offered hereby from time to time directly or through one or more underwriters, broker-dealers or agents. If the Ordinary Shares are sold through underwriters or broker-dealers, the selling shareholders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Ordinary Shares under Rule 144 promulgated under the Securities Act of 1933, as amended, if available, rather than under this prospectus. In addition, the selling shareholders may transfer the Ordinary Shares by other means not described in this prospectus. If the selling shareholders effect such transactions by selling Ordinary Shares to or through underwriters, broker-dealers or agents, such underwriters, broker-dealers or agents may receive commissions in the form of discounts, concessions or commissions from the selling shareholders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shareholders may enter into hedging transactions with broker-dealers, which may in turn engage in short sales of the Ordinary Shares in the course of hedging in positions they assume. The selling shareholders may also sell Ordinary Shares short and deliver Ordinary Shares covered by this prospectus to close out short positions and to return borrowed shares in connection with such short sales. The selling shareholders may also loan or pledge Ordinary Shares to broker-dealers that in turn may sell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notes or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Ordinary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shareholders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 will sell any or all of the Ordinary Shares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shareholders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Ordinary Shares pursuant to the registration rights agreement, including, without limitation, Securities and Exchange Commission filing fees and expenses of compliance with state securities or “blue sky” laws; provided, however, the selling shareholder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Ordinary Shares will be freely tradable in the hands of persons other than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3(u) Registration Rights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both"/>
              <w:rPr/>
            </w:pPr>
            <w:r>
              <w:rPr/>
              <w:t>Registration Rights Agreement by and among SCHMID Group N.V., Pegasus Digital Mobility Acquisition Corp., Pegasus Digital Mobility Sponsor LLC, Christian Schmid, and Anette Schmid, dated as of April 30, 2024 (incorporated by reference to Exhibit 4.5 to the Annual Report Form 20-F (File No. 001-42040), filed with the SEC on May 15,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Private Warrants Undertaking Agreement dated as of January 29, 2024, by and among Pegasus Digital Mobility Acquisition Corp., Pegasus Digital Mobility Sponsor LLC, Gebr. Schmid GmbH, Anette Schmid, and Christian Schmid among others (incorporated by reference to Exhibit 10.10 to the Issuer's Registration Statement on Form F-4 (Reg. No. 333-274701), filed with the SEC on March 25,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3.</w:t>
            </w:r>
          </w:p>
        </w:tc>
        <w:tc>
          <w:tcPr>
            <w:tcW w:w="9989" w:type="dxa"/>
            <w:tcBorders/>
            <w:vAlign w:val="center"/>
          </w:tcPr>
          <w:p>
            <w:pPr>
              <w:pStyle w:val="TableContents"/>
              <w:bidi w:val="0"/>
              <w:spacing w:before="0" w:after="283"/>
              <w:jc w:val="both"/>
              <w:rPr/>
            </w:pPr>
            <w:r>
              <w:rPr/>
              <w:t>Subscription Agreement dated January 29, 2024, by and among SCHMID Group N.V. and XJ Harbour HK Limited providing for registration rights to XJ</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90" w:type="dxa"/>
            <w:tcBorders/>
            <w:vAlign w:val="center"/>
          </w:tcPr>
          <w:p>
            <w:pPr>
              <w:pStyle w:val="TableContents"/>
              <w:bidi w:val="0"/>
              <w:spacing w:before="0" w:after="283"/>
              <w:jc w:val="both"/>
              <w:rPr/>
            </w:pPr>
            <w:r>
              <w:rPr/>
              <w:t>Subscription Agreement dated November 12, 2025, by and among SCHMID Group N.V. and XJ Harbour HK Limited providing for registration rights to XJ</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283"/>
              <w:jc w:val="both"/>
              <w:rPr/>
            </w:pPr>
            <w:r>
              <w:rPr/>
              <w:t>Subscription Agreement dated November 3, 2025, by and among SCHMID Group N.V. and SCHMID Avaco Korea providing for registration rights (note, shares to Avaco have not been issued yet)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6.</w:t>
            </w:r>
          </w:p>
        </w:tc>
        <w:tc>
          <w:tcPr>
            <w:tcW w:w="10011" w:type="dxa"/>
            <w:tcBorders/>
            <w:vAlign w:val="center"/>
          </w:tcPr>
          <w:p>
            <w:pPr>
              <w:pStyle w:val="TableContents"/>
              <w:bidi w:val="0"/>
              <w:spacing w:before="0" w:after="283"/>
              <w:jc w:val="both"/>
              <w:rPr/>
            </w:pPr>
            <w:r>
              <w:rPr/>
              <w:t>Facility Agreement dated December 16, 2025, by and among SCHMID Group N.V. and Black Forest Special Situations I and Anette Schmid and Christian Schmid providing for registration rights to Black Forest Special Situations I for shares to be issued for convertible loan(s) and in case of the exercise of option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7.</w:t>
            </w:r>
          </w:p>
        </w:tc>
        <w:tc>
          <w:tcPr>
            <w:tcW w:w="10003" w:type="dxa"/>
            <w:tcBorders/>
            <w:vAlign w:val="center"/>
          </w:tcPr>
          <w:p>
            <w:pPr>
              <w:pStyle w:val="TableContents"/>
              <w:bidi w:val="0"/>
              <w:spacing w:before="0" w:after="283"/>
              <w:jc w:val="both"/>
              <w:rPr/>
            </w:pPr>
            <w:r>
              <w:rPr/>
              <w:t>Registration Rights Agreement related to Convertible Notes of the Company dated January 21, 2026 (incorporated by reference to Exhibit 4.24 to the Registrant’s Report on Form 20-F filed with the SEC on February 13,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8.</w:t>
            </w:r>
          </w:p>
        </w:tc>
        <w:tc>
          <w:tcPr>
            <w:tcW w:w="10005" w:type="dxa"/>
            <w:tcBorders/>
            <w:vAlign w:val="center"/>
          </w:tcPr>
          <w:p>
            <w:pPr>
              <w:pStyle w:val="TableContents"/>
              <w:bidi w:val="0"/>
              <w:spacing w:before="0" w:after="283"/>
              <w:jc w:val="both"/>
              <w:rPr/>
            </w:pPr>
            <w:r>
              <w:rPr/>
              <w:t>Subscription Agreement dated April 24, 2026 between SCHMID Group N.V., Gebr. Schmid GmbH and Anette Schmid (incorporated by reference to Exhibit 10.1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9.</w:t>
            </w:r>
          </w:p>
        </w:tc>
        <w:tc>
          <w:tcPr>
            <w:tcW w:w="10005" w:type="dxa"/>
            <w:tcBorders/>
            <w:vAlign w:val="center"/>
          </w:tcPr>
          <w:p>
            <w:pPr>
              <w:pStyle w:val="TableContents"/>
              <w:bidi w:val="0"/>
              <w:spacing w:before="0" w:after="283"/>
              <w:jc w:val="both"/>
              <w:rPr/>
            </w:pPr>
            <w:r>
              <w:rPr/>
              <w:t>Subscription Agreement dated April 24, 2026 between SCHMID Group N.V., Gebr. Schmid GmbH and Christian Schmid (incorporated by reference to Exhibit 10.2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10.</w:t>
            </w:r>
          </w:p>
        </w:tc>
        <w:tc>
          <w:tcPr>
            <w:tcW w:w="9885" w:type="dxa"/>
            <w:tcBorders/>
            <w:vAlign w:val="center"/>
          </w:tcPr>
          <w:p>
            <w:pPr>
              <w:pStyle w:val="TableContents"/>
              <w:bidi w:val="0"/>
              <w:spacing w:before="0" w:after="283"/>
              <w:jc w:val="both"/>
              <w:rPr/>
            </w:pPr>
            <w:r>
              <w:rPr/>
              <w:t>Subscription Agreement dated April 24, 2026 between SCHMID Group N.V., Gebr. Schmid GmbH and Christine Schmid (incorporated by reference to Exhibit 10.3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11.</w:t>
            </w:r>
          </w:p>
        </w:tc>
        <w:tc>
          <w:tcPr>
            <w:tcW w:w="9887" w:type="dxa"/>
            <w:tcBorders/>
            <w:vAlign w:val="center"/>
          </w:tcPr>
          <w:p>
            <w:pPr>
              <w:pStyle w:val="TableContents"/>
              <w:bidi w:val="0"/>
              <w:spacing w:before="0" w:after="283"/>
              <w:jc w:val="both"/>
              <w:rPr/>
            </w:pPr>
            <w:r>
              <w:rPr/>
              <w:t>Subscription Agreement dated April 24, 2026 between SCHMID Group N.V., Gebr. Schmid GmbH and Schmid Grundstücke GmbH &amp; Co KG (incorporated by reference to Exhibit 10.4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12.</w:t>
            </w:r>
          </w:p>
        </w:tc>
        <w:tc>
          <w:tcPr>
            <w:tcW w:w="9885" w:type="dxa"/>
            <w:tcBorders/>
            <w:vAlign w:val="center"/>
          </w:tcPr>
          <w:p>
            <w:pPr>
              <w:pStyle w:val="TableContents"/>
              <w:bidi w:val="0"/>
              <w:spacing w:before="0" w:after="283"/>
              <w:jc w:val="both"/>
              <w:rPr/>
            </w:pPr>
            <w:r>
              <w:rPr/>
              <w:t>Share Incentive Plan, as it will be in effect following the adoption by the shareholders meeting to be held on May 20, 2026 (incorporated by reference to Exhibit 10.13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13.</w:t>
            </w:r>
          </w:p>
        </w:tc>
        <w:tc>
          <w:tcPr>
            <w:tcW w:w="9885" w:type="dxa"/>
            <w:tcBorders/>
            <w:vAlign w:val="center"/>
          </w:tcPr>
          <w:p>
            <w:pPr>
              <w:pStyle w:val="TableContents"/>
              <w:bidi w:val="0"/>
              <w:spacing w:before="0" w:after="283"/>
              <w:jc w:val="both"/>
              <w:rPr/>
            </w:pPr>
            <w:r>
              <w:rPr/>
              <w:t>Standby Equity Purchase Agreement between and among SCHMID Group N.V. and YA II PN, Ltd. dated May 12, 2026 (incorporated by reference to Exhibit 4.46 to the Registrant’s Report on Form 20-F, file with the SEC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14.</w:t>
            </w:r>
          </w:p>
        </w:tc>
        <w:tc>
          <w:tcPr>
            <w:tcW w:w="9883" w:type="dxa"/>
            <w:tcBorders/>
            <w:vAlign w:val="center"/>
          </w:tcPr>
          <w:p>
            <w:pPr>
              <w:pStyle w:val="TableContents"/>
              <w:bidi w:val="0"/>
              <w:spacing w:before="0" w:after="283"/>
              <w:jc w:val="both"/>
              <w:rPr/>
            </w:pPr>
            <w:r>
              <w:rPr/>
              <w:t>2025 Board Compensation Issuance Subscription Agreement by and among Christian Mathias Schmid, Ralf Dieter Speth, Dr. Annedore Streyl, Boo Keun Yoon, Anette Schmid, and SCHMID Group N.V. dated May 21,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15.</w:t>
            </w:r>
          </w:p>
        </w:tc>
        <w:tc>
          <w:tcPr>
            <w:tcW w:w="9884" w:type="dxa"/>
            <w:tcBorders/>
            <w:vAlign w:val="center"/>
          </w:tcPr>
          <w:p>
            <w:pPr>
              <w:pStyle w:val="TableContents"/>
              <w:bidi w:val="0"/>
              <w:spacing w:before="0" w:after="283"/>
              <w:jc w:val="both"/>
              <w:rPr/>
            </w:pPr>
            <w:r>
              <w:rPr/>
              <w:t>2023 Management Bonus Subscription Agreement by and among Christian Schmid, Helmut Rauch, Anette Schmid, Christian Buchner, Thomas Widmann, Heiko Vogel, Laurent Nicolet, and SCHMID Group N.V. dated May 21,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20429d1_ex10-3.htm"/>
      <w:bookmarkStart w:id="7" w:name="kstm2620429d1_ex103"/>
      <w:bookmarkEnd w:id="6"/>
      <w:bookmarkEnd w:id="7"/>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AGREEMENT</w:t>
        <w:br/>
        <w:t>(RANGRÜCKTRITTSVEREINBARUNG)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1.</w:t>
            </w:r>
          </w:p>
        </w:tc>
        <w:tc>
          <w:tcPr>
            <w:tcW w:w="9999" w:type="dxa"/>
            <w:tcBorders/>
            <w:vAlign w:val="center"/>
          </w:tcPr>
          <w:p>
            <w:pPr>
              <w:pStyle w:val="TableContents"/>
              <w:bidi w:val="0"/>
              <w:spacing w:before="0" w:after="283"/>
              <w:jc w:val="left"/>
              <w:rPr/>
            </w:pPr>
            <w:r>
              <w:rPr>
                <w:b/>
              </w:rPr>
              <w:t>Christian Schmid</w:t>
            </w:r>
            <w:r>
              <w:rPr/>
              <w:t>, resident of Germany with business address Robert-Bosch-Str. 32-36, 72250 Freudenstadt, Germany,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left"/>
              <w:rPr/>
            </w:pPr>
            <w:r>
              <w:rPr>
                <w:b/>
              </w:rPr>
              <w:t>SCHMID Group N.V.</w:t>
            </w:r>
            <w:r>
              <w:rPr/>
              <w:t>, a public limited liability company (</w:t>
            </w:r>
            <w:r>
              <w:rPr>
                <w:i/>
              </w:rPr>
              <w:t>naamloze vennootschap</w:t>
            </w:r>
            <w:r>
              <w:rPr/>
              <w:t>) organized under the laws of the Kingdom of the Netherlands with registered office at Robert-Bosch-Straße 32-36, 72250 Freudenstadt, registered with the chamber of commerce of Amsterdam under KVK 89188276,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2</w:t>
      </w:r>
      <w:r>
        <w:rPr>
          <w:rFonts w:ascii="Times New Roman;Times;Serif" w:hAnsi="Times New Roman;Times;Serif"/>
          <w:b w:val="false"/>
          <w:i w:val="false"/>
          <w:caps w:val="false"/>
          <w:smallCaps w:val="false"/>
          <w:sz w:val="20"/>
        </w:rPr>
        <w:t>"-</w:t>
      </w:r>
    </w:p>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3.</w:t>
            </w:r>
          </w:p>
        </w:tc>
        <w:tc>
          <w:tcPr>
            <w:tcW w:w="10033" w:type="dxa"/>
            <w:tcBorders/>
            <w:vAlign w:val="center"/>
          </w:tcPr>
          <w:p>
            <w:pPr>
              <w:pStyle w:val="TableContents"/>
              <w:bidi w:val="0"/>
              <w:spacing w:before="0" w:after="283"/>
              <w:jc w:val="left"/>
              <w:rPr/>
            </w:pPr>
            <w:r>
              <w:rPr>
                <w:b/>
              </w:rPr>
              <w:t>Schmid Grundstücke GmbH &amp; Co. KG</w:t>
            </w:r>
            <w:r>
              <w:rPr/>
              <w:t>, a limited liability partnership (</w:t>
            </w:r>
            <w:r>
              <w:rPr>
                <w:i/>
              </w:rPr>
              <w:t>Kommanditgesellschaft</w:t>
            </w:r>
            <w:r>
              <w:rPr/>
              <w:t>) organized under the laws of Germany with registered office at Robert-Bosch-Straße 32-36, 72250 Freudenstadt, registered in the commercial register of the local court of Stuttgart under HRA 726509,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left"/>
              <w:rPr/>
            </w:pPr>
            <w:r>
              <w:rPr>
                <w:b/>
              </w:rPr>
              <w:t>Schmid Verwaltungs GmbH</w:t>
            </w:r>
            <w:r>
              <w:rPr/>
              <w:t>, a limited liability company (</w:t>
            </w:r>
            <w:r>
              <w:rPr>
                <w:i/>
              </w:rPr>
              <w:t>Gesellschaft mit beschränkter Haftung</w:t>
            </w:r>
            <w:r>
              <w:rPr/>
              <w:t>) incorporated under the laws of Germany with registered office at Robert-Bosch-Straße 32-36, 72250 Freudenstadt, registered in the commercial register of the local court of Stuttgart under HRB 731113,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Subordinated Creditors 1 to 4 are collectively referred to as the "</w:t>
      </w:r>
      <w:r>
        <w:rPr>
          <w:rFonts w:ascii="Times New Roman;Times;Serif" w:hAnsi="Times New Roman;Times;Serif"/>
          <w:b/>
          <w:i w:val="false"/>
          <w:caps w:val="false"/>
          <w:smallCaps w:val="false"/>
          <w:sz w:val="20"/>
        </w:rPr>
        <w:t>Subordinated Creditors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5.</w:t>
            </w:r>
          </w:p>
        </w:tc>
        <w:tc>
          <w:tcPr>
            <w:tcW w:w="10032" w:type="dxa"/>
            <w:tcBorders/>
            <w:vAlign w:val="center"/>
          </w:tcPr>
          <w:p>
            <w:pPr>
              <w:pStyle w:val="TableContents"/>
              <w:bidi w:val="0"/>
              <w:spacing w:before="0" w:after="283"/>
              <w:jc w:val="left"/>
              <w:rPr/>
            </w:pPr>
            <w:r>
              <w:rPr>
                <w:b/>
              </w:rPr>
              <w:t>Gebr. Schmid GmbH</w:t>
            </w:r>
            <w:r>
              <w:rPr/>
              <w:t>, a limited liability company (</w:t>
            </w:r>
            <w:r>
              <w:rPr>
                <w:i/>
              </w:rPr>
              <w:t>Gesellschaft mit beschränkter Haftung</w:t>
            </w:r>
            <w:r>
              <w:rPr/>
              <w:t>) incorporated under the laws of Germany with registered office at Robert-Bosch-Straße 32-36, 72250 Freudenstadt, registered in the commercial register of the local court of Stuttgart under HRB 738354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215"/>
        <w:gridCol w:w="9830"/>
      </w:tblGrid>
      <w:tr>
        <w:trPr/>
        <w:tc>
          <w:tcPr>
            <w:tcW w:w="215" w:type="dxa"/>
            <w:tcBorders/>
            <w:vAlign w:val="center"/>
          </w:tcPr>
          <w:p>
            <w:pPr>
              <w:pStyle w:val="TableContents"/>
              <w:bidi w:val="0"/>
              <w:spacing w:before="0" w:after="283"/>
              <w:jc w:val="left"/>
              <w:rPr/>
            </w:pPr>
            <w:r>
              <w:rPr/>
              <w:t>6.</w:t>
            </w:r>
          </w:p>
        </w:tc>
        <w:tc>
          <w:tcPr>
            <w:tcW w:w="9830" w:type="dxa"/>
            <w:tcBorders/>
            <w:vAlign w:val="center"/>
          </w:tcPr>
          <w:p>
            <w:pPr>
              <w:pStyle w:val="TableContents"/>
              <w:bidi w:val="0"/>
              <w:spacing w:before="0" w:after="283"/>
              <w:jc w:val="left"/>
              <w:rPr/>
            </w:pPr>
            <w:r>
              <w:rPr>
                <w:b/>
              </w:rPr>
              <w:t>Wilmington Savings Fund Society, FSB</w:t>
            </w:r>
            <w:r>
              <w:rPr/>
              <w:t>, 500 Delaware Avenue, 11th Floor, Wilmington, DE 19801,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7.</w:t>
            </w:r>
          </w:p>
        </w:tc>
        <w:tc>
          <w:tcPr>
            <w:tcW w:w="10005" w:type="dxa"/>
            <w:tcBorders/>
            <w:vAlign w:val="center"/>
          </w:tcPr>
          <w:p>
            <w:pPr>
              <w:pStyle w:val="TableContents"/>
              <w:bidi w:val="0"/>
              <w:spacing w:before="0" w:after="283"/>
              <w:jc w:val="left"/>
              <w:rPr/>
            </w:pPr>
            <w:r>
              <w:rPr>
                <w:b/>
              </w:rPr>
              <w:t>Linden Capital L.P.</w:t>
            </w:r>
            <w:r>
              <w:rPr/>
              <w:t>, 590 Madison Avenue, 32nd Floor, NY, NY 10022, on behalf of certain advised or managed funds and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8.</w:t>
            </w:r>
          </w:p>
        </w:tc>
        <w:tc>
          <w:tcPr>
            <w:tcW w:w="10010" w:type="dxa"/>
            <w:tcBorders/>
            <w:vAlign w:val="center"/>
          </w:tcPr>
          <w:p>
            <w:pPr>
              <w:pStyle w:val="TableContents"/>
              <w:bidi w:val="0"/>
              <w:spacing w:before="0" w:after="283"/>
              <w:jc w:val="left"/>
              <w:rPr/>
            </w:pPr>
            <w:r>
              <w:rPr>
                <w:b/>
              </w:rPr>
              <w:t>Crown Managed Accounts SPC</w:t>
            </w:r>
            <w:r>
              <w:rPr/>
              <w:t>, 590 Madison Avenue, 32nd Floor, NY, NY 10022, acting for and on behalf of Crown/Linden Segregated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283"/>
              <w:jc w:val="left"/>
              <w:rPr/>
            </w:pPr>
            <w:r>
              <w:rPr>
                <w:b/>
              </w:rPr>
              <w:t>PCH Manager Fund, SPC</w:t>
            </w:r>
            <w:r>
              <w:rPr/>
              <w:t>, 590 Madison Avenue, 32nd Floor, NY, NY 10022, on behalf of and for the account of Segregated Portfolio 214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Purchasers 1 to 3 are collectively referred to as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Subordinated Creditors, Company, Trustee, and Purchasers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(A)</w:t>
            </w:r>
          </w:p>
        </w:tc>
        <w:tc>
          <w:tcPr>
            <w:tcW w:w="9889" w:type="dxa"/>
            <w:tcBorders/>
            <w:vAlign w:val="center"/>
          </w:tcPr>
          <w:p>
            <w:pPr>
              <w:pStyle w:val="TableContents"/>
              <w:bidi w:val="0"/>
              <w:spacing w:before="0" w:after="283"/>
              <w:jc w:val="left"/>
              <w:rPr/>
            </w:pPr>
            <w:r>
              <w:rPr/>
              <w:t>The Company's shareholder, SCHMID GROUP N.V., a Dutch public limited liability company ("</w:t>
            </w:r>
            <w:r>
              <w:rPr>
                <w:b/>
              </w:rPr>
              <w:t>Shareholder</w:t>
            </w:r>
            <w:r>
              <w:rPr/>
              <w:t>"), has authorized the issuance of its 5.000% Convertible Senior PIK Toggle Notes due 2029 ("</w:t>
            </w:r>
            <w:r>
              <w:rPr>
                <w:b/>
              </w:rPr>
              <w:t>2029 Notes</w:t>
            </w:r>
            <w:r>
              <w:rPr/>
              <w:t>") in the nominal amount of USD 20,000,000.00.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left"/>
              <w:rPr/>
            </w:pPr>
            <w:r>
              <w:rPr/>
              <w:t>The Purchasers have agreed to purchase the 2029 Notes under that certain Investment Agreement by and among Shareholder, the Company and the Purchasers signatory thereto, dated as of July 7, 2026. The 2029 Notes will initially be registered in the name of Cede &amp; Co., as nominee for The Depository Trust Company, and the Purchasers will be the initial beneficial holders of the 2029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pPr>
            <w:r>
              <w:rPr/>
              <w:t>(C)</w:t>
            </w:r>
          </w:p>
        </w:tc>
        <w:tc>
          <w:tcPr>
            <w:tcW w:w="9862" w:type="dxa"/>
            <w:tcBorders/>
            <w:vAlign w:val="center"/>
          </w:tcPr>
          <w:p>
            <w:pPr>
              <w:pStyle w:val="TableContents"/>
              <w:bidi w:val="0"/>
              <w:spacing w:before="0" w:after="283"/>
              <w:jc w:val="left"/>
              <w:rPr/>
            </w:pPr>
            <w:r>
              <w:rPr/>
              <w:t>The Company, the Shareholder and the Trustee signed an indenture on July 14, 2026 ("</w:t>
            </w:r>
            <w:r>
              <w:rPr>
                <w:b/>
              </w:rPr>
              <w:t>July 2026 Indenture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left"/>
              <w:rPr/>
            </w:pPr>
            <w:r>
              <w:rPr/>
              <w:t>Under Section 13.01 (a) of the July 2026 Indenture, the Company and other guarantors guaranteed, subject to Article 13 of the July 2026 Indenture, fully unconditionally and irrevocably, jointly and severally, as primary obligor and not merely as surety, to each Holder (as such term is defined in the July 2026 Indenture) of the 2029 Notes and to the Trustee the full and punctual payment or delivery of the principal amount of the 2029 Notes, any amounts due upon conversion, and all other obligations of the Shareholder under the July 2026 Indenture and the 2029 Notes ("</w:t>
            </w:r>
            <w:r>
              <w:rPr>
                <w:b/>
              </w:rPr>
              <w:t>Obligations</w:t>
            </w:r>
            <w:r>
              <w:rPr/>
              <w:t>") to the Trustee and to the Holders, and each guarantor further agreed (to the extent permitted by law) that the Obligations may be extended or renewed, in whole or in part, without notice or further assent from it, and that it shall remain bound under Article 13 of the July 2026 Indenture notwithstanding any extension or renewal of any Obligation ("</w:t>
            </w:r>
            <w:r>
              <w:rPr>
                <w:b/>
              </w:rPr>
              <w:t>2029 Notes Guarantee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283"/>
              <w:jc w:val="left"/>
              <w:rPr/>
            </w:pPr>
            <w:r>
              <w:rPr/>
              <w:t>Exhibit B to the July 2026 Indenture contains limitations on the enforcement of the 2029 Notes Guarantee that apply to the Company and other German guarantors. Under Clause (ii) (C) of the Net Assets definition in Exhibit B to the July 2026 Indenture, the limitation's scope depends in part on the amount of subordinated loans and other liabilities. This Agreement is meant to subordinate certain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Outstanding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owes the Subordinated Creditors certain amounts under the following obligations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28" w:type="dxa"/>
          <w:left w:w="28" w:type="dxa"/>
          <w:bottom w:w="28" w:type="dxa"/>
          <w:right w:w="28" w:type="dxa"/>
        </w:tblCellMar>
      </w:tblPr>
      <w:tblGrid>
        <w:gridCol w:w="6185"/>
        <w:gridCol w:w="2262"/>
        <w:gridCol w:w="1758"/>
      </w:tblGrid>
      <w:tr>
        <w:trPr/>
        <w:tc>
          <w:tcPr>
            <w:tcW w:w="6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Contract/Date</w:t>
            </w:r>
          </w:p>
        </w:tc>
        <w:tc>
          <w:tcPr>
            <w:tcW w:w="22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Subordinated Creditor</w:t>
            </w:r>
          </w:p>
        </w:tc>
        <w:tc>
          <w:tcPr>
            <w:tcW w:w="17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Nominal amount in EUR</w:t>
              <w:br/>
              <w:t>outstanding on July 7, 2026</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December 31, 2024 (the "</w:t>
            </w:r>
            <w:r>
              <w:rPr>
                <w:rFonts w:ascii="Times New Roman;Times;Serif" w:hAnsi="Times New Roman;Times;Serif"/>
                <w:b/>
                <w:sz w:val="20"/>
              </w:rPr>
              <w:t>Exempted Loan I</w:t>
            </w:r>
            <w:r>
              <w:rPr>
                <w:rFonts w:ascii="Times New Roman;Times;Serif" w:hAnsi="Times New Roman;Times;Serif"/>
                <w:sz w:val="20"/>
              </w:rPr>
              <w:t>")</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Schmid Grundstücke GmbH &amp; Co. KG </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December 31, 2024</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November 18, 2018 (the "</w:t>
            </w:r>
            <w:r>
              <w:rPr>
                <w:rFonts w:ascii="Times New Roman;Times;Serif" w:hAnsi="Times New Roman;Times;Serif"/>
                <w:b/>
                <w:sz w:val="20"/>
              </w:rPr>
              <w:t>Exempted Loan II</w:t>
            </w:r>
            <w:r>
              <w:rPr>
                <w:rFonts w:ascii="Times New Roman;Times;Serif" w:hAnsi="Times New Roman;Times;Serif"/>
                <w:sz w:val="20"/>
              </w:rPr>
              <w:t>" and together with Exempted Loan I, the "</w:t>
            </w:r>
            <w:r>
              <w:rPr>
                <w:rFonts w:ascii="Times New Roman;Times;Serif" w:hAnsi="Times New Roman;Times;Serif"/>
                <w:b/>
                <w:sz w:val="20"/>
              </w:rPr>
              <w:t>Exempted Loans</w:t>
            </w:r>
            <w:r>
              <w:rPr>
                <w:rFonts w:ascii="Times New Roman;Times;Serif" w:hAnsi="Times New Roman;Times;Serif"/>
                <w:sz w:val="20"/>
              </w:rPr>
              <w:t>")</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 Wein</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1,623,892</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July 3, 2025</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65,434</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account property loan dated December 31, 2024</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424,728</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July 9, 2025 (the "</w:t>
            </w:r>
            <w:r>
              <w:rPr>
                <w:rFonts w:ascii="Times New Roman;Times;Serif" w:hAnsi="Times New Roman;Times;Serif"/>
                <w:b/>
                <w:sz w:val="20"/>
              </w:rPr>
              <w:t>Partly Exempted Loan</w:t>
            </w:r>
            <w:r>
              <w:rPr>
                <w:rFonts w:ascii="Times New Roman;Times;Serif" w:hAnsi="Times New Roman;Times;Serif"/>
                <w:sz w:val="20"/>
              </w:rPr>
              <w:t>")</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Verwaltungs GmbH</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2,050,408</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agreement dated January 15, 2021</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2,816,417</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13,850,000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6,500,000</w:t>
            </w:r>
          </w:p>
        </w:tc>
      </w:tr>
    </w:tbl>
    <w:p>
      <w:pPr>
        <w:pStyle w:val="TextBody"/>
        <w:bidi w:val="0"/>
        <w:spacing w:before="0" w:after="0"/>
        <w:ind w:left="0" w:right="0" w:hanging="0"/>
        <w:jc w:val="righ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15"/>
        <w:gridCol w:w="1505"/>
      </w:tblGrid>
      <w:tr>
        <w:trPr/>
        <w:tc>
          <w:tcPr>
            <w:tcW w:w="215" w:type="dxa"/>
            <w:tcBorders/>
            <w:vAlign w:val="center"/>
          </w:tcPr>
          <w:p>
            <w:pPr>
              <w:pStyle w:val="TableContents"/>
              <w:bidi w:val="0"/>
              <w:spacing w:before="0" w:after="283"/>
              <w:jc w:val="left"/>
              <w:rPr>
                <w:b/>
              </w:rPr>
            </w:pPr>
            <w:r>
              <w:rPr>
                <w:b/>
              </w:rPr>
              <w:t>2.</w:t>
            </w:r>
          </w:p>
        </w:tc>
        <w:tc>
          <w:tcPr>
            <w:tcW w:w="1505" w:type="dxa"/>
            <w:tcBorders/>
            <w:vAlign w:val="center"/>
          </w:tcPr>
          <w:p>
            <w:pPr>
              <w:pStyle w:val="TableContents"/>
              <w:bidi w:val="0"/>
              <w:spacing w:before="0" w:after="283"/>
              <w:jc w:val="both"/>
              <w:rPr>
                <w:b/>
              </w:rPr>
            </w:pPr>
            <w:r>
              <w:rPr>
                <w:b/>
              </w:rPr>
              <w:t>Subordination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pPr>
            <w:r>
              <w:rPr/>
              <w:t>2.1.</w:t>
            </w:r>
          </w:p>
        </w:tc>
        <w:tc>
          <w:tcPr>
            <w:tcW w:w="9861" w:type="dxa"/>
            <w:tcBorders/>
            <w:vAlign w:val="center"/>
          </w:tcPr>
          <w:p>
            <w:pPr>
              <w:pStyle w:val="TableContents"/>
              <w:bidi w:val="0"/>
              <w:spacing w:before="0" w:after="283"/>
              <w:jc w:val="left"/>
              <w:rPr/>
            </w:pPr>
            <w:r>
              <w:rPr/>
              <w:t>With effect from the signing of this Agreement, the Subordinated Creditors subordinate any claims (including interest and costs) they may have against the Company under or in connection with the Loans stated above, now or in the future, conditionally or unconditionally, independent from their cause in law and the governing law of the underlying contract, except for the Exempted Loans (the "</w:t>
            </w:r>
            <w:r>
              <w:rPr>
                <w:b/>
              </w:rPr>
              <w:t>Subordinated Claims</w:t>
            </w:r>
            <w:r>
              <w:rPr/>
              <w:t>"), to any and all claims the Holders and the Trustee might now or in the future have against the Company under the 2029 Notes Guarantee.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pPr>
            <w:r>
              <w:rPr/>
              <w:t>2.2.</w:t>
            </w:r>
          </w:p>
        </w:tc>
        <w:tc>
          <w:tcPr>
            <w:tcW w:w="9866" w:type="dxa"/>
            <w:tcBorders/>
            <w:vAlign w:val="center"/>
          </w:tcPr>
          <w:p>
            <w:pPr>
              <w:pStyle w:val="TableContents"/>
              <w:bidi w:val="0"/>
              <w:spacing w:before="0" w:after="283"/>
              <w:jc w:val="left"/>
              <w:rPr/>
            </w:pPr>
            <w:r>
              <w:rPr/>
              <w:t>Except as permitted under Clause 4 of this Agreement, the Subordinated Creditors are obligated, until the final and complete satisfaction of all claims of the Holders and the Trustee against the Company under the July 2026 Indenture, including the 2029 Notes Guarantee under Article 13 of the July 2026 Indenture, and the 2029 Notes ("</w:t>
            </w:r>
            <w:r>
              <w:rPr>
                <w:b/>
              </w:rPr>
              <w:t>2029 Note Documentation</w:t>
            </w:r>
            <w:r>
              <w:rPr/>
              <w:t xml:space="preserve">") not to collect any of their Subordinated Claims, in particular not to accept any payment with regard to the Subordinated Claims; not to exercise any right to set-off with any of the Subordinated Claims against the Company; not to dispose of the Subordinated Claims, in particular not to terminate or waive them, not to assign or pledge them to third parties unless such third parties have acceded to this Agreement nor to bring them into circulation by virtue of bills of exchange and not to have them secured; not to subordinate the Subordinated Claims to any claims of a third party (other than the Holders and the Trustee); and not to accept any security or guarantee, or allow such security or guarantee to come into existence or subsist with respect to the Subordinated Claims, </w:t>
            </w:r>
            <w:r>
              <w:rPr>
                <w:i/>
              </w:rPr>
              <w:t>provided that</w:t>
            </w:r>
            <w:r>
              <w:rPr/>
              <w:t xml:space="preserve"> a conversion of any of the Loans (or any part of any of the Loans) into the equity (</w:t>
            </w:r>
            <w:r>
              <w:rPr>
                <w:i/>
              </w:rPr>
              <w:t>Eigenkapital</w:t>
            </w:r>
            <w:r>
              <w:rPr/>
              <w:t>) of the Company shall be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15"/>
        <w:gridCol w:w="2600"/>
      </w:tblGrid>
      <w:tr>
        <w:trPr/>
        <w:tc>
          <w:tcPr>
            <w:tcW w:w="215" w:type="dxa"/>
            <w:tcBorders/>
            <w:vAlign w:val="center"/>
          </w:tcPr>
          <w:p>
            <w:pPr>
              <w:pStyle w:val="TableContents"/>
              <w:bidi w:val="0"/>
              <w:spacing w:before="0" w:after="283"/>
              <w:jc w:val="left"/>
              <w:rPr>
                <w:b/>
              </w:rPr>
            </w:pPr>
            <w:r>
              <w:rPr>
                <w:b/>
              </w:rPr>
              <w:t>3.</w:t>
            </w:r>
          </w:p>
        </w:tc>
        <w:tc>
          <w:tcPr>
            <w:tcW w:w="2600" w:type="dxa"/>
            <w:tcBorders/>
            <w:vAlign w:val="center"/>
          </w:tcPr>
          <w:p>
            <w:pPr>
              <w:pStyle w:val="TableContents"/>
              <w:bidi w:val="0"/>
              <w:spacing w:before="0" w:after="283"/>
              <w:jc w:val="both"/>
              <w:rPr>
                <w:b/>
              </w:rPr>
            </w:pPr>
            <w:r>
              <w:rPr>
                <w:b/>
              </w:rPr>
              <w:t>Company's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Clause 4 of this Agreement (</w:t>
      </w:r>
      <w:r>
        <w:rPr>
          <w:rFonts w:ascii="Times New Roman;Times;Serif" w:hAnsi="Times New Roman;Times;Serif"/>
          <w:b w:val="false"/>
          <w:i/>
          <w:caps w:val="false"/>
          <w:smallCaps w:val="false"/>
          <w:sz w:val="20"/>
        </w:rPr>
        <w:t>Permitted payments</w:t>
      </w:r>
      <w:r>
        <w:rPr>
          <w:rFonts w:ascii="Times New Roman;Times;Serif" w:hAnsi="Times New Roman;Times;Serif"/>
          <w:b w:val="false"/>
          <w:i w:val="false"/>
          <w:caps w:val="false"/>
          <w:smallCaps w:val="false"/>
          <w:sz w:val="20"/>
        </w:rPr>
        <w:t>) and except as otherwise provided by the 2029 Note Documentation, the Company is obligated towards the Holders and the Trustee not to make any payments on the Subordinated Claims, not to discharge any obligation arising out of the Subordinated Claims in any other way, not to allow any disposition in relation to the Subordinated Claims that would contravene any obligation of the Subordinated Creditors hereunder and not to exercise any right of set-off in relation to potential claims it might have against the Subordinated Creditors until the complete and final satisfaction of any and all claims of the Holders and the Trustee against the Company under or in connection with the 2029 Note Documentation.</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15"/>
        <w:gridCol w:w="2075"/>
      </w:tblGrid>
      <w:tr>
        <w:trPr/>
        <w:tc>
          <w:tcPr>
            <w:tcW w:w="215" w:type="dxa"/>
            <w:tcBorders/>
            <w:vAlign w:val="center"/>
          </w:tcPr>
          <w:p>
            <w:pPr>
              <w:pStyle w:val="TableContents"/>
              <w:bidi w:val="0"/>
              <w:spacing w:before="0" w:after="283"/>
              <w:jc w:val="left"/>
              <w:rPr>
                <w:b/>
              </w:rPr>
            </w:pPr>
            <w:r>
              <w:rPr>
                <w:b/>
              </w:rPr>
              <w:t>4.</w:t>
            </w:r>
          </w:p>
        </w:tc>
        <w:tc>
          <w:tcPr>
            <w:tcW w:w="2075" w:type="dxa"/>
            <w:tcBorders/>
            <w:vAlign w:val="center"/>
          </w:tcPr>
          <w:p>
            <w:pPr>
              <w:pStyle w:val="TableContents"/>
              <w:bidi w:val="0"/>
              <w:spacing w:before="0" w:after="283"/>
              <w:jc w:val="both"/>
              <w:rPr>
                <w:b/>
              </w:rPr>
            </w:pPr>
            <w:r>
              <w:rPr>
                <w:b/>
              </w:rPr>
              <w:t>Permitted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pPr>
            <w:r>
              <w:rPr/>
              <w:t>4.1.</w:t>
            </w:r>
          </w:p>
        </w:tc>
        <w:tc>
          <w:tcPr>
            <w:tcW w:w="9860" w:type="dxa"/>
            <w:tcBorders/>
            <w:vAlign w:val="center"/>
          </w:tcPr>
          <w:p>
            <w:pPr>
              <w:pStyle w:val="TableContents"/>
              <w:bidi w:val="0"/>
              <w:spacing w:before="0" w:after="283"/>
              <w:jc w:val="left"/>
              <w:rPr/>
            </w:pPr>
            <w:r>
              <w:rPr/>
              <w:t>Contrary to Clause 2.2 and Clause 3 above, until an Event of Default has occurred as defined in the July 2026 Indenture, the Company is entitled (i) to make payments in relation to agreed interest payable in relation to the Subordinated Claims and (ii) to repay the Loans provided that the Company has generated free cashflow generated from operations of over EUR 15 million in the twelve (12) preceding months before repayment of the Loans. The Subordinated Creditors are entitled to receive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left"/>
              <w:rPr/>
            </w:pPr>
            <w:r>
              <w:rPr/>
              <w:t>Notwithstanding Clause 4.1 of this Agreement, the Company is entitled to make payments in relation to the Partly Exempted Loan of up to EUR 800,000. Schmid Verwaltungs GmbH is entitled to receive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15"/>
        <w:gridCol w:w="965"/>
      </w:tblGrid>
      <w:tr>
        <w:trPr/>
        <w:tc>
          <w:tcPr>
            <w:tcW w:w="215" w:type="dxa"/>
            <w:tcBorders/>
            <w:vAlign w:val="center"/>
          </w:tcPr>
          <w:p>
            <w:pPr>
              <w:pStyle w:val="TableContents"/>
              <w:bidi w:val="0"/>
              <w:spacing w:before="0" w:after="283"/>
              <w:jc w:val="left"/>
              <w:rPr>
                <w:b/>
              </w:rPr>
            </w:pPr>
            <w:r>
              <w:rPr>
                <w:b/>
              </w:rPr>
              <w:t>5.</w:t>
            </w:r>
          </w:p>
        </w:tc>
        <w:tc>
          <w:tcPr>
            <w:tcW w:w="965" w:type="dxa"/>
            <w:tcBorders/>
            <w:vAlign w:val="center"/>
          </w:tcPr>
          <w:p>
            <w:pPr>
              <w:pStyle w:val="TableContents"/>
              <w:bidi w:val="0"/>
              <w:spacing w:before="0" w:after="283"/>
              <w:jc w:val="both"/>
              <w:rPr>
                <w:b/>
              </w:rPr>
            </w:pPr>
            <w:r>
              <w:rPr>
                <w:b/>
              </w:rPr>
              <w:t>Duration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remains in full force and effect until the complete and final satisfaction of all claims of the Holders and the Trustee under and in connection with the 2029 Note Documentation.</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b/>
              </w:rPr>
            </w:pPr>
            <w:r>
              <w:rPr>
                <w:b/>
              </w:rPr>
              <w:t>6.</w:t>
            </w:r>
          </w:p>
        </w:tc>
        <w:tc>
          <w:tcPr>
            <w:tcW w:w="1655" w:type="dxa"/>
            <w:tcBorders/>
            <w:vAlign w:val="center"/>
          </w:tcPr>
          <w:p>
            <w:pPr>
              <w:pStyle w:val="TableContents"/>
              <w:bidi w:val="0"/>
              <w:spacing w:before="0" w:after="283"/>
              <w:jc w:val="both"/>
              <w:rPr>
                <w:b/>
              </w:rPr>
            </w:pPr>
            <w:r>
              <w:rPr>
                <w:b/>
              </w:rPr>
              <w:t>Final provisions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395"/>
        <w:gridCol w:w="4310"/>
      </w:tblGrid>
      <w:tr>
        <w:trPr/>
        <w:tc>
          <w:tcPr>
            <w:tcW w:w="395" w:type="dxa"/>
            <w:tcBorders/>
            <w:vAlign w:val="center"/>
          </w:tcPr>
          <w:p>
            <w:pPr>
              <w:pStyle w:val="TableContents"/>
              <w:bidi w:val="0"/>
              <w:spacing w:before="0" w:after="283"/>
              <w:jc w:val="left"/>
              <w:rPr/>
            </w:pPr>
            <w:r>
              <w:rPr/>
              <w:t>6.1.</w:t>
            </w:r>
          </w:p>
        </w:tc>
        <w:tc>
          <w:tcPr>
            <w:tcW w:w="4310" w:type="dxa"/>
            <w:tcBorders/>
            <w:vAlign w:val="center"/>
          </w:tcPr>
          <w:p>
            <w:pPr>
              <w:pStyle w:val="TableContents"/>
              <w:bidi w:val="0"/>
              <w:spacing w:before="0" w:after="283"/>
              <w:jc w:val="left"/>
              <w:rPr/>
            </w:pPr>
            <w:r>
              <w:rPr/>
              <w:t>This Agreement is governed by German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6.2</w:t>
            </w:r>
          </w:p>
        </w:tc>
        <w:tc>
          <w:tcPr>
            <w:tcW w:w="9870" w:type="dxa"/>
            <w:tcBorders/>
            <w:vAlign w:val="center"/>
          </w:tcPr>
          <w:p>
            <w:pPr>
              <w:pStyle w:val="TableContents"/>
              <w:bidi w:val="0"/>
              <w:spacing w:before="0" w:after="283"/>
              <w:jc w:val="left"/>
              <w:rPr/>
            </w:pPr>
            <w:r>
              <w:rPr/>
              <w:t>Amendments to this Agreement and the waiver of a right arising from this Agreement must be executed by all Parties hereto to be effective and must expressly refer to this Agreement, unless a stricter form is required by law. This shall also apply to amendments to or the waiver of this written form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6.3</w:t>
            </w:r>
          </w:p>
        </w:tc>
        <w:tc>
          <w:tcPr>
            <w:tcW w:w="9870" w:type="dxa"/>
            <w:tcBorders/>
            <w:vAlign w:val="center"/>
          </w:tcPr>
          <w:p>
            <w:pPr>
              <w:pStyle w:val="TableContents"/>
              <w:bidi w:val="0"/>
              <w:spacing w:before="0" w:after="283"/>
              <w:jc w:val="left"/>
              <w:rPr/>
            </w:pPr>
            <w:r>
              <w:rPr/>
              <w:t>If any provision of this Agreement is or becomes invalid or unenforceable in whole or in part, this shall not affect the validity of the remaining provisions of this Agreement. The invalid or unenforceable provisions shall be replaced by an appropriate provision which - as far as legally possible - comes as close as possible to what the Parties intended economically or would have intended according to the purpose of the 2029 Note Documentation if they had considered the unenforceability or invalidity when concluding this Agreement. The same shall apply to the filling of any gaps in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5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1 OF 3 OF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Schmid</w:t>
      </w:r>
    </w:p>
    <w:p>
      <w:pPr>
        <w:pStyle w:val="TextBody"/>
        <w:bidi w:val="0"/>
        <w:spacing w:before="0" w:after="0"/>
        <w:ind w:left="0" w:right="0" w:firstLine="36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965"/>
        <w:gridCol w:w="1985"/>
        <w:gridCol w:w="75"/>
      </w:tblGrid>
      <w:tr>
        <w:trPr/>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13.7.2026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355"/>
        <w:gridCol w:w="1985"/>
        <w:gridCol w:w="75"/>
      </w:tblGrid>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Schmid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13.7.2026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Grundstücke GmbH &amp; Co. KG</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355"/>
        <w:gridCol w:w="1985"/>
        <w:gridCol w:w="75"/>
      </w:tblGrid>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Anette Schmid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Freudenstadt, 13.7.2026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6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2 OF 3 OF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Verwaltungs GmbH</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355"/>
        <w:gridCol w:w="1985"/>
        <w:gridCol w:w="75"/>
      </w:tblGrid>
      <w:tr>
        <w:trPr/>
        <w:tc>
          <w:tcPr>
            <w:tcW w:w="1355" w:type="dxa"/>
            <w:tcBorders/>
            <w:vAlign w:val="center"/>
          </w:tcPr>
          <w:p>
            <w:pPr>
              <w:pStyle w:val="TableContents"/>
              <w:bidi w:val="0"/>
              <w:spacing w:before="0" w:after="283"/>
              <w:jc w:val="left"/>
              <w:rPr>
                <w:sz w:val="20"/>
              </w:rPr>
            </w:pPr>
            <w:r>
              <w:rPr>
                <w:sz w:val="20"/>
              </w:rPr>
              <w:t>Represented by:</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Christian Schmid</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Place, date:</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Freudenstadt, 13.7.2026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Signature:</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Gebr. Schmid GmbH</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355"/>
        <w:gridCol w:w="1985"/>
        <w:gridCol w:w="75"/>
      </w:tblGrid>
      <w:tr>
        <w:trPr/>
        <w:tc>
          <w:tcPr>
            <w:tcW w:w="1355" w:type="dxa"/>
            <w:tcBorders/>
            <w:vAlign w:val="center"/>
          </w:tcPr>
          <w:p>
            <w:pPr>
              <w:pStyle w:val="TableContents"/>
              <w:bidi w:val="0"/>
              <w:spacing w:before="0" w:after="283"/>
              <w:jc w:val="left"/>
              <w:rPr>
                <w:sz w:val="20"/>
              </w:rPr>
            </w:pPr>
            <w:r>
              <w:rPr>
                <w:sz w:val="20"/>
              </w:rPr>
              <w:t>Represented by:</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Julia Nattarer, CFO</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Place, date:</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Freudenstadt, 13.7.2026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Signature:</w:t>
            </w:r>
          </w:p>
        </w:tc>
        <w:tc>
          <w:tcPr>
            <w:tcW w:w="19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Savings Fund Society, FSB</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355"/>
        <w:gridCol w:w="1220"/>
        <w:gridCol w:w="75"/>
      </w:tblGrid>
      <w:tr>
        <w:trPr/>
        <w:tc>
          <w:tcPr>
            <w:tcW w:w="1355" w:type="dxa"/>
            <w:tcBorders/>
            <w:vAlign w:val="center"/>
          </w:tcPr>
          <w:p>
            <w:pPr>
              <w:pStyle w:val="TableContents"/>
              <w:bidi w:val="0"/>
              <w:spacing w:before="0" w:after="283"/>
              <w:jc w:val="left"/>
              <w:rPr>
                <w:sz w:val="20"/>
              </w:rPr>
            </w:pPr>
            <w:r>
              <w:rPr>
                <w:sz w:val="20"/>
              </w:rPr>
              <w:t>Represented by:</w:t>
            </w:r>
          </w:p>
        </w:tc>
        <w:tc>
          <w:tcPr>
            <w:tcW w:w="1220" w:type="dxa"/>
            <w:tcBorders>
              <w:bottom w:val="single" w:sz="8" w:space="0" w:color="000000"/>
            </w:tcBorders>
            <w:tcMar>
              <w:bottom w:w="28" w:type="dxa"/>
            </w:tcMar>
            <w:vAlign w:val="center"/>
          </w:tcPr>
          <w:p>
            <w:pPr>
              <w:pStyle w:val="TableContents"/>
              <w:bidi w:val="0"/>
              <w:spacing w:before="0" w:after="283"/>
              <w:jc w:val="left"/>
              <w:rPr>
                <w:sz w:val="20"/>
              </w:rPr>
            </w:pPr>
            <w:r>
              <w:rPr>
                <w:sz w:val="20"/>
              </w:rPr>
              <w:t>Anita Woolery</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Place, date:</w:t>
            </w:r>
          </w:p>
        </w:tc>
        <w:tc>
          <w:tcPr>
            <w:tcW w:w="1220" w:type="dxa"/>
            <w:tcBorders>
              <w:bottom w:val="single" w:sz="8" w:space="0" w:color="000000"/>
            </w:tcBorders>
            <w:tcMar>
              <w:bottom w:w="28" w:type="dxa"/>
            </w:tcMar>
            <w:vAlign w:val="center"/>
          </w:tcPr>
          <w:p>
            <w:pPr>
              <w:pStyle w:val="TableContents"/>
              <w:bidi w:val="0"/>
              <w:spacing w:before="0" w:after="283"/>
              <w:jc w:val="left"/>
              <w:rPr>
                <w:sz w:val="20"/>
              </w:rPr>
            </w:pPr>
            <w:r>
              <w:rPr>
                <w:sz w:val="20"/>
              </w:rPr>
              <w:t>7/14/26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Signature:</w:t>
            </w:r>
          </w:p>
        </w:tc>
        <w:tc>
          <w:tcPr>
            <w:tcW w:w="12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7 of 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3 OF 3 OF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Linden Capital L.P., on behalf of certain advised or managed funds and accounts</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355"/>
        <w:gridCol w:w="2345"/>
        <w:gridCol w:w="75"/>
      </w:tblGrid>
      <w:tr>
        <w:trPr/>
        <w:tc>
          <w:tcPr>
            <w:tcW w:w="1355" w:type="dxa"/>
            <w:tcBorders/>
            <w:vAlign w:val="center"/>
          </w:tcPr>
          <w:p>
            <w:pPr>
              <w:pStyle w:val="TableContents"/>
              <w:bidi w:val="0"/>
              <w:spacing w:before="0" w:after="283"/>
              <w:jc w:val="left"/>
              <w:rPr>
                <w:sz w:val="20"/>
              </w:rPr>
            </w:pPr>
            <w:r>
              <w:rPr>
                <w:sz w:val="20"/>
              </w:rPr>
              <w:t>Represented by:</w:t>
            </w:r>
          </w:p>
        </w:tc>
        <w:tc>
          <w:tcPr>
            <w:tcW w:w="23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Saul Ahn</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Place, date:</w:t>
            </w:r>
          </w:p>
        </w:tc>
        <w:tc>
          <w:tcPr>
            <w:tcW w:w="2345" w:type="dxa"/>
            <w:tcBorders>
              <w:bottom w:val="single" w:sz="8" w:space="0" w:color="000000"/>
            </w:tcBorders>
            <w:tcMar>
              <w:bottom w:w="28" w:type="dxa"/>
            </w:tcMar>
            <w:vAlign w:val="center"/>
          </w:tcPr>
          <w:p>
            <w:pPr>
              <w:pStyle w:val="TableContents"/>
              <w:bidi w:val="0"/>
              <w:spacing w:before="0" w:after="283"/>
              <w:jc w:val="left"/>
              <w:rPr>
                <w:sz w:val="20"/>
              </w:rPr>
            </w:pPr>
            <w:r>
              <w:rPr>
                <w:sz w:val="20"/>
              </w:rPr>
              <w:t>New York, NY July 14,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Signature:</w:t>
            </w:r>
          </w:p>
        </w:tc>
        <w:tc>
          <w:tcPr>
            <w:tcW w:w="23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Crown Managed Accounts SPC, acting for and on behalf of Crown/Linden Segregated Portfolio</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355"/>
        <w:gridCol w:w="2435"/>
        <w:gridCol w:w="75"/>
      </w:tblGrid>
      <w:tr>
        <w:trPr/>
        <w:tc>
          <w:tcPr>
            <w:tcW w:w="1355" w:type="dxa"/>
            <w:tcBorders/>
            <w:vAlign w:val="center"/>
          </w:tcPr>
          <w:p>
            <w:pPr>
              <w:pStyle w:val="TableContents"/>
              <w:bidi w:val="0"/>
              <w:spacing w:before="0" w:after="283"/>
              <w:jc w:val="left"/>
              <w:rPr>
                <w:sz w:val="20"/>
              </w:rPr>
            </w:pPr>
            <w:r>
              <w:rPr>
                <w:sz w:val="20"/>
              </w:rPr>
              <w:t>Represented by:</w:t>
            </w:r>
          </w:p>
        </w:tc>
        <w:tc>
          <w:tcPr>
            <w:tcW w:w="2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Linden Advisors LP Saul Ahn</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Place, date:</w:t>
            </w:r>
          </w:p>
        </w:tc>
        <w:tc>
          <w:tcPr>
            <w:tcW w:w="2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New York, NY July 14,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Signature:</w:t>
            </w:r>
          </w:p>
        </w:tc>
        <w:tc>
          <w:tcPr>
            <w:tcW w:w="24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PCH Manager Fund, SPC, on behalf of and for the account of Segregated Portfolio 214</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355"/>
        <w:gridCol w:w="2915"/>
        <w:gridCol w:w="75"/>
      </w:tblGrid>
      <w:tr>
        <w:trPr/>
        <w:tc>
          <w:tcPr>
            <w:tcW w:w="1355" w:type="dxa"/>
            <w:tcBorders/>
            <w:vAlign w:val="center"/>
          </w:tcPr>
          <w:p>
            <w:pPr>
              <w:pStyle w:val="TableContents"/>
              <w:bidi w:val="0"/>
              <w:spacing w:before="0" w:after="283"/>
              <w:jc w:val="left"/>
              <w:rPr>
                <w:sz w:val="20"/>
              </w:rPr>
            </w:pPr>
            <w:r>
              <w:rPr>
                <w:sz w:val="20"/>
              </w:rPr>
              <w:t>Represented by:</w:t>
            </w:r>
          </w:p>
        </w:tc>
        <w:tc>
          <w:tcPr>
            <w:tcW w:w="2915" w:type="dxa"/>
            <w:tcBorders>
              <w:bottom w:val="single" w:sz="8" w:space="0" w:color="000000"/>
            </w:tcBorders>
            <w:tcMar>
              <w:bottom w:w="28" w:type="dxa"/>
            </w:tcMar>
            <w:vAlign w:val="center"/>
          </w:tcPr>
          <w:p>
            <w:pPr>
              <w:pStyle w:val="TableContents"/>
              <w:bidi w:val="0"/>
              <w:spacing w:before="0" w:after="283"/>
              <w:jc w:val="left"/>
              <w:rPr/>
            </w:pPr>
            <w:r>
              <w:rPr/>
              <w:t>Linden Advisors LP Saul Ahn</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Place, date:</w:t>
            </w:r>
          </w:p>
        </w:tc>
        <w:tc>
          <w:tcPr>
            <w:tcW w:w="2915" w:type="dxa"/>
            <w:tcBorders>
              <w:bottom w:val="single" w:sz="8" w:space="0" w:color="000000"/>
            </w:tcBorders>
            <w:tcMar>
              <w:bottom w:w="28" w:type="dxa"/>
            </w:tcMar>
            <w:vAlign w:val="center"/>
          </w:tcPr>
          <w:p>
            <w:pPr>
              <w:pStyle w:val="TableContents"/>
              <w:bidi w:val="0"/>
              <w:spacing w:before="0" w:after="283"/>
              <w:jc w:val="left"/>
              <w:rPr>
                <w:sz w:val="20"/>
              </w:rPr>
            </w:pPr>
            <w:r>
              <w:rPr>
                <w:sz w:val="20"/>
              </w:rPr>
              <w:t>New York, NY July 14,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20"/>
              </w:rPr>
            </w:pPr>
            <w:r>
              <w:rPr>
                <w:sz w:val="20"/>
              </w:rPr>
              <w:t>Signature:</w:t>
            </w:r>
          </w:p>
        </w:tc>
        <w:tc>
          <w:tcPr>
            <w:tcW w:w="29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8 of 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620429d1_ex10-4.htm"/>
      <w:bookmarkStart w:id="9" w:name="kstm2620429d1_ex104"/>
      <w:bookmarkEnd w:id="8"/>
      <w:bookmarkEnd w:id="9"/>
      <w:r>
        <w:rPr/>
        <w:t> </w:t>
      </w:r>
      <w:r>
        <w:br w:type="page"/>
      </w:r>
    </w:p>
    <w:p>
      <w:pPr>
        <w:pStyle w:val="TextBody"/>
        <w:bidi w:val="0"/>
        <w:jc w:val="right"/>
        <w:rPr>
          <w:b/>
        </w:rPr>
      </w:pPr>
      <w:r>
        <w:rPr>
          <w:b/>
        </w:rPr>
        <w:t>Exhibit 10.4</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AMENDEND AND RESTATED SUBORDINATION AGREEMENT</w:t>
        <w:br/>
        <w:t>(GEÄNDERTE UND NEUGEFASSTE RANGRÜCKTRITTSVEREINBARUNG)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283"/>
              <w:jc w:val="left"/>
              <w:rPr/>
            </w:pPr>
            <w:r>
              <w:rPr>
                <w:b/>
              </w:rPr>
              <w:t>Christian Schmid</w:t>
            </w:r>
            <w:r>
              <w:rPr/>
              <w:t>, resident of Germany with business address Robert-Bosch-Str. 32-36, 72250 Freudenstadt, Germany,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left"/>
              <w:rPr/>
            </w:pPr>
            <w:r>
              <w:rPr>
                <w:b/>
              </w:rPr>
              <w:t>SCHMID Group N.V.</w:t>
            </w:r>
            <w:r>
              <w:rPr/>
              <w:t>, a public limited liability company (</w:t>
            </w:r>
            <w:r>
              <w:rPr>
                <w:i/>
              </w:rPr>
              <w:t>naamloze vennootschap</w:t>
            </w:r>
            <w:r>
              <w:rPr/>
              <w:t>) organized under the laws of the Kingdom of the Netherlands with registered office at Robert-Bosch-Straße 32-36, 72250 Freudenstadt, registered with the chamber of commerce of Amsterdam under KVK 89188276,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283"/>
              <w:jc w:val="left"/>
              <w:rPr/>
            </w:pPr>
            <w:r>
              <w:rPr>
                <w:b/>
              </w:rPr>
              <w:t>Schmid Grundstücke GmbH &amp; Co. KG</w:t>
            </w:r>
            <w:r>
              <w:rPr/>
              <w:t>, a limited liability partnership (</w:t>
            </w:r>
            <w:r>
              <w:rPr>
                <w:i/>
              </w:rPr>
              <w:t>Kommanditgesellschaft</w:t>
            </w:r>
            <w:r>
              <w:rPr/>
              <w:t>) organized under the laws of Germany with registered office at Robert-Bosch-Straße 32-36, 72250 Freudenstadt, registered in the commercial register of the local court of Stuttgart under HRA 726509,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b/>
              </w:rPr>
              <w:t>Schmid Verwaltungs GmbH</w:t>
            </w:r>
            <w:r>
              <w:rPr/>
              <w:t>, a limited liability company (</w:t>
            </w:r>
            <w:r>
              <w:rPr>
                <w:i/>
              </w:rPr>
              <w:t>Gesellschaft mit beschränkter Haftung</w:t>
            </w:r>
            <w:r>
              <w:rPr/>
              <w:t>) incorporated under the laws of Germany with registered office at Robert-Bosch-Straße 32-36, 72250 Freudenstadt, registered in the commercial register of the local court of Stuttgart under HRB 731113,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Subordinated Creditor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Subordinated Creditors 1 to 4 are collectively referred to as the "</w:t>
      </w:r>
      <w:r>
        <w:rPr>
          <w:rFonts w:ascii="Times New Roman;Times;Serif" w:hAnsi="Times New Roman;Times;Serif"/>
          <w:b/>
          <w:i w:val="false"/>
          <w:caps w:val="false"/>
          <w:smallCaps w:val="false"/>
          <w:sz w:val="20"/>
        </w:rPr>
        <w:t>Subordinated Creditors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5.</w:t>
            </w:r>
          </w:p>
        </w:tc>
        <w:tc>
          <w:tcPr>
            <w:tcW w:w="9976" w:type="dxa"/>
            <w:tcBorders/>
            <w:vAlign w:val="center"/>
          </w:tcPr>
          <w:p>
            <w:pPr>
              <w:pStyle w:val="TableContents"/>
              <w:bidi w:val="0"/>
              <w:spacing w:before="0" w:after="283"/>
              <w:jc w:val="left"/>
              <w:rPr/>
            </w:pPr>
            <w:r>
              <w:rPr>
                <w:b/>
              </w:rPr>
              <w:t xml:space="preserve">Anette Schmid, </w:t>
            </w:r>
            <w:r>
              <w:rPr/>
              <w:t>resident of Germany with business address Robert-Bosch-Str. 32-36, 72250 Freudenstadt, Germany,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Former Subordinated Creditor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6.</w:t>
            </w:r>
          </w:p>
        </w:tc>
        <w:tc>
          <w:tcPr>
            <w:tcW w:w="10010" w:type="dxa"/>
            <w:tcBorders/>
            <w:vAlign w:val="center"/>
          </w:tcPr>
          <w:p>
            <w:pPr>
              <w:pStyle w:val="TableContents"/>
              <w:bidi w:val="0"/>
              <w:spacing w:before="0" w:after="283"/>
              <w:jc w:val="left"/>
              <w:rPr/>
            </w:pPr>
            <w:r>
              <w:rPr>
                <w:b/>
              </w:rPr>
              <w:t>Gebr. Schmid GmbH</w:t>
            </w:r>
            <w:r>
              <w:rPr/>
              <w:t>, a limited liability company (</w:t>
            </w:r>
            <w:r>
              <w:rPr>
                <w:i/>
              </w:rPr>
              <w:t>Gesellschaft mit beschränkter Haftung</w:t>
            </w:r>
            <w:r>
              <w:rPr/>
              <w:t>) incorporated under the laws of Germany with registered office at Robert-Bosch-Straße 32-36, 72250 Freudenstadt, registered in the commercial register of the local court of Stuttgart under HRB 738354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283"/>
              <w:jc w:val="left"/>
              <w:rPr/>
            </w:pPr>
            <w:r>
              <w:rPr>
                <w:b/>
              </w:rPr>
              <w:t>Wilmington Savings Fund Society, FSB</w:t>
            </w:r>
            <w:r>
              <w:rPr/>
              <w:t>, 500 Delaware Avenue, 11th Floor, Wilmington, DE 19801,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8.</w:t>
            </w:r>
          </w:p>
        </w:tc>
        <w:tc>
          <w:tcPr>
            <w:tcW w:w="9983" w:type="dxa"/>
            <w:tcBorders/>
            <w:vAlign w:val="center"/>
          </w:tcPr>
          <w:p>
            <w:pPr>
              <w:pStyle w:val="TableContents"/>
              <w:bidi w:val="0"/>
              <w:spacing w:before="0" w:after="283"/>
              <w:jc w:val="left"/>
              <w:rPr/>
            </w:pPr>
            <w:r>
              <w:rPr>
                <w:b/>
              </w:rPr>
              <w:t>Linden Capital L.P.</w:t>
            </w:r>
            <w:r>
              <w:rPr/>
              <w:t>, 590 Madison Avenue, 32nd Floor, NY, NY 10022, on behalf of certain advised or managed funds and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 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9.</w:t>
            </w:r>
          </w:p>
        </w:tc>
        <w:tc>
          <w:tcPr>
            <w:tcW w:w="9988" w:type="dxa"/>
            <w:tcBorders/>
            <w:vAlign w:val="center"/>
          </w:tcPr>
          <w:p>
            <w:pPr>
              <w:pStyle w:val="TableContents"/>
              <w:bidi w:val="0"/>
              <w:spacing w:before="0" w:after="283"/>
              <w:jc w:val="left"/>
              <w:rPr/>
            </w:pPr>
            <w:r>
              <w:rPr>
                <w:b/>
              </w:rPr>
              <w:t>Crown Managed Accounts SPC</w:t>
            </w:r>
            <w:r>
              <w:rPr/>
              <w:t>, 590 Madison Avenue, 32nd Floor, NY, NY 10022, acting for and on behalf of Crown/Linden Segregated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10.</w:t>
            </w:r>
          </w:p>
        </w:tc>
        <w:tc>
          <w:tcPr>
            <w:tcW w:w="9866" w:type="dxa"/>
            <w:tcBorders/>
            <w:vAlign w:val="center"/>
          </w:tcPr>
          <w:p>
            <w:pPr>
              <w:pStyle w:val="TableContents"/>
              <w:bidi w:val="0"/>
              <w:spacing w:before="0" w:after="283"/>
              <w:jc w:val="left"/>
              <w:rPr/>
            </w:pPr>
            <w:r>
              <w:rPr>
                <w:b/>
              </w:rPr>
              <w:t>PCH Manager Fund, SPC</w:t>
            </w:r>
            <w:r>
              <w:rPr/>
              <w:t>, 590 Madison Avenue, 32nd Floor, NY, NY 10022, on behalf of and for the account of Segregated Portfolio 214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Purchaser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Purchasers 1 to 3 are collectively referred to as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Subordinated Creditors, Former Subordinated Creditor, Company, Trustee, and Purchasers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(A)</w:t>
            </w:r>
          </w:p>
        </w:tc>
        <w:tc>
          <w:tcPr>
            <w:tcW w:w="9867" w:type="dxa"/>
            <w:tcBorders/>
            <w:vAlign w:val="center"/>
          </w:tcPr>
          <w:p>
            <w:pPr>
              <w:pStyle w:val="TableContents"/>
              <w:bidi w:val="0"/>
              <w:spacing w:before="0" w:after="283"/>
              <w:jc w:val="left"/>
              <w:rPr/>
            </w:pPr>
            <w:r>
              <w:rPr/>
              <w:t>The Company's shareholder, SCHMID GROUP N.V., a Dutch public limited liability company ("</w:t>
            </w:r>
            <w:r>
              <w:rPr>
                <w:b/>
              </w:rPr>
              <w:t>Shareholder</w:t>
            </w:r>
            <w:r>
              <w:rPr/>
              <w:t>"), has authorized the issuance of its 7.000% Convertible Senior PIK Toggle Notes due 2028 (the "</w:t>
            </w:r>
            <w:r>
              <w:rPr>
                <w:b/>
              </w:rPr>
              <w:t>2028 Notes</w:t>
            </w:r>
            <w:r>
              <w:rPr/>
              <w:t>") in the nominal amount of USD 30,000,000.00.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283"/>
              <w:jc w:val="left"/>
              <w:rPr/>
            </w:pPr>
            <w:r>
              <w:rPr/>
              <w:t>The Purchasers agreed to purchase the 2028 Notes under that certain Investment Agreement by and among Shareholder, the Company and the Purchasers signatory thereto, dated as of January 18,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(C)</w:t>
            </w:r>
          </w:p>
        </w:tc>
        <w:tc>
          <w:tcPr>
            <w:tcW w:w="9845" w:type="dxa"/>
            <w:tcBorders/>
            <w:vAlign w:val="center"/>
          </w:tcPr>
          <w:p>
            <w:pPr>
              <w:pStyle w:val="TableContents"/>
              <w:bidi w:val="0"/>
              <w:spacing w:before="0" w:after="283"/>
              <w:jc w:val="left"/>
              <w:rPr/>
            </w:pPr>
            <w:r>
              <w:rPr/>
              <w:t>The Company, the Shareholder and the Trustee signed an indenture on January 21, 2026 ("</w:t>
            </w:r>
            <w:r>
              <w:rPr>
                <w:b/>
              </w:rPr>
              <w:t>January 2026 Indenture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283"/>
              <w:jc w:val="left"/>
              <w:rPr/>
            </w:pPr>
            <w:r>
              <w:rPr/>
              <w:t>Under Section 13.01 (a) of the January 2026 Indenture, the Company and other guarantors guaranteed, subject to Article 13 of the January 2026 Indenture, fully unconditionally and irrevocably, jointly and severally, as primary obligor and not merely as surety, to each Holder (as such term is defined in the January 2026 Indenture) of the 2028 Notes and to the Trustee the full and punctual payment or delivery of the principal amount of the 2028 Notes, any amounts due upon conversion, and all other obligations of the Shareholder under the January 2026 Indenture and the 2028 Notes (the "</w:t>
            </w:r>
            <w:r>
              <w:rPr>
                <w:b/>
              </w:rPr>
              <w:t>Obligations</w:t>
            </w:r>
            <w:r>
              <w:rPr/>
              <w:t>") to the Trustee and to the Holders, and each guarantor further agreed (to the extent permitted by law) that the Obligations may be extended or renewed, in whole or in part, without notice or further assent from it, and that it shall remain bound under Article 13 of the January 2026 Indenture notwithstanding any extension or renewal of any Obligation ("</w:t>
            </w:r>
            <w:r>
              <w:rPr>
                <w:b/>
              </w:rPr>
              <w:t>2028 Notes Guarantee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283"/>
              <w:jc w:val="left"/>
              <w:rPr/>
            </w:pPr>
            <w:r>
              <w:rPr/>
              <w:t>Exhibit B to the January 2026 Indenture contains limitations on the enforcement of the 2028 Notes Guarantee that apply to the Company and other German guarantors. Under Clause (ii) (C) of the Net Assets definition in Exhibit B to the January 2026 Indenture, the limitation's scope depends in part on the amount of subordinated loans and other liabilities.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(F)</w:t>
            </w:r>
          </w:p>
        </w:tc>
        <w:tc>
          <w:tcPr>
            <w:tcW w:w="9911" w:type="dxa"/>
            <w:tcBorders/>
            <w:vAlign w:val="center"/>
          </w:tcPr>
          <w:p>
            <w:pPr>
              <w:pStyle w:val="TableContents"/>
              <w:bidi w:val="0"/>
              <w:spacing w:before="0" w:after="283"/>
              <w:jc w:val="left"/>
              <w:rPr/>
            </w:pPr>
            <w:r>
              <w:rPr/>
              <w:t>The Subordinated Creditors 1, 3 and 4, the Former Subordinated Creditor, the Company, the Trustee, and the Purchasers signed a subordination agreement on January 21, 2026 to subordinate certain obligations ("</w:t>
            </w:r>
            <w:r>
              <w:rPr>
                <w:b/>
              </w:rPr>
              <w:t>January 2026 Subordination Agreement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(G)</w:t>
            </w:r>
          </w:p>
        </w:tc>
        <w:tc>
          <w:tcPr>
            <w:tcW w:w="9870" w:type="dxa"/>
            <w:tcBorders/>
            <w:vAlign w:val="center"/>
          </w:tcPr>
          <w:p>
            <w:pPr>
              <w:pStyle w:val="TableContents"/>
              <w:bidi w:val="0"/>
              <w:spacing w:before="0" w:after="283"/>
              <w:jc w:val="left"/>
              <w:rPr/>
            </w:pPr>
            <w:r>
              <w:rPr/>
              <w:t>The Shareholder, the Company and the Purchasers signatory thereto, signed another investment agreement on July 7, 2026 in relation to the purchase of 5.000% Convertible Senior PIK Toggle Notes due 2029 in the nominal amount of USD 20,000,000.00 ("</w:t>
            </w:r>
            <w:r>
              <w:rPr>
                <w:b/>
              </w:rPr>
              <w:t>July 2026 Investment Agreement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(H)</w:t>
            </w:r>
          </w:p>
        </w:tc>
        <w:tc>
          <w:tcPr>
            <w:tcW w:w="9866" w:type="dxa"/>
            <w:tcBorders/>
            <w:vAlign w:val="center"/>
          </w:tcPr>
          <w:p>
            <w:pPr>
              <w:pStyle w:val="TableContents"/>
              <w:bidi w:val="0"/>
              <w:spacing w:before="0" w:after="283"/>
              <w:jc w:val="left"/>
              <w:rPr/>
            </w:pPr>
            <w:r>
              <w:rPr/>
              <w:t>Under Section 2.02 (d) (ix) of the July 2026 Investment Agreement, the Subordinated Creditors shall have executed a subordination agreement in relation the shareholder loans and property loans made to the Company ("</w:t>
            </w:r>
            <w:r>
              <w:rPr>
                <w:b/>
              </w:rPr>
              <w:t>July 2026 Subordination Agreement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73" w:type="dxa"/>
            <w:tcBorders/>
            <w:vAlign w:val="center"/>
          </w:tcPr>
          <w:p>
            <w:pPr>
              <w:pStyle w:val="TableContents"/>
              <w:bidi w:val="0"/>
              <w:spacing w:before="0" w:after="283"/>
              <w:jc w:val="left"/>
              <w:rPr/>
            </w:pPr>
            <w:r>
              <w:rPr/>
              <w:t>Under Section 2.02 (d) (x) of the July 2026 Investment Agreement, the Subordinated Creditors shall have executed an amended and restated version of the January 2026 Subordination Agreement which in its substantive terms is equivalent to the July 2026 Subordination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Amendment and Restatement of the January 2026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amends and restates the January 2026 Subordination Agreement. With its execution it supersedes and replaces the entire January 2026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Outstanding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owes the Subordinated Creditors certain amounts under the following obligations (the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28" w:type="dxa"/>
          <w:left w:w="28" w:type="dxa"/>
          <w:bottom w:w="28" w:type="dxa"/>
          <w:right w:w="28" w:type="dxa"/>
        </w:tblCellMar>
      </w:tblPr>
      <w:tblGrid>
        <w:gridCol w:w="6185"/>
        <w:gridCol w:w="2262"/>
        <w:gridCol w:w="1758"/>
      </w:tblGrid>
      <w:tr>
        <w:trPr/>
        <w:tc>
          <w:tcPr>
            <w:tcW w:w="6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Contract/Date</w:t>
            </w:r>
          </w:p>
        </w:tc>
        <w:tc>
          <w:tcPr>
            <w:tcW w:w="22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Subordinated Creditor</w:t>
            </w:r>
          </w:p>
        </w:tc>
        <w:tc>
          <w:tcPr>
            <w:tcW w:w="17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Nominal amount in EUR</w:t>
              <w:br/>
              <w:t>outstanding on July 7, 2026</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December 31, 2024 (the "</w:t>
            </w:r>
            <w:r>
              <w:rPr>
                <w:rFonts w:ascii="Times New Roman;Times;Serif" w:hAnsi="Times New Roman;Times;Serif"/>
                <w:b/>
                <w:sz w:val="20"/>
              </w:rPr>
              <w:t>Exempted Loan I</w:t>
            </w:r>
            <w:r>
              <w:rPr>
                <w:rFonts w:ascii="Times New Roman;Times;Serif" w:hAnsi="Times New Roman;Times;Serif"/>
                <w:sz w:val="20"/>
              </w:rPr>
              <w:t>")</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Schmid Grundstücke GmbH &amp; Co. KG </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December 31, 2024</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November 18, 2018 (the "</w:t>
            </w:r>
            <w:r>
              <w:rPr>
                <w:rFonts w:ascii="Times New Roman;Times;Serif" w:hAnsi="Times New Roman;Times;Serif"/>
                <w:b/>
                <w:sz w:val="20"/>
              </w:rPr>
              <w:t>Exempted Loan II</w:t>
            </w:r>
            <w:r>
              <w:rPr>
                <w:rFonts w:ascii="Times New Roman;Times;Serif" w:hAnsi="Times New Roman;Times;Serif"/>
                <w:sz w:val="20"/>
              </w:rPr>
              <w:t>" and together with Exempted Loan I, the "</w:t>
            </w:r>
            <w:r>
              <w:rPr>
                <w:rFonts w:ascii="Times New Roman;Times;Serif" w:hAnsi="Times New Roman;Times;Serif"/>
                <w:b/>
                <w:sz w:val="20"/>
              </w:rPr>
              <w:t>Exempted Loans</w:t>
            </w:r>
            <w:r>
              <w:rPr>
                <w:rFonts w:ascii="Times New Roman;Times;Serif" w:hAnsi="Times New Roman;Times;Serif"/>
                <w:sz w:val="20"/>
              </w:rPr>
              <w:t>")</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 Wein</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1,623,892</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July 3, 2025</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65,434</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account property loan dated December 31, 2024</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Grundstücke GmbH &amp; Co. KG</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424,728</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loan dated July 9, 2025 (the "</w:t>
            </w:r>
            <w:r>
              <w:rPr>
                <w:rFonts w:ascii="Times New Roman;Times;Serif" w:hAnsi="Times New Roman;Times;Serif"/>
                <w:b/>
                <w:sz w:val="20"/>
              </w:rPr>
              <w:t>Partly Exempted Loan</w:t>
            </w:r>
            <w:r>
              <w:rPr>
                <w:rFonts w:ascii="Times New Roman;Times;Serif" w:hAnsi="Times New Roman;Times;Serif"/>
                <w:sz w:val="20"/>
              </w:rPr>
              <w:t>")</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Verwaltungs GmbH</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2,050,408</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agreement dated January 15, 2021</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Christian Schmid</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2,816,417</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13,850,000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2,400,000</w:t>
            </w:r>
          </w:p>
        </w:tc>
      </w:tr>
      <w:tr>
        <w:trPr/>
        <w:tc>
          <w:tcPr>
            <w:tcW w:w="6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assumption agreement dated April 24, 2026</w:t>
            </w:r>
          </w:p>
        </w:tc>
        <w:tc>
          <w:tcPr>
            <w:tcW w:w="22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c>
          <w:tcPr>
            <w:tcW w:w="17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6,500,000</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 of 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Subordination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3.1.</w:t>
            </w:r>
          </w:p>
        </w:tc>
        <w:tc>
          <w:tcPr>
            <w:tcW w:w="9839" w:type="dxa"/>
            <w:tcBorders/>
            <w:vAlign w:val="center"/>
          </w:tcPr>
          <w:p>
            <w:pPr>
              <w:pStyle w:val="TableContents"/>
              <w:bidi w:val="0"/>
              <w:spacing w:before="0" w:after="283"/>
              <w:jc w:val="left"/>
              <w:rPr/>
            </w:pPr>
            <w:r>
              <w:rPr/>
              <w:t>With effect from the signing of this Agreement, the Subordinated Creditors subordinate any claims (including interest and costs) they may have against the Company under or in connection with the Loans stated above, now or in the future, conditionally or unconditionally, independent from their cause in law and the governing law of the underlying contract, except for the Exempted Loans (the "</w:t>
            </w:r>
            <w:r>
              <w:rPr>
                <w:b/>
              </w:rPr>
              <w:t>Subordinated Claims</w:t>
            </w:r>
            <w:r>
              <w:rPr/>
              <w:t>"), to any and all claims the Holders and the Trustee might now or in the future have against the Company under the 2028 Notes Guarantee.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4"/>
        <w:gridCol w:w="9844"/>
      </w:tblGrid>
      <w:tr>
        <w:trPr/>
        <w:tc>
          <w:tcPr>
            <w:tcW w:w="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3.2.</w:t>
            </w:r>
          </w:p>
        </w:tc>
        <w:tc>
          <w:tcPr>
            <w:tcW w:w="9844" w:type="dxa"/>
            <w:tcBorders/>
            <w:vAlign w:val="center"/>
          </w:tcPr>
          <w:p>
            <w:pPr>
              <w:pStyle w:val="TableContents"/>
              <w:bidi w:val="0"/>
              <w:spacing w:before="0" w:after="283"/>
              <w:jc w:val="left"/>
              <w:rPr/>
            </w:pPr>
            <w:r>
              <w:rPr/>
              <w:t>Except as permitted under Clause 5 of this Agreement, the Subordinated Creditors are obligated, until the final and complete satisfaction of all claims of the Holders and the Trustee against the Company under the January 2026 Indenture, including the 2028 Notes Guarantee under Article 13 of the January 2026 Indenture, and the 2028 Notes ("</w:t>
            </w:r>
            <w:r>
              <w:rPr>
                <w:b/>
              </w:rPr>
              <w:t>2028 Note Documentation</w:t>
            </w:r>
            <w:r>
              <w:rPr/>
              <w:t xml:space="preserve">") not to collect any of their Subordinated Claims, in particular not to accept any payment with regard to the Subordinated Claims; not to exercise any right to set-off with any of the Subordinated Claims against the Company; not to dispose of the Subordinated Claims, in particular not to terminate or waive them, not to assign or pledge them to third parties unless such third parties have acceded to this Agreement nor to bring them into circulation by virtue of bills of exchange and not to have them secured; not to subordinate the Subordinated Claims to any claims of a third party (other than the Holders and the Trustee); and not to accept any security or guarantee, or allow such security or guarantee to come into existence or subsist with respect to the Subordinated Claims, </w:t>
            </w:r>
            <w:r>
              <w:rPr>
                <w:i/>
              </w:rPr>
              <w:t>provided that</w:t>
            </w:r>
            <w:r>
              <w:rPr/>
              <w:t xml:space="preserve"> a conversion of any of the Loans (or any part of any of the Loans) into the equity (</w:t>
            </w:r>
            <w:r>
              <w:rPr>
                <w:i/>
              </w:rPr>
              <w:t>Eigenkapital</w:t>
            </w:r>
            <w:r>
              <w:rPr/>
              <w:t>) of the Company shall be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Company's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Clause 5 of this Agreement (</w:t>
      </w:r>
      <w:r>
        <w:rPr>
          <w:rFonts w:ascii="Times New Roman;Times;Serif" w:hAnsi="Times New Roman;Times;Serif"/>
          <w:b w:val="false"/>
          <w:i/>
          <w:caps w:val="false"/>
          <w:smallCaps w:val="false"/>
          <w:sz w:val="20"/>
        </w:rPr>
        <w:t>Permitted payments</w:t>
      </w:r>
      <w:r>
        <w:rPr>
          <w:rFonts w:ascii="Times New Roman;Times;Serif" w:hAnsi="Times New Roman;Times;Serif"/>
          <w:b w:val="false"/>
          <w:i w:val="false"/>
          <w:caps w:val="false"/>
          <w:smallCaps w:val="false"/>
          <w:sz w:val="20"/>
        </w:rPr>
        <w:t>) and except as otherwise provided by the 2028 Note Documentation, the Company is obligated towards the Holders and the Trustee not to make any payments on the Subordinated Claims, not to discharge any obligation arising out of the Subordinated Claims in any other way, not to allow any disposition in relation to the Subordinated Claims that would contravene any obligation of the Subordinated Creditors hereunder and not to exercise any right of set-off in relation to potential claims it might have against the Subordinated Creditors until the complete and final satisfaction of any and all claims of the Holders and the Trustee against the Company under or in connection with the 2028 Note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Permitted payments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0"/>
        <w:gridCol w:w="9838"/>
      </w:tblGrid>
      <w:tr>
        <w:trPr/>
        <w:tc>
          <w:tcPr>
            <w:tcW w:w="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5.1.</w:t>
            </w:r>
          </w:p>
        </w:tc>
        <w:tc>
          <w:tcPr>
            <w:tcW w:w="9838" w:type="dxa"/>
            <w:tcBorders/>
            <w:vAlign w:val="center"/>
          </w:tcPr>
          <w:p>
            <w:pPr>
              <w:pStyle w:val="TableContents"/>
              <w:bidi w:val="0"/>
              <w:spacing w:before="0" w:after="283"/>
              <w:jc w:val="left"/>
              <w:rPr/>
            </w:pPr>
            <w:r>
              <w:rPr/>
              <w:t>Contrary to Clause 3.2 and Clause 4 above, until an Event of Default has occurred as defined in the January 2026 Indenture, the Company is entitled (i) to make payments in relation to agreed interest payable in relation to the Subordinated Claims and (ii) to repay the Loans provided that the Company has generated free cashflow generated from operations of over EUR 15 million in the twelve (12) preceding months before repayment of the Loans. The Subordinated Creditors are entitled to receive such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5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left"/>
              <w:rPr/>
            </w:pPr>
            <w:r>
              <w:rPr/>
              <w:t>Notwithstanding Clause 5.1 of this Agreement, the Company is entitled to make payments in relation to the Partly Exempted Loan of up to EUR 800,000. Schmid Verwaltungs GmbH is entitled to receive such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remains in full force and effect until the complete and final satisfaction of all claims of the Holders and the Trustee under and in connection with the 2028 Note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Direction to the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left"/>
              <w:rPr/>
            </w:pPr>
            <w:r>
              <w:rPr/>
              <w:t>By their execution hereof, the Purchasers represent to the Trustee that they constitute the Holders of all outstanding 2028 Notes and that they authorize and direct the Trustee to enter into and execute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Final provisions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21"/>
        <w:gridCol w:w="9303"/>
      </w:tblGrid>
      <w:tr>
        <w:trPr/>
        <w:tc>
          <w:tcPr>
            <w:tcW w:w="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8.1.</w:t>
            </w:r>
          </w:p>
        </w:tc>
        <w:tc>
          <w:tcPr>
            <w:tcW w:w="9303" w:type="dxa"/>
            <w:tcBorders/>
            <w:vAlign w:val="center"/>
          </w:tcPr>
          <w:p>
            <w:pPr>
              <w:pStyle w:val="TableContents"/>
              <w:bidi w:val="0"/>
              <w:spacing w:before="0" w:after="283"/>
              <w:jc w:val="left"/>
              <w:rPr/>
            </w:pPr>
            <w:r>
              <w:rPr/>
              <w:t>This Agreement is governed by German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left"/>
              <w:rPr/>
            </w:pPr>
            <w:r>
              <w:rPr/>
              <w:t>Amendments to this Agreement and the waiver of a right arising from this Agreement must be executed by all Parties hereto to be effective and must expressly refer to this Agreement, unless a stricter form is required by law. This shall also apply to amendments to or the waiver of this written form requirement.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left"/>
              <w:rPr/>
            </w:pPr>
            <w:r>
              <w:rPr/>
              <w:t>If any provision of this Agreement is or becomes invalid or unenforceable in whole or in part, this shall not affect the validity of the remaining provisions of this Agreement. The invalid or unenforceable provisions shall be replaced by an appropriate provision which - as far as legally possible - comes as close as possible to what the Parties intended economically or would have intended according to the purpose of the 2028 Note Documentation if they had considered the unenforceability or invalidity when concluding this Agreement. The same shall apply to the filling of any gaps in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6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79" w:type="dxa"/>
        <w:jc w:val="left"/>
        <w:tblInd w:w="0" w:type="dxa"/>
        <w:tblLayout w:type="fixed"/>
        <w:tblCellMar>
          <w:top w:w="0" w:type="dxa"/>
          <w:left w:w="0" w:type="dxa"/>
          <w:bottom w:w="0" w:type="dxa"/>
          <w:right w:w="0" w:type="dxa"/>
        </w:tblCellMar>
      </w:tblPr>
      <w:tblGrid>
        <w:gridCol w:w="4371"/>
        <w:gridCol w:w="4033"/>
        <w:gridCol w:w="75"/>
      </w:tblGrid>
      <w:tr>
        <w:trPr/>
        <w:tc>
          <w:tcPr>
            <w:tcW w:w="84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1 OF 3 OF AMENDEND AND RESTATED SUBORDINATION AGREEMENT</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this page, please replicate the signatures on the Subordination Agreement]</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Schmid</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Grundstücke GmbH &amp; Co. KG</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date:</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403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7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79" w:type="dxa"/>
        <w:jc w:val="left"/>
        <w:tblInd w:w="0" w:type="dxa"/>
        <w:tblLayout w:type="fixed"/>
        <w:tblCellMar>
          <w:top w:w="0" w:type="dxa"/>
          <w:left w:w="0" w:type="dxa"/>
          <w:bottom w:w="0" w:type="dxa"/>
          <w:right w:w="0" w:type="dxa"/>
        </w:tblCellMar>
      </w:tblPr>
      <w:tblGrid>
        <w:gridCol w:w="3409"/>
        <w:gridCol w:w="4995"/>
        <w:gridCol w:w="75"/>
      </w:tblGrid>
      <w:tr>
        <w:trPr/>
        <w:tc>
          <w:tcPr>
            <w:tcW w:w="8404" w:type="dxa"/>
            <w:gridSpan w:val="2"/>
            <w:tcBorders/>
            <w:vAlign w:val="center"/>
          </w:tcPr>
          <w:p>
            <w:pPr>
              <w:pStyle w:val="TableContents"/>
              <w:bidi w:val="0"/>
              <w:spacing w:before="0" w:after="283"/>
              <w:jc w:val="left"/>
              <w:rPr>
                <w:b/>
                <w:sz w:val="20"/>
              </w:rPr>
            </w:pPr>
            <w:r>
              <w:rPr>
                <w:b/>
                <w:sz w:val="20"/>
              </w:rPr>
              <w:t>SIGNATURE PAGE 2 OF 3 OF AMENDEND AND RESTATED SUBORDINATION AGREEMENT</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Schmid Verwaltungs GmbH</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Represented by:</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Christian Schmid</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Place, date: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Freudenstadt, 13.7.2026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Signature: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Anette Schmid</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Place, date: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Freudenstadt, 13.7.2026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Signature: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Gebr. Schmid GmbH</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Represented by:</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Julia Nattarer, CFO</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Place, date: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Freudenstadt, 13.7.2026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Signature: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Wilmington Savings Fund Society, FSB</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Represented by:</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Anita Woolery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sz w:val="20"/>
              </w:rPr>
            </w:pPr>
            <w:r>
              <w:rPr>
                <w:sz w:val="20"/>
              </w:rPr>
              <w:t>Place, date:</w:t>
            </w:r>
          </w:p>
        </w:tc>
        <w:tc>
          <w:tcPr>
            <w:tcW w:w="4995" w:type="dxa"/>
            <w:tcBorders>
              <w:bottom w:val="single" w:sz="8" w:space="0" w:color="000000"/>
            </w:tcBorders>
            <w:tcMar>
              <w:bottom w:w="28" w:type="dxa"/>
            </w:tcMar>
            <w:vAlign w:val="center"/>
          </w:tcPr>
          <w:p>
            <w:pPr>
              <w:pStyle w:val="TableContents"/>
              <w:bidi w:val="0"/>
              <w:spacing w:before="0" w:after="283"/>
              <w:jc w:val="left"/>
              <w:rPr>
                <w:sz w:val="20"/>
              </w:rPr>
            </w:pPr>
            <w:r>
              <w:rPr>
                <w:sz w:val="20"/>
              </w:rPr>
              <w:t>7/14/26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b/>
                <w:sz w:val="20"/>
              </w:rPr>
            </w:pPr>
            <w:r>
              <w:rPr>
                <w:b/>
                <w:sz w:val="20"/>
              </w:rPr>
              <w:t>Signature:</w:t>
            </w:r>
          </w:p>
        </w:tc>
        <w:tc>
          <w:tcPr>
            <w:tcW w:w="49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8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79" w:type="dxa"/>
        <w:jc w:val="left"/>
        <w:tblInd w:w="0" w:type="dxa"/>
        <w:tblLayout w:type="fixed"/>
        <w:tblCellMar>
          <w:top w:w="0" w:type="dxa"/>
          <w:left w:w="0" w:type="dxa"/>
          <w:bottom w:w="0" w:type="dxa"/>
          <w:right w:w="0" w:type="dxa"/>
        </w:tblCellMar>
      </w:tblPr>
      <w:tblGrid>
        <w:gridCol w:w="2525"/>
        <w:gridCol w:w="5879"/>
        <w:gridCol w:w="75"/>
      </w:tblGrid>
      <w:tr>
        <w:trPr/>
        <w:tc>
          <w:tcPr>
            <w:tcW w:w="8404" w:type="dxa"/>
            <w:gridSpan w:val="2"/>
            <w:tcBorders/>
            <w:vAlign w:val="center"/>
          </w:tcPr>
          <w:p>
            <w:pPr>
              <w:pStyle w:val="TableContents"/>
              <w:bidi w:val="0"/>
              <w:spacing w:before="0" w:after="283"/>
              <w:jc w:val="left"/>
              <w:rPr>
                <w:b/>
                <w:sz w:val="20"/>
              </w:rPr>
            </w:pPr>
            <w:r>
              <w:rPr>
                <w:b/>
                <w:sz w:val="20"/>
              </w:rPr>
              <w:t>SIGNATURE PAGE 3 OF 3 OF AMENDEND AND RESTATED SUBORDINATION AGREEMENT</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Linden Capital L.P., on behalf of certain advised or managed funds and accounts</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Represented by:</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Saul Ahn</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Place, date:</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New York, NY July 14, 2026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Signature:</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Crown Managed Accounts SPC, acting for and on behalf of Crown/Linden Segregated Portfolio</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Represented by:</w:t>
            </w:r>
          </w:p>
        </w:tc>
        <w:tc>
          <w:tcPr>
            <w:tcW w:w="5879" w:type="dxa"/>
            <w:tcBorders>
              <w:bottom w:val="single" w:sz="8" w:space="0" w:color="000000"/>
            </w:tcBorders>
            <w:tcMar>
              <w:bottom w:w="28" w:type="dxa"/>
            </w:tcMar>
            <w:vAlign w:val="center"/>
          </w:tcPr>
          <w:p>
            <w:pPr>
              <w:pStyle w:val="TableContents"/>
              <w:bidi w:val="0"/>
              <w:spacing w:before="0" w:after="283"/>
              <w:jc w:val="left"/>
              <w:rPr/>
            </w:pPr>
            <w:r>
              <w:rPr/>
              <w:t>Linden Advisors LP Saul Ahn</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Place, date:</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New York, NY July 14, 2026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Signature:</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b/>
                <w:sz w:val="20"/>
              </w:rPr>
            </w:pPr>
            <w:r>
              <w:rPr>
                <w:b/>
                <w:sz w:val="20"/>
              </w:rPr>
              <w:t>PCH Manager Fund, SPC, on behalf of and for the account of Segregated Portfolio 214</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Represented by:</w:t>
            </w:r>
          </w:p>
        </w:tc>
        <w:tc>
          <w:tcPr>
            <w:tcW w:w="5879" w:type="dxa"/>
            <w:tcBorders>
              <w:bottom w:val="single" w:sz="8" w:space="0" w:color="000000"/>
            </w:tcBorders>
            <w:tcMar>
              <w:bottom w:w="28" w:type="dxa"/>
            </w:tcMar>
            <w:vAlign w:val="center"/>
          </w:tcPr>
          <w:p>
            <w:pPr>
              <w:pStyle w:val="TableContents"/>
              <w:bidi w:val="0"/>
              <w:spacing w:before="0" w:after="283"/>
              <w:jc w:val="left"/>
              <w:rPr/>
            </w:pPr>
            <w:r>
              <w:rPr/>
              <w:t>Linden Advisors LP Saul Ahn     </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Place, date:</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New York, NY July 14, 2026</w:t>
            </w:r>
          </w:p>
        </w:tc>
        <w:tc>
          <w:tcPr>
            <w:tcW w:w="75" w:type="dxa"/>
            <w:tcBorders/>
            <w:vAlign w:val="center"/>
          </w:tcPr>
          <w:p>
            <w:pPr>
              <w:pStyle w:val="TableContents"/>
              <w:bidi w:val="0"/>
              <w:spacing w:before="0" w:after="283"/>
              <w:jc w:val="left"/>
              <w:rPr/>
            </w:pPr>
            <w:r>
              <w:rPr/>
              <w:t> </w:t>
            </w:r>
          </w:p>
        </w:tc>
      </w:tr>
      <w:tr>
        <w:trPr/>
        <w:tc>
          <w:tcPr>
            <w:tcW w:w="84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20"/>
              </w:rPr>
            </w:pPr>
            <w:r>
              <w:rPr>
                <w:sz w:val="20"/>
              </w:rPr>
              <w:t>Signature:</w:t>
            </w:r>
          </w:p>
        </w:tc>
        <w:tc>
          <w:tcPr>
            <w:tcW w:w="5879" w:type="dxa"/>
            <w:tcBorders>
              <w:bottom w:val="single" w:sz="8" w:space="0" w:color="000000"/>
            </w:tcBorders>
            <w:tcMar>
              <w:bottom w:w="28" w:type="dxa"/>
            </w:tcMar>
            <w:vAlign w:val="center"/>
          </w:tcPr>
          <w:p>
            <w:pPr>
              <w:pStyle w:val="TableContents"/>
              <w:bidi w:val="0"/>
              <w:spacing w:before="0" w:after="283"/>
              <w:jc w:val="left"/>
              <w:rPr>
                <w:sz w:val="20"/>
              </w:rPr>
            </w:pPr>
            <w:r>
              <w:rPr>
                <w:sz w:val="20"/>
              </w:rPr>
              <w: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9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0" w:name="tm2620429d1_ex99-1.htm"/>
      <w:bookmarkStart w:id="11" w:name="kstm2620429d1_ex991"/>
      <w:bookmarkEnd w:id="10"/>
      <w:bookmarkEnd w:id="11"/>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8640" w:type="dxa"/>
        <w:jc w:val="left"/>
        <w:tblInd w:w="0" w:type="dxa"/>
        <w:tblLayout w:type="fixed"/>
        <w:tblCellMar>
          <w:top w:w="0" w:type="dxa"/>
          <w:left w:w="0" w:type="dxa"/>
          <w:bottom w:w="0" w:type="dxa"/>
          <w:right w:w="0" w:type="dxa"/>
        </w:tblCellMar>
      </w:tblPr>
      <w:tblGrid>
        <w:gridCol w:w="4740"/>
        <w:gridCol w:w="3900"/>
      </w:tblGrid>
      <w:tr>
        <w:trPr/>
        <w:tc>
          <w:tcPr>
            <w:tcW w:w="4740" w:type="dxa"/>
            <w:tcBorders/>
            <w:vAlign w:val="center"/>
          </w:tcPr>
          <w:p>
            <w:pPr>
              <w:pStyle w:val="TableContents"/>
              <w:bidi w:val="0"/>
              <w:spacing w:before="0" w:after="283"/>
              <w:jc w:val="left"/>
              <w:rPr/>
            </w:pPr>
            <w:r>
              <w:rPr/>
              <w:drawing>
                <wp:inline distT="0" distB="0" distL="0" distR="0">
                  <wp:extent cx="3000375" cy="200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00375" cy="200025"/>
                          </a:xfrm>
                          <a:prstGeom prst="rect">
                            <a:avLst/>
                          </a:prstGeom>
                        </pic:spPr>
                      </pic:pic>
                    </a:graphicData>
                  </a:graphic>
                </wp:inline>
              </w:drawing>
            </w:r>
          </w:p>
        </w:tc>
        <w:tc>
          <w:tcPr>
            <w:tcW w:w="3900" w:type="dxa"/>
            <w:tcBorders/>
            <w:vAlign w:val="center"/>
          </w:tcPr>
          <w:p>
            <w:pPr>
              <w:pStyle w:val="TableContents"/>
              <w:bidi w:val="0"/>
              <w:spacing w:before="0" w:after="283"/>
              <w:jc w:val="right"/>
              <w:rPr/>
            </w:pPr>
            <w:r>
              <w:rPr/>
              <w:t> </w:t>
            </w:r>
            <w:r>
              <w:rPr/>
              <w:drawing>
                <wp:inline distT="0" distB="0" distL="0" distR="0">
                  <wp:extent cx="2428875" cy="47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28875" cy="47625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 Provides Second Quarter 2026 Business Update and Full Year 2026 Order Guidance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Freudenstadt, Germany, July 14, 2026</w:t>
      </w:r>
      <w:r>
        <w:rPr>
          <w:rFonts w:ascii="Times New Roman;Times;Serif" w:hAnsi="Times New Roman;Times;Serif"/>
          <w:b w:val="false"/>
          <w:i w:val="false"/>
          <w:caps w:val="false"/>
          <w:smallCaps w:val="false"/>
          <w:sz w:val="20"/>
        </w:rPr>
        <w:t>– SCHMID Group N.V. (NASDAQ: SHMD)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SCHMID</w:t>
      </w:r>
      <w:r>
        <w:rPr>
          <w:rFonts w:ascii="Times New Roman;Times;Serif" w:hAnsi="Times New Roman;Times;Serif"/>
          <w:b w:val="false"/>
          <w:i w:val="false"/>
          <w:caps w:val="false"/>
          <w:smallCaps w:val="false"/>
          <w:sz w:val="20"/>
        </w:rPr>
        <w:t>"), a global leader in providing solutions for the electronics industry, today provided the following operational update following the completion of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Update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the Company recorded order intake of €30.7 million and reported revenues of €27.7 million. Including the repeat order exceeding €37 million announced on July 7, 2026, cumulative order intake since the beginning of the year amounts to €81.6 million. The order backlog stood at €54.8 million at the end of the quarter. Order intake and order backlog figures relate exclusively to orders for equipment and do not include orders associated with services or spare 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management's expectations, given the revenue profile for the first half of the year, EBITDA margin in H1 is expected to be significantly lower than the EBITDA margin of 12% consistent with full-year 2026 guidance. For the full-year 2026 management maintains the guidance of more than €100 million revenues and EBITDA margin of more than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sustained improvement in order momentum and enhanced business visibility, management has decided to increase its full-year 2026 order intake guidance from approximately €114 million to a range of €125 to €150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presented in this press release for the second quarter of 2026 and for guidance for the full-year 2026 is preliminary and unaudited. Actual results may differ from the preliminary estimates presented herein. The Company expects to report its final second-quarter and half-year financial results with the publication of its interim financial statements on or before August 25, 2026. Order intake and order backlog are operational metrics used by management to evaluate the Company’s business activity and visibility of future revenue. These metrics are not measures defined under International Financial Reporting Standards (“IFRS”) and may not be comparable to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non-IFRS financial measure. The Company defines Adjusted EBITDA as earnings before interest, taxes, depreciation and amortization, adjusted to exclude certain non-recurring or non-operational items. Because Adjusted EBITDA excludes items that may be included in the most directly comparable IFRS measure, investors should not consider Adjusted EBITDA in isolation or as a substitute for measures prepared in accordance with IFRS. The Company is unable to provide a reconciliation of forward-looking Adjusted EBITDA guidance to the most directly comparable IFRS financial measure without unreasonable effort because certain items that impact such measures are uncertain, out of the Company’s control and cannot be reasonably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Release of half-year results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will release half-year results on or before August 25, 2026 followed by an investor call at 9 a.m. Eastern time, 3pm CET time. Details for the investor call will be published on SCHMID's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of the new $20 million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investment agreement with an institutional investor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on July 7, 2026 pursuant in relation to the issuance of senior convertible notes in an aggregate principal amount of $20 million convertible into ordinary shares of the Company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The Notes were issued pursuant to an indenture dated today, July 14, 2026. As disclosed in the Company's press release on July 7, 2026, the net proceeds from the issuance of the Notes will be used to fund the working capital need resulting from the ongoing order intake acceleration and growth capital needed for the move from rented to owned manufacturing plant in China with nearly double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4740"/>
        <w:gridCol w:w="3900"/>
      </w:tblGrid>
      <w:tr>
        <w:trPr/>
        <w:tc>
          <w:tcPr>
            <w:tcW w:w="4740" w:type="dxa"/>
            <w:tcBorders/>
            <w:vAlign w:val="center"/>
          </w:tcPr>
          <w:p>
            <w:pPr>
              <w:pStyle w:val="TableContents"/>
              <w:bidi w:val="0"/>
              <w:spacing w:before="0" w:after="283"/>
              <w:jc w:val="left"/>
              <w:rPr/>
            </w:pPr>
            <w:r>
              <w:rPr/>
              <w:drawing>
                <wp:inline distT="0" distB="0" distL="0" distR="0">
                  <wp:extent cx="3000375" cy="200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000375" cy="200025"/>
                          </a:xfrm>
                          <a:prstGeom prst="rect">
                            <a:avLst/>
                          </a:prstGeom>
                        </pic:spPr>
                      </pic:pic>
                    </a:graphicData>
                  </a:graphic>
                </wp:inline>
              </w:drawing>
            </w:r>
          </w:p>
        </w:tc>
        <w:tc>
          <w:tcPr>
            <w:tcW w:w="3900" w:type="dxa"/>
            <w:tcBorders/>
            <w:vAlign w:val="center"/>
          </w:tcPr>
          <w:p>
            <w:pPr>
              <w:pStyle w:val="TableContents"/>
              <w:bidi w:val="0"/>
              <w:spacing w:before="0" w:after="283"/>
              <w:jc w:val="right"/>
              <w:rPr/>
            </w:pPr>
            <w:r>
              <w:rPr/>
              <w:t> </w:t>
            </w:r>
            <w:r>
              <w:rPr/>
              <w:drawing>
                <wp:inline distT="0" distB="0" distL="0" distR="0">
                  <wp:extent cx="2428875" cy="47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428875" cy="4762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“safe harbor” provisions of the Private Securities Litigation Reform Act of 1995. Words such as “expect,” “estimate,” “project,” “budget,” “forecast,” “anticipate,” “intend,” “plan,” “may,” “will,” “could,” “should,” “believes,” “predicts,” “potential,” “continue,” and similar expressions are intended to identify such forward-looking statements. Forward-looking statements in this press release include, but are not limited to, statements regarding the Company’s preliminary first and second quarters of 2026 results, financial outlook for fiscal year 2026, expected order intake and revenue growth, anticipated demand trends, and other statements that are not historical facts. These forward-looking statements can include statements regarding our expectations with respect to future performance and the anticipated timing of certain commercial or financing activities, expected timing and completion of the private placement and use of proceeds related thereto. There are a significant number of factors that could cause actual results to differ materially from the statements made in this press release. Additional risks and uncertainties that could affect our financial results are included under “Item 3. Key Information – 3.D. Risk Factors” in our annual report on Form 20-F filed with the SEC May 15, 2026, which is available on the SEC’s website at www.sec.gov. Additional information will also be set forth in other filings that we make with the SEC from time to time.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SCHMID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SCHMID Group is a global leader in providing solutions mostly  for the electronics industry, with its headquarters based in Freudenstadt, Germany. Founded in 1864, today it employs approximately 700 staff members worldwide, and has technology centers and manufacturing sites in multiple locations including Germany and China, in addition to several sales and service locations globally. The Group focuses on developing customized equipment and process solutions mostly for the electronic industry. Our system and process solutions for the manufacture of substrates, printed circuit boards and other electrical components ensure the highest technology levels, high yields with low production costs, maximized efficiency, quality, and sustainability in green production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www.schmid-group.com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80353</Words>
  <Characters>414498</Characters>
  <CharactersWithSpaces>499332</CharactersWithSpaces>
  <Paragraphs>4178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