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 Filed Pursuant to Rule 424(b)(3)​</w:t>
      </w:r>
    </w:p>
    <w:p>
      <w:pPr>
        <w:spacing w:after="0" w:line="36" w:lineRule="exact"/>
        <w:rPr>
          <w:sz w:val="24"/>
          <w:szCs w:val="24"/>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 Registration No. 333-296859​</w:t>
      </w:r>
    </w:p>
    <w:p>
      <w:pPr>
        <w:spacing w:after="0" w:line="200"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SCHMID Group N.V.</w:t>
      </w:r>
    </w:p>
    <w:p>
      <w:pPr>
        <w:spacing w:after="0" w:line="2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Resale of 4,958,481 Ordinary Shares</w:t>
      </w:r>
    </w:p>
    <w:p>
      <w:pPr>
        <w:spacing w:after="0" w:line="155" w:lineRule="exact"/>
        <w:rPr>
          <w:sz w:val="24"/>
          <w:szCs w:val="24"/>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This registration statement relates to the resale of 4,958,481 ordinary shares of the Company, €0.01 par value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issued in private placements on May 23, 2026 as follows: (i) 474,496 Ordinary Shares issued to Christine Schmid, (ii) 2,190,589 Ordinary Shares issued to Anette Schmid, (iii) 1,265,322 Ordinary Shares issued to Christian Schmid and (iv) 1,028,074 Ordinary Shares issued to Schmid Grundstücke GmbH &amp; Co KG. The Ordinary Shares were issued to offset outstanding claims against the Company in an aggregate amount of EUR 30.75 million. The Ordinary Shares were issued pursuant to subscription agreements and set-off agreements the Company entered into on April 24, 2026 with each of the selling securityholders.</w:t>
      </w:r>
    </w:p>
    <w:p>
      <w:pPr>
        <w:spacing w:after="0" w:line="119" w:lineRule="exact"/>
        <w:rPr>
          <w:sz w:val="24"/>
          <w:szCs w:val="24"/>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This registration statement provides you with a general description of such securities and the general manner in which the selling securityholders may offer or sell the securities. The registration of the securities covered by this registration statement does not mean that the subscribing shareholders will offer or sell any of the ordinary shares. The subscribing shareholders may offer, sell or distribute all or a portion of their ordinary shares publicly or through private transactions at prevailing market prices or at negotiated prices. All of the securities offered by the selling securityholders will be sold for their own accounts. We will not receive any proceeds from the resale of ordinary shares by the selling securityholders pursuant to this registration statement.</w:t>
      </w:r>
    </w:p>
    <w:p>
      <w:pPr>
        <w:spacing w:after="0" w:line="328" w:lineRule="exact"/>
        <w:rPr>
          <w:sz w:val="24"/>
          <w:szCs w:val="24"/>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We provide more information about how the Subscribing Shareholders may sell or otherwise dispose of our ordinary shares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81" w:lineRule="exact"/>
        <w:rPr>
          <w:sz w:val="24"/>
          <w:szCs w:val="24"/>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09" w:lineRule="exact"/>
        <w:rPr>
          <w:sz w:val="24"/>
          <w:szCs w:val="24"/>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defined in the Jumpstart Our Business Startups Act of 2012 and, as such, are subject to reduced public company reporting requirements.</w:t>
      </w:r>
    </w:p>
    <w:p>
      <w:pPr>
        <w:spacing w:after="0" w:line="8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principal executive offices are located at Robert-Bosch-Str. 32-36, 72250 Freudenstadt, Germany.</w:t>
      </w:r>
    </w:p>
    <w:p>
      <w:pPr>
        <w:spacing w:after="0" w:line="144" w:lineRule="exact"/>
        <w:rPr>
          <w:sz w:val="24"/>
          <w:szCs w:val="24"/>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buying any securities, you should carefully read the discussion of material risks of investing in our securities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prospectus.</w:t>
      </w:r>
    </w:p>
    <w:p>
      <w:pPr>
        <w:spacing w:after="0" w:line="102" w:lineRule="exact"/>
        <w:rPr>
          <w:sz w:val="24"/>
          <w:szCs w:val="24"/>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 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w:t>
      </w:r>
    </w:p>
    <w:p>
      <w:pPr>
        <w:spacing w:after="0" w:line="329" w:lineRule="exact"/>
        <w:rPr>
          <w:sz w:val="24"/>
          <w:szCs w:val="24"/>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We are a controlled company as defined under the Nasdaq Capital Market Marketplace Rule 5615(c) because, Anette Schmid, and Christian Schmid, directly and indirectly, collectively hold 31,357,893 Ordinary Shares consisting of 52.27% of the issued and outstanding shares totaling 59,985,726 Ordinary Shares as of the date of this prospectus (and not including 5,000,000 earn-out shares, which have been issued but have not vested). Including the 5,000,000 earn-out shares, we have 64,985,726 Ordinary Shares outstanding.</w:t>
      </w:r>
    </w:p>
    <w:p>
      <w:pPr>
        <w:spacing w:after="0" w:line="325" w:lineRule="exact"/>
        <w:rPr>
          <w:sz w:val="24"/>
          <w:szCs w:val="24"/>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10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Prospectus dated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CONVENTIONS WHICH APPLY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7" w:lineRule="exact"/>
        <w:rPr>
          <w:sz w:val="20"/>
          <w:szCs w:val="20"/>
          <w:color w:val="auto"/>
        </w:rPr>
      </w:pPr>
    </w:p>
    <w:p>
      <w:pPr>
        <w:ind w:left="1440" w:right="60" w:hanging="179"/>
        <w:spacing w:after="0" w:line="271" w:lineRule="auto"/>
        <w:rPr>
          <w:sz w:val="20"/>
          <w:szCs w:val="20"/>
          <w:color w:val="auto"/>
        </w:rPr>
      </w:pPr>
      <w:r>
        <w:rPr>
          <w:rFonts w:ascii="Times New Roman" w:cs="Times New Roman" w:eastAsia="Times New Roman" w:hAnsi="Times New Roman"/>
          <w:sz w:val="18"/>
          <w:szCs w:val="18"/>
          <w:u w:val="single" w:color="auto"/>
          <w:color w:val="0000EE"/>
        </w:rPr>
        <w:t>IMPORTANT INFORMATION ABOUT U.S. GAAP, IFRS AND NON-IFRS FINANCIAL MEASURES</w:t>
      </w:r>
    </w:p>
    <w:p>
      <w:pPr>
        <w:ind w:left="1260" w:right="2300"/>
        <w:spacing w:after="0" w:line="281" w:lineRule="auto"/>
        <w:rPr>
          <w:sz w:val="20"/>
          <w:szCs w:val="20"/>
          <w:color w:val="auto"/>
        </w:rPr>
      </w:pPr>
      <w:r>
        <w:rPr>
          <w:rFonts w:ascii="Times New Roman" w:cs="Times New Roman" w:eastAsia="Times New Roman" w:hAnsi="Times New Roman"/>
          <w:sz w:val="18"/>
          <w:szCs w:val="18"/>
          <w:u w:val="single" w:color="auto"/>
          <w:color w:val="0000EE"/>
        </w:rPr>
        <w:t>TRADEMARKS, SERVICE MARKS AND TRADE NAMES MARKET, INDUSTRY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-167005</wp:posOffset>
            </wp:positionV>
            <wp:extent cx="521208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FREQUENTLY USED TERMS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CAUTIONARY NOTE REGARDING FORWARD-LOOKING STATEMENTS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OFFERING</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 HISTORICAL FINANCIAL INFORMATION OF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DETERMINATION OF OFFERING PRICE</w:t>
      </w:r>
    </w:p>
    <w:p>
      <w:pPr>
        <w:spacing w:after="0" w:line="50" w:lineRule="exact"/>
        <w:rPr>
          <w:sz w:val="20"/>
          <w:szCs w:val="20"/>
          <w:color w:val="auto"/>
        </w:rPr>
      </w:pPr>
    </w:p>
    <w:p>
      <w:pPr>
        <w:ind w:left="1260" w:right="740"/>
        <w:spacing w:after="0" w:line="297" w:lineRule="auto"/>
        <w:rPr>
          <w:sz w:val="20"/>
          <w:szCs w:val="20"/>
          <w:color w:val="auto"/>
        </w:rPr>
      </w:pPr>
      <w:r>
        <w:rPr>
          <w:rFonts w:ascii="Times New Roman" w:cs="Times New Roman" w:eastAsia="Times New Roman" w:hAnsi="Times New Roman"/>
          <w:sz w:val="18"/>
          <w:szCs w:val="18"/>
          <w:u w:val="single" w:color="auto"/>
          <w:color w:val="0000EE"/>
        </w:rPr>
        <w:t>MARKET INFORMATION FOR CLASS A SHARES AND DIVIDEND POLICY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-184150</wp:posOffset>
            </wp:positionV>
            <wp:extent cx="521208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right="40"/>
        <w:spacing w:after="0" w:line="276" w:lineRule="auto"/>
        <w:rPr>
          <w:sz w:val="20"/>
          <w:szCs w:val="20"/>
          <w:color w:val="auto"/>
        </w:rPr>
      </w:pPr>
      <w:r>
        <w:rPr>
          <w:rFonts w:ascii="Times New Roman" w:cs="Times New Roman" w:eastAsia="Times New Roman" w:hAnsi="Times New Roman"/>
          <w:sz w:val="18"/>
          <w:szCs w:val="18"/>
          <w:u w:val="single" w:color="auto"/>
          <w:color w:val="0000EE"/>
        </w:rPr>
        <w:t>BUSINESS OF SCHMID AND CERTAIN INFORMATION ABOUT SCHMID MANAGEMENT’S DISCUSSION AND ANALYSIS OF FINANCIAL CONDITION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-161290</wp:posOffset>
            </wp:positionV>
            <wp:extent cx="521208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RESULTS OF OPERATIONS</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SECURITIES</w:t>
      </w:r>
    </w:p>
    <w:p>
      <w:pPr>
        <w:spacing w:after="0" w:line="50" w:lineRule="exact"/>
        <w:rPr>
          <w:sz w:val="20"/>
          <w:szCs w:val="20"/>
          <w:color w:val="auto"/>
        </w:rPr>
      </w:pPr>
    </w:p>
    <w:p>
      <w:pPr>
        <w:ind w:left="1260" w:right="1920"/>
        <w:spacing w:after="0" w:line="297" w:lineRule="auto"/>
        <w:rPr>
          <w:sz w:val="20"/>
          <w:szCs w:val="20"/>
          <w:color w:val="auto"/>
        </w:rPr>
      </w:pPr>
      <w:r>
        <w:rPr>
          <w:rFonts w:ascii="Times New Roman" w:cs="Times New Roman" w:eastAsia="Times New Roman" w:hAnsi="Times New Roman"/>
          <w:sz w:val="18"/>
          <w:szCs w:val="18"/>
          <w:u w:val="single" w:color="auto"/>
          <w:color w:val="0000EE"/>
        </w:rPr>
        <w:t>CERTAIN RELATIONSHIPS AND RELATED TRANSACTIONS PRINCIPAL SECURITYHOLDERS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-347345</wp:posOffset>
            </wp:positionV>
            <wp:extent cx="52120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TAXATION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SHARES ELIGIBLE FOR FUTURE SALE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EXPENSES RELATED TO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ENFORCEMENT OF CIVIL LIABILITIES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96"/>
        </w:trPr>
        <w:tc>
          <w:tcPr>
            <w:tcW w:w="1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line="182" w:lineRule="exact"/>
              <w:rPr>
                <w:sz w:val="20"/>
                <w:szCs w:val="20"/>
                <w:color w:val="auto"/>
              </w:rPr>
            </w:pPr>
            <w:r>
              <w:rPr>
                <w:rFonts w:ascii="Times New Roman" w:cs="Times New Roman" w:eastAsia="Times New Roman" w:hAnsi="Times New Roman"/>
                <w:sz w:val="18"/>
                <w:szCs w:val="18"/>
                <w:color w:val="0000EE"/>
                <w:w w:val="88"/>
              </w:rPr>
              <w:t>1</w:t>
            </w: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2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100" w:lineRule="exact"/>
        <w:rPr>
          <w:sz w:val="20"/>
          <w:szCs w:val="20"/>
          <w:color w:val="auto"/>
        </w:rPr>
      </w:pPr>
    </w:p>
    <w:p>
      <w:pPr>
        <w:sectPr>
          <w:pgSz w:w="11900" w:h="16838" w:orient="portrait"/>
          <w:cols w:equalWidth="0" w:num="2">
            <w:col w:w="8200" w:space="720"/>
            <w:col w:w="959"/>
          </w:cols>
          <w:pgMar w:left="580" w:top="97" w:right="1440" w:bottom="1440" w:gutter="0" w:footer="0" w:header="0"/>
          <w:type w:val="continuous"/>
        </w:sect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p>
    <w:p>
      <w:pPr>
        <w:spacing w:after="0" w:line="8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F-1 that we filed with the United States Securities and Exchange Commission (the “SEC”) for the resale of securities by the selling securityholders on a continuous basis pursuant to Rule 415 under the Securities Act. Under this shelf registration process, the selling securityholders may, from time to time, offer and sell any combination of the securities described in this prospectus in one or more offerings.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will not receive any proceeds from the resale of the Ordinary Shares to be offered by the selling securityholders pursuant to this prospectus. We will pay the expenses, if any, associated with the resale of our Ordinary Shares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any you may obtain copies of those documents as described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w:t>
      </w:r>
    </w:p>
    <w:p>
      <w:pPr>
        <w:spacing w:after="0" w:line="120"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On the Closing Date, several transactions were completed pursuant to the Business Combination Agreement, including:</w:t>
      </w:r>
    </w:p>
    <w:p>
      <w:pPr>
        <w:spacing w:after="0" w:line="54" w:lineRule="exact"/>
        <w:rPr>
          <w:sz w:val="20"/>
          <w:szCs w:val="20"/>
          <w:color w:val="auto"/>
        </w:rPr>
      </w:pPr>
    </w:p>
    <w:p>
      <w:pPr>
        <w:ind w:left="1800" w:hanging="180"/>
        <w:spacing w:after="0"/>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issued 99 new ordinary shares to its shareholder Pegasus;</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of Gebr. Schmid GmbH, Anette Schmid, Christian Schmid and a Community of Heirs (the “Schmid Shareholders”) purchased all 100 SCHMID shares from Pegasus at nominal value;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Schmid Shareholders subscribed to 28,725,000 SCHMID shares and an additional 5,000,000 earn-out shares at €0.01 nominal value and in consideration contributed 100% of the Gebr. Schmid GmbH shares by transferring them to SCHMID;</w:t>
      </w:r>
    </w:p>
    <w:p>
      <w:pPr>
        <w:spacing w:after="0" w:line="65" w:lineRule="exact"/>
        <w:rPr>
          <w:rFonts w:ascii="Times New Roman" w:cs="Times New Roman" w:eastAsia="Times New Roman" w:hAnsi="Times New Roman"/>
          <w:sz w:val="18"/>
          <w:szCs w:val="18"/>
          <w:color w:val="auto"/>
        </w:rPr>
      </w:pPr>
    </w:p>
    <w:p>
      <w:pPr>
        <w:ind w:left="1800" w:right="439" w:hanging="180"/>
        <w:spacing w:after="0" w:line="267"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changed its legal form from a Dutch private limited liability company (</w:t>
      </w:r>
      <w:r>
        <w:rPr>
          <w:rFonts w:ascii="Times New Roman" w:cs="Times New Roman" w:eastAsia="Times New Roman" w:hAnsi="Times New Roman"/>
          <w:sz w:val="18"/>
          <w:szCs w:val="18"/>
          <w:i w:val="1"/>
          <w:iCs w:val="1"/>
          <w:color w:val="auto"/>
        </w:rPr>
        <w:t>besloten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vennootschap met beperkte aansprakelijkheid</w:t>
      </w:r>
      <w:r>
        <w:rPr>
          <w:rFonts w:ascii="Times New Roman" w:cs="Times New Roman" w:eastAsia="Times New Roman" w:hAnsi="Times New Roman"/>
          <w:sz w:val="18"/>
          <w:szCs w:val="18"/>
          <w:color w:val="auto"/>
        </w:rPr>
        <w:t>) to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was renamed SCHMID Group N.V.;</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issued shares in exchange for each Pegasus Class A and B share outstanding (a total of 1,461,537 registered shares for Pegasus Class A shares and 5,625,000 former Pegasus Class B shares which were converted to registered Pegasus Class A shares prior to the Business Combination), and issued 1,406,361 shares to XJ Harbour HK Limited (“XJ Harbour”);</w:t>
      </w:r>
    </w:p>
    <w:p>
      <w:pPr>
        <w:spacing w:after="0" w:line="58"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w:t>
      </w:r>
    </w:p>
    <w:p>
      <w:pPr>
        <w:spacing w:after="0" w:line="71"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Pegasus merged with Merger Sub, with Pegasus as the surviving company and, after giving effect to the merger becoming a direct, wholly-owned subsidiary of SCHMID.</w:t>
      </w:r>
    </w:p>
    <w:p>
      <w:pPr>
        <w:spacing w:after="0" w:line="8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w:t>
      </w:r>
    </w:p>
    <w:p>
      <w:pPr>
        <w:spacing w:after="0" w:line="110"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After the Closing Date, in 2025 and 2026 several transactions were completed that related to the issuance of shares or potential issuance of shares:</w:t>
      </w:r>
    </w:p>
    <w:p>
      <w:pPr>
        <w:spacing w:after="0" w:line="54" w:lineRule="exact"/>
        <w:rPr>
          <w:sz w:val="20"/>
          <w:szCs w:val="20"/>
          <w:color w:val="auto"/>
        </w:rPr>
      </w:pPr>
    </w:p>
    <w:p>
      <w:pPr>
        <w:ind w:left="1800" w:right="459" w:hanging="180"/>
        <w:spacing w:after="0" w:line="255"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18 months and is convertible after 6 months or later into shares of the Company at a share price of $2.15 per Ordinary Shares. In addition, 1.25 million options were granted to Black Forest Special Situations I to purchase Ordinary Shares of the Company at a fixed exercise price of $4.1956 with such options being exerciseable for a period of 5 years.</w:t>
      </w:r>
    </w:p>
    <w:p>
      <w:pPr>
        <w:spacing w:after="0" w:line="296"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16, 2026, the Company issued 12,540,539 Ordinary Shares to XJ Harbour HK Limited to offset liabilities of $26,962,158.90 due to XJ Harbour HK Limited</w:t>
      </w:r>
    </w:p>
    <w:p>
      <w:pPr>
        <w:spacing w:after="0" w:line="53" w:lineRule="exact"/>
        <w:rPr>
          <w:rFonts w:ascii="Times New Roman" w:cs="Times New Roman" w:eastAsia="Times New Roman" w:hAnsi="Times New Roman"/>
          <w:sz w:val="18"/>
          <w:szCs w:val="18"/>
          <w:color w:val="auto"/>
        </w:rPr>
      </w:pPr>
    </w:p>
    <w:p>
      <w:pPr>
        <w:jc w:val="both"/>
        <w:ind w:left="1800" w:right="579" w:hanging="180"/>
        <w:spacing w:after="0" w:line="257"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2026, the Company issued $15 million in convertible notes as part of a $30 million convertible notes financing, and the other $15 million in convertible notes were issued on March 5, 2026. Since the issuance of the convertible notes, $18 million have been converted and only</w:t>
      </w:r>
    </w:p>
    <w:p>
      <w:pPr>
        <w:spacing w:after="0" w:line="1" w:lineRule="exact"/>
        <w:rPr>
          <w:rFonts w:ascii="Times New Roman" w:cs="Times New Roman" w:eastAsia="Times New Roman" w:hAnsi="Times New Roman"/>
          <w:sz w:val="18"/>
          <w:szCs w:val="18"/>
          <w:color w:val="auto"/>
        </w:rPr>
      </w:pPr>
    </w:p>
    <w:p>
      <w:pPr>
        <w:jc w:val="both"/>
        <w:ind w:left="1800" w:right="6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 principal amount remain outstanding as of the date of this registration statement. In addition, the Company issued 3,744,150 warrants on January 21, 2026 and March 5, 2026 with an exercise price of $8.0125.</w:t>
      </w:r>
    </w:p>
    <w:p>
      <w:pPr>
        <w:spacing w:after="0" w:line="64"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w:t>
      </w:r>
    </w:p>
    <w:p>
      <w:pPr>
        <w:spacing w:after="0" w:line="75"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2026, the Company entered into a Standby Equity Purchase Agreement with YA II PN, Ltd, providing the Company with equity financing of up to $30.0 million.</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2026, the Company issued and sold in private placements an aggregate of 4,958,481 Ordinary Shares to Anette Schmid, Christian Schmid, Christine Schmid and Schmid Grundstücke GmbH &amp; Co KG to offset indebtedness in an aggregate amount of EUR 30.75 million owed to them. These Ordinary Shares the Company intends to register with this registration statement.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58" w:lineRule="auto"/>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June 16, 2026, the Company has issued 800,000 Ordinary Shares to Yorkville under the SEPA.</w:t>
      </w:r>
    </w:p>
    <w:p>
      <w:pPr>
        <w:spacing w:after="0" w:line="116"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Unless the context indicates otherwise, the terms “SCHMID,” the “Company,” “we,” “us” and “our” refer to SCHMID Group N.V. (f/k/a Pegasus TopCo B.V.) after conversion into a Dutch public limited liability company and Pegasus TopCo B.V. prior to the conversion into a Dutch public liability company.</w:t>
      </w:r>
    </w:p>
    <w:p>
      <w:pPr>
        <w:spacing w:after="0" w:line="16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CONVENTIONS WHICH APPLY TO THIS PROSPECTUS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this prospectus, unless otherwise specified or the context otherwise requires:</w:t>
      </w:r>
    </w:p>
    <w:p>
      <w:pPr>
        <w:spacing w:after="0" w:line="104"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“USD” and “U.S. dollar” each refer to the United States dollar;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“EUR” and “Euro” each refer to the Euro.</w:t>
      </w:r>
    </w:p>
    <w:p>
      <w:pPr>
        <w:spacing w:after="0" w:line="158"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The exchange rate used for conversion between U.S. dollars and Euros is based on the ECB euro reference exchange rate published by the European Central Bank.</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IMPORTANT INFORMATION ABOUT U.S. GAAP, IFRS AND NON-IFRS FINANCIAL MEASURES</w:t>
      </w:r>
    </w:p>
    <w:p>
      <w:pPr>
        <w:spacing w:after="0" w:line="16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SCHMID’s audited financial statements included in this prospectus are prepared in accordance with International Financial Reporting Standards as issued by the International Accounting Standards Board (“IFRS”).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w:t>
      </w:r>
    </w:p>
    <w:p>
      <w:pPr>
        <w:spacing w:after="0" w:line="112"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IFRS differs in certain material respects from U.S. generally accepted accounting principles (“US GAAP”) and, as such, our financial statements are not comparable to the financial statements of U.S. companies prepared in accordance with U.S. GAAP.</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162" w:lineRule="exact"/>
        <w:rPr>
          <w:sz w:val="20"/>
          <w:szCs w:val="20"/>
          <w:color w:val="auto"/>
        </w:rPr>
      </w:pPr>
    </w:p>
    <w:p>
      <w:pPr>
        <w:ind w:left="1260" w:right="679" w:firstLine="360"/>
        <w:spacing w:after="0" w:line="220" w:lineRule="auto"/>
        <w:rPr>
          <w:sz w:val="20"/>
          <w:szCs w:val="20"/>
          <w:color w:val="auto"/>
        </w:rPr>
      </w:pPr>
      <w:r>
        <w:rPr>
          <w:rFonts w:ascii="Times New Roman" w:cs="Times New Roman" w:eastAsia="Times New Roman" w:hAnsi="Times New Roman"/>
          <w:sz w:val="18"/>
          <w:szCs w:val="18"/>
          <w:color w:val="auto"/>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 symbols, but such</w:t>
      </w:r>
    </w:p>
    <w:p>
      <w:pPr>
        <w:spacing w:after="0" w:line="1" w:lineRule="exact"/>
        <w:rPr>
          <w:sz w:val="20"/>
          <w:szCs w:val="20"/>
          <w:color w:val="auto"/>
        </w:rPr>
      </w:pP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3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reliable and is based on reasonable assumptions, such data involves risks and uncertainties and is subject to change based on various factors, including those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FREQUENTLY USED TERMS AND BASIS OF PRESENTATION</w:t>
      </w:r>
    </w:p>
    <w:p>
      <w:pPr>
        <w:spacing w:after="0" w:line="16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this registration statement on Form F-1 or the context otherwise requires, references to:</w:t>
      </w:r>
    </w:p>
    <w:p>
      <w:pPr>
        <w:spacing w:after="0" w:line="91" w:lineRule="exact"/>
        <w:rPr>
          <w:sz w:val="20"/>
          <w:szCs w:val="20"/>
          <w:color w:val="auto"/>
        </w:rPr>
      </w:pPr>
    </w:p>
    <w:p>
      <w:pPr>
        <w:ind w:left="1620" w:right="7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2025 Convertible Loan</w:t>
      </w:r>
      <w:r>
        <w:rPr>
          <w:rFonts w:ascii="Times New Roman" w:cs="Times New Roman" w:eastAsia="Times New Roman" w:hAnsi="Times New Roman"/>
          <w:sz w:val="18"/>
          <w:szCs w:val="18"/>
          <w:color w:val="auto"/>
        </w:rPr>
        <w:t>” means the EUR 2.5 million term loan drawn from facility agreement dated December 16, 2025 agreed with Black Forest Special Situations I.</w:t>
      </w:r>
    </w:p>
    <w:p>
      <w:pPr>
        <w:spacing w:after="0" w:line="74" w:lineRule="exact"/>
        <w:rPr>
          <w:sz w:val="20"/>
          <w:szCs w:val="20"/>
          <w:color w:val="auto"/>
        </w:rPr>
      </w:pPr>
    </w:p>
    <w:p>
      <w:pPr>
        <w:ind w:left="1620" w:right="5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2025 Options</w:t>
      </w:r>
      <w:r>
        <w:rPr>
          <w:rFonts w:ascii="Times New Roman" w:cs="Times New Roman" w:eastAsia="Times New Roman" w:hAnsi="Times New Roman"/>
          <w:sz w:val="18"/>
          <w:szCs w:val="18"/>
          <w:color w:val="auto"/>
        </w:rPr>
        <w:t>”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w:t>
      </w:r>
    </w:p>
    <w:p>
      <w:pPr>
        <w:spacing w:after="0" w:line="103" w:lineRule="exact"/>
        <w:rPr>
          <w:sz w:val="20"/>
          <w:szCs w:val="20"/>
          <w:color w:val="auto"/>
        </w:rPr>
      </w:pPr>
    </w:p>
    <w:p>
      <w:pPr>
        <w:ind w:left="1620" w:right="4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Convertible Notes</w:t>
      </w:r>
      <w:r>
        <w:rPr>
          <w:rFonts w:ascii="Times New Roman" w:cs="Times New Roman" w:eastAsia="Times New Roman" w:hAnsi="Times New Roman"/>
          <w:sz w:val="18"/>
          <w:szCs w:val="18"/>
          <w:color w:val="auto"/>
        </w:rPr>
        <w:t>” means the two-tranche convertible notes issued pursuant to an indenture dated January 21, 2026 with an initial principal amount of $30 million.</w:t>
      </w:r>
    </w:p>
    <w:p>
      <w:pPr>
        <w:spacing w:after="0" w:line="86" w:lineRule="exact"/>
        <w:rPr>
          <w:sz w:val="20"/>
          <w:szCs w:val="20"/>
          <w:color w:val="auto"/>
        </w:rPr>
      </w:pPr>
    </w:p>
    <w:p>
      <w:pPr>
        <w:ind w:left="1620" w:right="6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Warrants</w:t>
      </w:r>
      <w:r>
        <w:rPr>
          <w:rFonts w:ascii="Times New Roman" w:cs="Times New Roman" w:eastAsia="Times New Roman" w:hAnsi="Times New Roman"/>
          <w:sz w:val="18"/>
          <w:szCs w:val="18"/>
          <w:color w:val="auto"/>
        </w:rPr>
        <w:t>” means the warrants issued pursuant to a warrant agreement dated January 21, 2026 and the warrants to be issued pursuant to a investment agreement dated January 16, 2026.</w:t>
      </w:r>
    </w:p>
    <w:p>
      <w:pPr>
        <w:spacing w:after="0" w:line="86" w:lineRule="exact"/>
        <w:rPr>
          <w:sz w:val="20"/>
          <w:szCs w:val="20"/>
          <w:color w:val="auto"/>
        </w:rPr>
      </w:pPr>
    </w:p>
    <w:p>
      <w:pPr>
        <w:ind w:left="1620" w:right="41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is defined by the Company as its net income (or loss) for a given period adjusted to exclude income tax expense or benefit, financial results, depreciation and amortization, and the share of profit or loss from equity method investments.</w:t>
      </w:r>
    </w:p>
    <w:p>
      <w:pPr>
        <w:spacing w:after="0" w:line="97" w:lineRule="exact"/>
        <w:rPr>
          <w:sz w:val="20"/>
          <w:szCs w:val="20"/>
          <w:color w:val="auto"/>
        </w:rPr>
      </w:pPr>
    </w:p>
    <w:p>
      <w:pPr>
        <w:ind w:left="1620" w:right="8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means the annual report of the Company on Form 20-F for the fiscal year ended December 31, 2024.</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158" w:lineRule="exact"/>
        <w:rPr>
          <w:sz w:val="20"/>
          <w:szCs w:val="20"/>
          <w:color w:val="auto"/>
        </w:rPr>
      </w:pPr>
    </w:p>
    <w:p>
      <w:pPr>
        <w:ind w:left="1260" w:right="11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de-SPAC</w:t>
      </w:r>
      <w:r>
        <w:rPr>
          <w:rFonts w:ascii="Times New Roman" w:cs="Times New Roman" w:eastAsia="Times New Roman" w:hAnsi="Times New Roman"/>
          <w:sz w:val="18"/>
          <w:szCs w:val="18"/>
          <w:color w:val="auto"/>
        </w:rPr>
        <w:t>” means the transactions contemplated by the Business Combination Agreement. See Note 2 of the Consolidated Financial Statements for the details of the accounting treatment of the de-SPAC.</w:t>
      </w:r>
    </w:p>
    <w:p>
      <w:pPr>
        <w:spacing w:after="0" w:line="104"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April 30, 2024, the date of the closing of the Business Combination.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SCHMID Group N.V.</w:t>
      </w:r>
    </w:p>
    <w:p>
      <w:pPr>
        <w:spacing w:after="0" w:line="158" w:lineRule="exact"/>
        <w:rPr>
          <w:sz w:val="20"/>
          <w:szCs w:val="20"/>
          <w:color w:val="auto"/>
        </w:rPr>
      </w:pPr>
    </w:p>
    <w:p>
      <w:pPr>
        <w:ind w:left="1260" w:right="859" w:firstLine="360"/>
        <w:spacing w:after="0" w:line="271"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Continental</w:t>
      </w:r>
      <w:r>
        <w:rPr>
          <w:rFonts w:ascii="Times New Roman" w:cs="Times New Roman" w:eastAsia="Times New Roman" w:hAnsi="Times New Roman"/>
          <w:sz w:val="18"/>
          <w:szCs w:val="18"/>
          <w:color w:val="auto"/>
        </w:rPr>
        <w:t>” means Continental Stock Transfer &amp; Trust Company, the transfer agent and warrant agent of the Company.</w:t>
      </w:r>
    </w:p>
    <w:p>
      <w:pPr>
        <w:spacing w:after="0" w:line="86" w:lineRule="exact"/>
        <w:rPr>
          <w:sz w:val="20"/>
          <w:szCs w:val="20"/>
          <w:color w:val="auto"/>
        </w:rPr>
      </w:pPr>
    </w:p>
    <w:p>
      <w:pPr>
        <w:ind w:left="1260" w:right="43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means the 5,000,000 shares issued and not yet vested to Anette Schmid and Christian Schmid, transferrable per the terms of the Earn-Out Agreement with such earn-out shares cancelled on April 30, 2027 in case they do not vest before such date.</w:t>
      </w:r>
    </w:p>
    <w:p>
      <w:pPr>
        <w:spacing w:after="0" w:line="97" w:lineRule="exact"/>
        <w:rPr>
          <w:sz w:val="20"/>
          <w:szCs w:val="20"/>
          <w:color w:val="auto"/>
        </w:rPr>
      </w:pPr>
    </w:p>
    <w:p>
      <w:pPr>
        <w:ind w:left="1260" w:right="9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ET</w:t>
      </w:r>
      <w:r>
        <w:rPr>
          <w:rFonts w:ascii="Times New Roman" w:cs="Times New Roman" w:eastAsia="Times New Roman" w:hAnsi="Times New Roman"/>
          <w:sz w:val="18"/>
          <w:szCs w:val="18"/>
          <w:color w:val="auto"/>
        </w:rPr>
        <w:t>” means embedded traces, a process which we believe the next level technology for high-end PCBs &amp; Substrates.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earnings before interest, taxes, depreciation, and amortization.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means the European Union.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U.S. Foreign Corrupt Practices Act.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means the European General Data Protection Regulation.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IAS</w:t>
      </w:r>
      <w:r>
        <w:rPr>
          <w:rFonts w:ascii="Times New Roman" w:cs="Times New Roman" w:eastAsia="Times New Roman" w:hAnsi="Times New Roman"/>
          <w:sz w:val="18"/>
          <w:szCs w:val="18"/>
          <w:color w:val="auto"/>
        </w:rPr>
        <w:t>” means the International Accounting Standard.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IBR</w:t>
      </w:r>
      <w:r>
        <w:rPr>
          <w:rFonts w:ascii="Times New Roman" w:cs="Times New Roman" w:eastAsia="Times New Roman" w:hAnsi="Times New Roman"/>
          <w:sz w:val="18"/>
          <w:szCs w:val="18"/>
          <w:color w:val="auto"/>
        </w:rPr>
        <w:t>” means the incremental borrowing rate.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IASB</w:t>
      </w:r>
      <w:r>
        <w:rPr>
          <w:rFonts w:ascii="Times New Roman" w:cs="Times New Roman" w:eastAsia="Times New Roman" w:hAnsi="Times New Roman"/>
          <w:sz w:val="18"/>
          <w:szCs w:val="18"/>
          <w:color w:val="auto"/>
        </w:rPr>
        <w:t>” means the International Accounting Standards Board.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 as issued by the IASB.</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Linden</w:t>
      </w:r>
      <w:r>
        <w:rPr>
          <w:rFonts w:ascii="Times New Roman" w:cs="Times New Roman" w:eastAsia="Times New Roman" w:hAnsi="Times New Roman"/>
          <w:sz w:val="18"/>
          <w:szCs w:val="18"/>
          <w:color w:val="auto"/>
        </w:rPr>
        <w:t>” means Linden Advisors LP.</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mSAP</w:t>
      </w:r>
      <w:r>
        <w:rPr>
          <w:rFonts w:ascii="Times New Roman" w:cs="Times New Roman" w:eastAsia="Times New Roman" w:hAnsi="Times New Roman"/>
          <w:sz w:val="18"/>
          <w:szCs w:val="18"/>
          <w:color w:val="auto"/>
        </w:rPr>
        <w:t>” means modified semi additive processes.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MergerSub</w:t>
      </w:r>
      <w:r>
        <w:rPr>
          <w:rFonts w:ascii="Times New Roman" w:cs="Times New Roman" w:eastAsia="Times New Roman" w:hAnsi="Times New Roman"/>
          <w:sz w:val="18"/>
          <w:szCs w:val="18"/>
          <w:color w:val="auto"/>
        </w:rPr>
        <w:t>” means Pegasus MergerSub Corp., a Cayman Islands exempted company.</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Exchange in New York.</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means original equipment manufacturers.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means the shares of the Company.</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Pegasus</w:t>
      </w:r>
      <w:r>
        <w:rPr>
          <w:rFonts w:ascii="Times New Roman" w:cs="Times New Roman" w:eastAsia="Times New Roman" w:hAnsi="Times New Roman"/>
          <w:sz w:val="18"/>
          <w:szCs w:val="18"/>
          <w:color w:val="auto"/>
        </w:rPr>
        <w:t>” means Pegasus Digital Mobility Acquisition Corp., a Cayman Islands exempted company.</w:t>
      </w:r>
    </w:p>
    <w:p>
      <w:pPr>
        <w:spacing w:after="0" w:line="158" w:lineRule="exact"/>
        <w:rPr>
          <w:sz w:val="20"/>
          <w:szCs w:val="20"/>
          <w:color w:val="auto"/>
        </w:rPr>
      </w:pPr>
    </w:p>
    <w:p>
      <w:pPr>
        <w:ind w:left="1260" w:right="5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means the 9,750,000 warrants originally issued in the private placement that occurred concurrently with the closing of Pegasus’s IPO.</w:t>
      </w:r>
    </w:p>
    <w:p>
      <w:pPr>
        <w:spacing w:after="0" w:line="74"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the 11,250,000 public warrants, each of which is a warrant to purchase one Pegasus Class A Ordinary Share at a price of $11.50 per share, subject to adjustment in accordance with the Warrant Agreement.</w:t>
      </w:r>
    </w:p>
    <w:p>
      <w:pPr>
        <w:spacing w:after="0" w:line="103" w:lineRule="exact"/>
        <w:rPr>
          <w:sz w:val="20"/>
          <w:szCs w:val="20"/>
          <w:color w:val="auto"/>
        </w:rPr>
      </w:pPr>
    </w:p>
    <w:p>
      <w:pPr>
        <w:ind w:left="1260" w:right="10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collectively the Pegasus Public Warrants and the Pegasus Private Placement Warrants.</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PCB</w:t>
      </w:r>
      <w:r>
        <w:rPr>
          <w:rFonts w:ascii="Times New Roman" w:cs="Times New Roman" w:eastAsia="Times New Roman" w:hAnsi="Times New Roman"/>
          <w:sz w:val="18"/>
          <w:szCs w:val="18"/>
          <w:color w:val="auto"/>
        </w:rPr>
        <w:t>” means printed circuit board.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 means research and development.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RMB</w:t>
      </w:r>
      <w:r>
        <w:rPr>
          <w:rFonts w:ascii="Times New Roman" w:cs="Times New Roman" w:eastAsia="Times New Roman" w:hAnsi="Times New Roman"/>
          <w:sz w:val="18"/>
          <w:szCs w:val="18"/>
          <w:color w:val="auto"/>
        </w:rPr>
        <w:t>” means the Chinese Renminbi.</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means semi-additive processes.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SCHMID</w:t>
      </w:r>
      <w:r>
        <w:rPr>
          <w:rFonts w:ascii="Times New Roman" w:cs="Times New Roman" w:eastAsia="Times New Roman" w:hAnsi="Times New Roman"/>
          <w:sz w:val="18"/>
          <w:szCs w:val="18"/>
          <w:color w:val="auto"/>
        </w:rPr>
        <w:t>” means SCHMID Group N.V.</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means the Standby Equity Purchase Agreement.</w:t>
      </w:r>
    </w:p>
    <w:p>
      <w:pPr>
        <w:spacing w:after="0" w:line="144"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Pegasus Digital Mobility Sponsor LLC., a Cayman Islands limited liability company, which is the sponsor of Pegasus.</w:t>
      </w:r>
    </w:p>
    <w:p>
      <w:pPr>
        <w:spacing w:after="0" w:line="87" w:lineRule="exact"/>
        <w:rPr>
          <w:sz w:val="20"/>
          <w:szCs w:val="20"/>
          <w:color w:val="auto"/>
        </w:rPr>
      </w:pPr>
    </w:p>
    <w:p>
      <w:pPr>
        <w:jc w:val="both"/>
        <w:ind w:left="1260" w:right="65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TopCo</w:t>
      </w:r>
      <w:r>
        <w:rPr>
          <w:rFonts w:ascii="Times New Roman" w:cs="Times New Roman" w:eastAsia="Times New Roman" w:hAnsi="Times New Roman"/>
          <w:sz w:val="18"/>
          <w:szCs w:val="18"/>
          <w:color w:val="auto"/>
        </w:rPr>
        <w:t>” means Pegasus TopCo B.V., a Dutch private liability company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which has been converted and renamed to SCHMID Group N.V. on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XJ Harbour</w:t>
      </w:r>
      <w:r>
        <w:rPr>
          <w:rFonts w:ascii="Times New Roman" w:cs="Times New Roman" w:eastAsia="Times New Roman" w:hAnsi="Times New Roman"/>
          <w:sz w:val="18"/>
          <w:szCs w:val="18"/>
          <w:color w:val="auto"/>
        </w:rPr>
        <w:t>” means XJ Harbour HK Limited.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means YA II PN, Ltd.</w:t>
      </w:r>
    </w:p>
    <w:p>
      <w:pPr>
        <w:spacing w:after="0" w:line="200" w:lineRule="exact"/>
        <w:rPr>
          <w:sz w:val="20"/>
          <w:szCs w:val="20"/>
          <w:color w:val="auto"/>
        </w:rPr>
      </w:pPr>
    </w:p>
    <w:p>
      <w:pPr>
        <w:spacing w:after="0" w:line="3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This prospectus contains or may contain forward-looking statements that involve significant risks and uncertainties.</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w:t>
      </w:r>
    </w:p>
    <w:p>
      <w:pPr>
        <w:spacing w:after="0" w:line="32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Forward-looking statements are subject to risks and uncertainties. The risks and uncertainties include, but are not limited to:</w:t>
      </w:r>
    </w:p>
    <w:p>
      <w:pPr>
        <w:spacing w:after="0" w:line="54"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condition and operating results;</w:t>
      </w:r>
    </w:p>
    <w:p>
      <w:pPr>
        <w:spacing w:after="0" w:line="126" w:lineRule="exact"/>
        <w:rPr>
          <w:rFonts w:ascii="Times New Roman" w:cs="Times New Roman" w:eastAsia="Times New Roman" w:hAnsi="Times New Roman"/>
          <w:sz w:val="18"/>
          <w:szCs w:val="18"/>
          <w:color w:val="auto"/>
        </w:rPr>
      </w:pPr>
    </w:p>
    <w:p>
      <w:pPr>
        <w:ind w:left="1800" w:right="619" w:hanging="180"/>
        <w:spacing w:after="0" w:line="26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 the Federal Republic of Germany (“</w:t>
      </w:r>
      <w:r>
        <w:rPr>
          <w:rFonts w:ascii="Times New Roman" w:cs="Times New Roman" w:eastAsia="Times New Roman" w:hAnsi="Times New Roman"/>
          <w:sz w:val="18"/>
          <w:szCs w:val="18"/>
          <w:b w:val="1"/>
          <w:bCs w:val="1"/>
          <w:color w:val="auto"/>
        </w:rPr>
        <w:t>Germany</w:t>
      </w:r>
      <w:r>
        <w:rPr>
          <w:rFonts w:ascii="Times New Roman" w:cs="Times New Roman" w:eastAsia="Times New Roman" w:hAnsi="Times New Roman"/>
          <w:sz w:val="18"/>
          <w:szCs w:val="18"/>
          <w:color w:val="auto"/>
        </w:rPr>
        <w:t>”), the European Union, the United States of America and the People’s Republic of China, including changes in the unemployment rate, the level of energy and consumer prices, wage levels, tariff and trade barrier pricing, etc.;</w:t>
      </w:r>
    </w:p>
    <w:p>
      <w:pPr>
        <w:spacing w:after="0" w:line="7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financial covenants under our financing arrangements;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extend, renew or refinance our existing debt;</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and losses from operations and projected cash flows and related impact on our ability to continue as a going concern;</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expansion and acquisition prospects and strategies, the success of such strategies, and the benefits we believe can be derived from such strategies;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inventory and inventory reserves;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goodwill or other intangible assets;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spending patterns and overall levels of investment;</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upgrade our information technology systems and infrastructure, including our accounting processes and functions;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remedy weaknesses in our internal controls;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 a result of operating as a public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assumptions regarding interest rates and inflation;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affecting currency exchange rates;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business disruptions arising from the on-going war in Ukraine and ongoing hostilities in the Middle East;</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ability to obtain financing in the future to implement our business strategy and fund capital expenditures, acquisitions and other general corporate activities;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capital expenditures needed to preserve our asset base;</w:t>
      </w:r>
    </w:p>
    <w:p>
      <w:pPr>
        <w:spacing w:after="0" w:line="130"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our products by our customers and our ability to adapt to technological changes;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in the market for embedded traces, glass substrate technology in our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competitive environment and in our competition level;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accidents, terrorist attacks, natural disasters, fires, environmental damage, or systemic delivery failures;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qualified personnel, consultants and collaborators;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relating to dividend payments and forecasts of our ability to make such payments.</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Actual results could differ materially from those anticipated in forward-looking statements for many reasons, including the factors described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spacing w:after="0" w:line="116"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These statements are inherently uncertain, and you are cautioned not to unduly rely on these statements.</w:t>
      </w:r>
    </w:p>
    <w:p>
      <w:pPr>
        <w:spacing w:after="0" w:line="94" w:lineRule="exact"/>
        <w:rPr>
          <w:sz w:val="20"/>
          <w:szCs w:val="20"/>
          <w:color w:val="auto"/>
        </w:rPr>
      </w:pPr>
    </w:p>
    <w:p>
      <w:pPr>
        <w:ind w:left="1260" w:right="579" w:firstLine="360"/>
        <w:spacing w:after="0" w:line="252"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SUMMARY OF PROSPECTUS</w:t>
      </w:r>
    </w:p>
    <w:p>
      <w:pPr>
        <w:spacing w:after="0" w:line="160" w:lineRule="exact"/>
        <w:rPr>
          <w:sz w:val="20"/>
          <w:szCs w:val="20"/>
          <w:color w:val="auto"/>
        </w:rPr>
      </w:pPr>
    </w:p>
    <w:p>
      <w:pPr>
        <w:ind w:left="128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w:t>
      </w:r>
    </w:p>
    <w:p>
      <w:pPr>
        <w:spacing w:after="0" w:line="118" w:lineRule="exact"/>
        <w:rPr>
          <w:sz w:val="20"/>
          <w:szCs w:val="20"/>
          <w:color w:val="auto"/>
        </w:rPr>
      </w:pPr>
    </w:p>
    <w:p>
      <w:pPr>
        <w:ind w:left="1280" w:right="49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On September 30, 2024, the Company’s registration statement on Form F-1 (Registration No. 333-280095) relating to certain Ordinary Shares and certain Warrants of the Company was declared effective. This registration statement on Form F-1/A (as amended by this filing) registered for resale all yet unsold securities previously covered by that registration statement (the Company filed a post-effective amendment to the Form F-1 registration statement under Registration No. 333-280095 to terminate the effectiveness of such registration statement and to deregister all yet unsold securities), as well as additional securities issued or issuable in connection with financings completed in December 2025 and January 2026.</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a global supplier of equipment, software and services for various industries such as printed</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circuit board (“</w:t>
      </w:r>
      <w:r>
        <w:rPr>
          <w:rFonts w:ascii="Times New Roman" w:cs="Times New Roman" w:eastAsia="Times New Roman" w:hAnsi="Times New Roman"/>
          <w:sz w:val="18"/>
          <w:szCs w:val="18"/>
          <w:b w:val="1"/>
          <w:bCs w:val="1"/>
          <w:color w:val="auto"/>
        </w:rPr>
        <w:t>PCB</w:t>
      </w:r>
      <w:r>
        <w:rPr>
          <w:rFonts w:ascii="Times New Roman" w:cs="Times New Roman" w:eastAsia="Times New Roman" w:hAnsi="Times New Roman"/>
          <w:sz w:val="18"/>
          <w:szCs w:val="18"/>
          <w:color w:val="auto"/>
        </w:rPr>
        <w:t>”), substrate manufacturing, glass and photovoltaics with a focus on the highest end of</w:t>
      </w:r>
    </w:p>
    <w:p>
      <w:pPr>
        <w:ind w:left="1280"/>
        <w:spacing w:after="0"/>
        <w:rPr>
          <w:sz w:val="20"/>
          <w:szCs w:val="20"/>
          <w:color w:val="auto"/>
        </w:rPr>
      </w:pPr>
      <w:r>
        <w:rPr>
          <w:rFonts w:ascii="Times New Roman" w:cs="Times New Roman" w:eastAsia="Times New Roman" w:hAnsi="Times New Roman"/>
          <w:sz w:val="18"/>
          <w:szCs w:val="18"/>
          <w:color w:val="auto"/>
        </w:rPr>
        <w:t>these markets in terms of technology and performance. We are a long-established, fifth- generation family-</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controlled business that was founded in 1864 in Freudenstadt, Germany as an iron foundry and has a</w:t>
      </w:r>
    </w:p>
    <w:p>
      <w:pPr>
        <w:ind w:left="1280"/>
        <w:spacing w:after="0" w:line="234" w:lineRule="auto"/>
        <w:rPr>
          <w:sz w:val="20"/>
          <w:szCs w:val="20"/>
          <w:color w:val="auto"/>
        </w:rPr>
      </w:pPr>
      <w:r>
        <w:rPr>
          <w:rFonts w:ascii="Times New Roman" w:cs="Times New Roman" w:eastAsia="Times New Roman" w:hAnsi="Times New Roman"/>
          <w:sz w:val="18"/>
          <w:szCs w:val="18"/>
          <w:color w:val="auto"/>
        </w:rPr>
        <w:t>tradition of being at the forefront of technology. Throughout the more than 160 years of our operations, we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have maintained sustainable operations by developing our products following trends on the market. We have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been developing machines for the electronics industry since the 1960s and photovoltaics solutions since the</w:t>
      </w:r>
    </w:p>
    <w:p>
      <w:pPr>
        <w:ind w:left="1280"/>
        <w:spacing w:after="0" w:line="234" w:lineRule="auto"/>
        <w:rPr>
          <w:sz w:val="20"/>
          <w:szCs w:val="20"/>
          <w:color w:val="auto"/>
        </w:rPr>
      </w:pPr>
      <w:r>
        <w:rPr>
          <w:rFonts w:ascii="Times New Roman" w:cs="Times New Roman" w:eastAsia="Times New Roman" w:hAnsi="Times New Roman"/>
          <w:sz w:val="18"/>
          <w:szCs w:val="18"/>
          <w:color w:val="auto"/>
        </w:rPr>
        <w:t>early 2000s. We focus on a modular product portfolio of machinery to use in the manufacturing of high-end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PCB equipment and semiconductor packaging devices which includes common flexible circuit fabrication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techniques such as subtractive, semi-additive processes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and modified semi additive processes</w:t>
      </w:r>
    </w:p>
    <w:p>
      <w:pPr>
        <w:ind w:left="128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mSAP</w:t>
      </w:r>
      <w:r>
        <w:rPr>
          <w:rFonts w:ascii="Times New Roman" w:cs="Times New Roman" w:eastAsia="Times New Roman" w:hAnsi="Times New Roman"/>
          <w:sz w:val="18"/>
          <w:szCs w:val="18"/>
          <w:color w:val="auto"/>
        </w:rPr>
        <w:t>”). We are a global supplier of capital equipment, software and services for the PCB and substrate</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manufacturing industry. We focus on the highest end of the market in terms of technology and performance.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We do not only develop production techniques and build machines ourselves; we are also extensively</w:t>
      </w:r>
    </w:p>
    <w:p>
      <w:pPr>
        <w:ind w:left="1280"/>
        <w:spacing w:after="0" w:line="234" w:lineRule="auto"/>
        <w:rPr>
          <w:sz w:val="20"/>
          <w:szCs w:val="20"/>
          <w:color w:val="auto"/>
        </w:rPr>
      </w:pPr>
      <w:r>
        <w:rPr>
          <w:rFonts w:ascii="Times New Roman" w:cs="Times New Roman" w:eastAsia="Times New Roman" w:hAnsi="Times New Roman"/>
          <w:sz w:val="18"/>
          <w:szCs w:val="18"/>
          <w:color w:val="auto"/>
        </w:rPr>
        <w:t>working with our customers on joint research &amp; development projects for the next generation of electronics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products. We produce our products in two manufacturing sites, one in Germany and one in China. In</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addition, we have built an extensive service and sales network in six centers in the US, Europe, and Asia. In</w:t>
      </w:r>
    </w:p>
    <w:p>
      <w:pPr>
        <w:ind w:left="1280"/>
        <w:spacing w:after="0" w:line="234" w:lineRule="auto"/>
        <w:rPr>
          <w:sz w:val="20"/>
          <w:szCs w:val="20"/>
          <w:color w:val="auto"/>
        </w:rPr>
      </w:pPr>
      <w:r>
        <w:rPr>
          <w:rFonts w:ascii="Times New Roman" w:cs="Times New Roman" w:eastAsia="Times New Roman" w:hAnsi="Times New Roman"/>
          <w:sz w:val="18"/>
          <w:szCs w:val="18"/>
          <w:color w:val="auto"/>
        </w:rPr>
        <w:t>addition to our sale and service centers and two manufacturing sites, in South Korea we also work with our</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partners in SCHMID Avaco Korea, Co. Ltd. which we account for using the equity method. We also provide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customer service through which we assist our customers with machinery and software upgrades, spare parts,</w:t>
      </w:r>
    </w:p>
    <w:p>
      <w:pPr>
        <w:ind w:left="1280"/>
        <w:spacing w:after="0" w:line="234" w:lineRule="auto"/>
        <w:rPr>
          <w:sz w:val="20"/>
          <w:szCs w:val="20"/>
          <w:color w:val="auto"/>
        </w:rPr>
      </w:pPr>
      <w:r>
        <w:rPr>
          <w:rFonts w:ascii="Times New Roman" w:cs="Times New Roman" w:eastAsia="Times New Roman" w:hAnsi="Times New Roman"/>
          <w:sz w:val="18"/>
          <w:szCs w:val="18"/>
          <w:color w:val="auto"/>
        </w:rPr>
        <w:t>logistics, customer training in multiple languages, on-site management, maintenance contracts, and project</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management.</w:t>
      </w:r>
    </w:p>
    <w:p>
      <w:pPr>
        <w:spacing w:after="0" w:line="120" w:lineRule="exact"/>
        <w:rPr>
          <w:sz w:val="20"/>
          <w:szCs w:val="20"/>
          <w:color w:val="auto"/>
        </w:rPr>
      </w:pPr>
    </w:p>
    <w:p>
      <w:pPr>
        <w:ind w:left="1280" w:right="419" w:firstLine="360"/>
        <w:spacing w:after="0" w:line="245" w:lineRule="auto"/>
        <w:rPr>
          <w:sz w:val="20"/>
          <w:szCs w:val="20"/>
          <w:color w:val="auto"/>
        </w:rPr>
      </w:pPr>
      <w:r>
        <w:rPr>
          <w:rFonts w:ascii="Times New Roman" w:cs="Times New Roman" w:eastAsia="Times New Roman" w:hAnsi="Times New Roman"/>
          <w:sz w:val="18"/>
          <w:szCs w:val="18"/>
          <w:color w:val="auto"/>
        </w:rPr>
        <w:t>We have developed and applied for patents for the embedded traces (“</w:t>
      </w:r>
      <w:r>
        <w:rPr>
          <w:rFonts w:ascii="Times New Roman" w:cs="Times New Roman" w:eastAsia="Times New Roman" w:hAnsi="Times New Roman"/>
          <w:sz w:val="18"/>
          <w:szCs w:val="18"/>
          <w:b w:val="1"/>
          <w:bCs w:val="1"/>
          <w:color w:val="auto"/>
        </w:rPr>
        <w:t>ET</w:t>
      </w:r>
      <w:r>
        <w:rPr>
          <w:rFonts w:ascii="Times New Roman" w:cs="Times New Roman" w:eastAsia="Times New Roman" w:hAnsi="Times New Roman"/>
          <w:sz w:val="18"/>
          <w:szCs w:val="18"/>
          <w:color w:val="auto"/>
        </w:rPr>
        <w:t>”),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w:t>
      </w:r>
    </w:p>
    <w:p>
      <w:pPr>
        <w:spacing w:after="0" w:line="325" w:lineRule="exact"/>
        <w:rPr>
          <w:sz w:val="20"/>
          <w:szCs w:val="20"/>
          <w:color w:val="auto"/>
        </w:rPr>
      </w:pPr>
    </w:p>
    <w:p>
      <w:pPr>
        <w:ind w:left="1280" w:right="499" w:firstLine="360"/>
        <w:spacing w:after="0" w:line="250" w:lineRule="auto"/>
        <w:rPr>
          <w:sz w:val="20"/>
          <w:szCs w:val="20"/>
          <w:color w:val="auto"/>
        </w:rPr>
      </w:pPr>
      <w:r>
        <w:rPr>
          <w:rFonts w:ascii="Times New Roman" w:cs="Times New Roman" w:eastAsia="Times New Roman" w:hAnsi="Times New Roman"/>
          <w:sz w:val="18"/>
          <w:szCs w:val="18"/>
          <w:color w:val="auto"/>
        </w:rPr>
        <w:t>Our customers include large, global original equipment manufacturer (“OEM”) from the semiconductor, consumer electronics industry, space and defense electronics and companies that are part of the supply chain of such global companies.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firstLine="360"/>
        <w:spacing w:after="0" w:line="253" w:lineRule="auto"/>
        <w:rPr>
          <w:sz w:val="20"/>
          <w:szCs w:val="20"/>
          <w:color w:val="auto"/>
        </w:rPr>
      </w:pPr>
      <w:r>
        <w:rPr>
          <w:rFonts w:ascii="Times New Roman" w:cs="Times New Roman" w:eastAsia="Times New Roman" w:hAnsi="Times New Roman"/>
          <w:sz w:val="18"/>
          <w:szCs w:val="18"/>
          <w:color w:val="auto"/>
        </w:rPr>
        <w:t>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w:t>
      </w:r>
    </w:p>
    <w:p>
      <w:pPr>
        <w:spacing w:after="0" w:line="124"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w:t>
      </w:r>
    </w:p>
    <w:p>
      <w:pPr>
        <w:spacing w:after="0" w:line="106"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Electronics</w:t>
      </w:r>
    </w:p>
    <w:p>
      <w:pPr>
        <w:spacing w:after="0" w:line="160" w:lineRule="exact"/>
        <w:rPr>
          <w:sz w:val="20"/>
          <w:szCs w:val="20"/>
          <w:color w:val="auto"/>
        </w:rPr>
      </w:pPr>
    </w:p>
    <w:p>
      <w:pPr>
        <w:jc w:val="both"/>
        <w:ind w:left="1280" w:right="499" w:firstLine="360"/>
        <w:spacing w:after="0" w:line="261" w:lineRule="auto"/>
        <w:rPr>
          <w:sz w:val="20"/>
          <w:szCs w:val="20"/>
          <w:color w:val="auto"/>
        </w:rPr>
      </w:pPr>
      <w:r>
        <w:rPr>
          <w:rFonts w:ascii="Times New Roman" w:cs="Times New Roman" w:eastAsia="Times New Roman" w:hAnsi="Times New Roman"/>
          <w:sz w:val="18"/>
          <w:szCs w:val="18"/>
          <w:color w:val="auto"/>
        </w:rPr>
        <w:t>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w:t>
      </w:r>
    </w:p>
    <w:p>
      <w:pPr>
        <w:spacing w:after="0" w:line="112" w:lineRule="exact"/>
        <w:rPr>
          <w:sz w:val="20"/>
          <w:szCs w:val="20"/>
          <w:color w:val="auto"/>
        </w:rPr>
      </w:pPr>
    </w:p>
    <w:p>
      <w:pPr>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w:t>
      </w:r>
    </w:p>
    <w:p>
      <w:pPr>
        <w:spacing w:after="0" w:line="113" w:lineRule="exact"/>
        <w:rPr>
          <w:sz w:val="20"/>
          <w:szCs w:val="20"/>
          <w:color w:val="auto"/>
        </w:rPr>
      </w:pPr>
    </w:p>
    <w:p>
      <w:pPr>
        <w:ind w:left="1280" w:right="499" w:firstLine="360"/>
        <w:spacing w:after="0" w:line="263" w:lineRule="auto"/>
        <w:rPr>
          <w:sz w:val="20"/>
          <w:szCs w:val="20"/>
          <w:color w:val="auto"/>
        </w:rPr>
      </w:pPr>
      <w:r>
        <w:rPr>
          <w:rFonts w:ascii="Times New Roman" w:cs="Times New Roman" w:eastAsia="Times New Roman" w:hAnsi="Times New Roman"/>
          <w:sz w:val="18"/>
          <w:szCs w:val="18"/>
          <w:color w:val="auto"/>
        </w:rPr>
        <w:t>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59" w:firstLine="360"/>
        <w:spacing w:after="0" w:line="246" w:lineRule="auto"/>
        <w:rPr>
          <w:sz w:val="20"/>
          <w:szCs w:val="20"/>
          <w:color w:val="auto"/>
        </w:rPr>
      </w:pPr>
      <w:r>
        <w:rPr>
          <w:rFonts w:ascii="Times New Roman" w:cs="Times New Roman" w:eastAsia="Times New Roman" w:hAnsi="Times New Roman"/>
          <w:sz w:val="18"/>
          <w:szCs w:val="18"/>
          <w:color w:val="auto"/>
        </w:rPr>
        <w:t>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w:t>
      </w:r>
    </w:p>
    <w:p>
      <w:pPr>
        <w:spacing w:after="0" w:line="112" w:lineRule="exact"/>
        <w:rPr>
          <w:sz w:val="20"/>
          <w:szCs w:val="20"/>
          <w:color w:val="auto"/>
        </w:rPr>
      </w:pPr>
    </w:p>
    <w:p>
      <w:pPr>
        <w:ind w:left="1280" w:right="399" w:firstLine="360"/>
        <w:spacing w:after="0" w:line="241" w:lineRule="auto"/>
        <w:rPr>
          <w:sz w:val="20"/>
          <w:szCs w:val="20"/>
          <w:color w:val="auto"/>
        </w:rPr>
      </w:pPr>
      <w:r>
        <w:rPr>
          <w:rFonts w:ascii="Times New Roman" w:cs="Times New Roman" w:eastAsia="Times New Roman" w:hAnsi="Times New Roman"/>
          <w:sz w:val="18"/>
          <w:szCs w:val="18"/>
          <w:color w:val="auto"/>
        </w:rPr>
        <w:t>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 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w:t>
      </w:r>
    </w:p>
    <w:p>
      <w:pPr>
        <w:spacing w:after="0" w:line="125" w:lineRule="exact"/>
        <w:rPr>
          <w:sz w:val="20"/>
          <w:szCs w:val="20"/>
          <w:color w:val="auto"/>
        </w:rPr>
      </w:pPr>
    </w:p>
    <w:p>
      <w:pPr>
        <w:ind w:left="1280" w:right="639" w:firstLine="360"/>
        <w:spacing w:after="0" w:line="244" w:lineRule="auto"/>
        <w:rPr>
          <w:sz w:val="20"/>
          <w:szCs w:val="20"/>
          <w:color w:val="auto"/>
        </w:rPr>
      </w:pPr>
      <w:r>
        <w:rPr>
          <w:rFonts w:ascii="Times New Roman" w:cs="Times New Roman" w:eastAsia="Times New Roman" w:hAnsi="Times New Roman"/>
          <w:sz w:val="18"/>
          <w:szCs w:val="18"/>
          <w:color w:val="auto"/>
        </w:rPr>
        <w:t>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w:t>
      </w:r>
    </w:p>
    <w:p>
      <w:pPr>
        <w:spacing w:after="0" w:line="2" w:lineRule="exact"/>
        <w:rPr>
          <w:sz w:val="20"/>
          <w:szCs w:val="20"/>
          <w:color w:val="auto"/>
        </w:rPr>
      </w:pPr>
    </w:p>
    <w:p>
      <w:pPr>
        <w:ind w:left="1280" w:right="579" w:hanging="2"/>
        <w:spacing w:after="0"/>
        <w:tabs>
          <w:tab w:leader="none" w:pos="15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w:t>
      </w:r>
    </w:p>
    <w:p>
      <w:pPr>
        <w:ind w:left="1280" w:right="439" w:hanging="2"/>
        <w:spacing w:after="0" w:line="258" w:lineRule="auto"/>
        <w:tabs>
          <w:tab w:leader="none" w:pos="161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urban, green fabrication facilities concept that allows high flexibility for production of a wider range of boards with one base technology which allows the customers a higher investment security.</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The ET Process</w:t>
      </w:r>
    </w:p>
    <w:p>
      <w:pPr>
        <w:spacing w:after="0" w:line="160"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w:t>
      </w:r>
    </w:p>
    <w:p>
      <w:pPr>
        <w:spacing w:after="0" w:line="120" w:lineRule="exact"/>
        <w:rPr>
          <w:sz w:val="20"/>
          <w:szCs w:val="20"/>
          <w:color w:val="auto"/>
        </w:rPr>
      </w:pPr>
    </w:p>
    <w:p>
      <w:pPr>
        <w:ind w:left="1280" w:right="479" w:firstLine="360"/>
        <w:spacing w:after="0" w:line="247" w:lineRule="auto"/>
        <w:rPr>
          <w:sz w:val="20"/>
          <w:szCs w:val="20"/>
          <w:color w:val="auto"/>
        </w:rPr>
      </w:pPr>
      <w:r>
        <w:rPr>
          <w:rFonts w:ascii="Times New Roman" w:cs="Times New Roman" w:eastAsia="Times New Roman" w:hAnsi="Times New Roman"/>
          <w:sz w:val="18"/>
          <w:szCs w:val="18"/>
          <w:color w:val="auto"/>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w:t>
      </w:r>
    </w:p>
    <w:p>
      <w:pPr>
        <w:spacing w:after="0" w:line="112"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We provide a specialized equipment portfolio that allows our customers to produce embedded traces. This specialized equipment allows our customers to produce high-end-boards with the best yields at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spacing w:after="0" w:line="247" w:lineRule="auto"/>
        <w:rPr>
          <w:sz w:val="20"/>
          <w:szCs w:val="20"/>
          <w:color w:val="auto"/>
        </w:rPr>
      </w:pPr>
      <w:r>
        <w:rPr>
          <w:rFonts w:ascii="Times New Roman" w:cs="Times New Roman" w:eastAsia="Times New Roman" w:hAnsi="Times New Roman"/>
          <w:sz w:val="18"/>
          <w:szCs w:val="18"/>
          <w:color w:val="auto"/>
        </w:rPr>
        <w:t>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spacing w:after="0" w:line="1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use of ET technology can (i) increase production yields with reduced facility requirements,</w:t>
      </w:r>
    </w:p>
    <w:p>
      <w:pPr>
        <w:spacing w:after="0" w:line="16" w:lineRule="exact"/>
        <w:rPr>
          <w:sz w:val="20"/>
          <w:szCs w:val="20"/>
          <w:color w:val="auto"/>
        </w:rPr>
      </w:pPr>
    </w:p>
    <w:p>
      <w:pPr>
        <w:ind w:left="1560" w:hanging="282"/>
        <w:spacing w:after="0"/>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new 3D packaging solutions that cover ratification intelligence and photonic applications, and</w:t>
      </w:r>
    </w:p>
    <w:p>
      <w:pPr>
        <w:spacing w:after="0" w:line="7" w:lineRule="exact"/>
        <w:rPr>
          <w:rFonts w:ascii="Times New Roman" w:cs="Times New Roman" w:eastAsia="Times New Roman" w:hAnsi="Times New Roman"/>
          <w:sz w:val="18"/>
          <w:szCs w:val="18"/>
          <w:color w:val="auto"/>
        </w:rPr>
      </w:pPr>
    </w:p>
    <w:p>
      <w:pPr>
        <w:ind w:left="1280" w:right="459" w:hanging="2"/>
        <w:spacing w:after="0"/>
        <w:tabs>
          <w:tab w:leader="none" w:pos="16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high-performance materials. The embedding concepts allow for implementation of chips directly inside the substrates. These advantages allow higher performance final applications such as those being demanded in AI, high-end consumer electronics, and certain autonomous driving applications.</w:t>
      </w:r>
    </w:p>
    <w:p>
      <w:pPr>
        <w:spacing w:after="0" w:line="117" w:lineRule="exact"/>
        <w:rPr>
          <w:sz w:val="20"/>
          <w:szCs w:val="20"/>
          <w:color w:val="auto"/>
        </w:rPr>
      </w:pPr>
    </w:p>
    <w:p>
      <w:pPr>
        <w:ind w:left="1280" w:right="499" w:firstLine="360"/>
        <w:spacing w:after="0" w:line="250" w:lineRule="auto"/>
        <w:rPr>
          <w:sz w:val="20"/>
          <w:szCs w:val="20"/>
          <w:color w:val="auto"/>
        </w:rPr>
      </w:pPr>
      <w:r>
        <w:rPr>
          <w:rFonts w:ascii="Times New Roman" w:cs="Times New Roman" w:eastAsia="Times New Roman" w:hAnsi="Times New Roman"/>
          <w:sz w:val="18"/>
          <w:szCs w:val="18"/>
          <w:color w:val="auto"/>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After Sales Services</w:t>
      </w:r>
    </w:p>
    <w:p>
      <w:pPr>
        <w:spacing w:after="0" w:line="160" w:lineRule="exact"/>
        <w:rPr>
          <w:sz w:val="20"/>
          <w:szCs w:val="20"/>
          <w:color w:val="auto"/>
        </w:rPr>
      </w:pPr>
    </w:p>
    <w:p>
      <w:pPr>
        <w:jc w:val="both"/>
        <w:ind w:left="1280" w:right="519" w:firstLine="360"/>
        <w:spacing w:after="0" w:line="250" w:lineRule="auto"/>
        <w:rPr>
          <w:sz w:val="20"/>
          <w:szCs w:val="20"/>
          <w:color w:val="auto"/>
        </w:rPr>
      </w:pPr>
      <w:r>
        <w:rPr>
          <w:rFonts w:ascii="Times New Roman" w:cs="Times New Roman" w:eastAsia="Times New Roman" w:hAnsi="Times New Roman"/>
          <w:sz w:val="18"/>
          <w:szCs w:val="18"/>
          <w:color w:val="auto"/>
        </w:rPr>
        <w:t>Through our five service centers located around the world, we focus on offering worldwide customer-oriented services, including on-site management, remote maintenance and diagnosis, customer training and project management at our customers’ facilities.</w:t>
      </w:r>
    </w:p>
    <w:p>
      <w:pPr>
        <w:spacing w:after="0" w:line="109" w:lineRule="exact"/>
        <w:rPr>
          <w:sz w:val="20"/>
          <w:szCs w:val="20"/>
          <w:color w:val="auto"/>
        </w:rPr>
      </w:pPr>
    </w:p>
    <w:p>
      <w:pPr>
        <w:ind w:left="1280" w:right="819" w:firstLine="360"/>
        <w:spacing w:after="0" w:line="250" w:lineRule="auto"/>
        <w:rPr>
          <w:sz w:val="20"/>
          <w:szCs w:val="20"/>
          <w:color w:val="auto"/>
        </w:rPr>
      </w:pPr>
      <w:r>
        <w:rPr>
          <w:rFonts w:ascii="Times New Roman" w:cs="Times New Roman" w:eastAsia="Times New Roman" w:hAnsi="Times New Roman"/>
          <w:sz w:val="18"/>
          <w:szCs w:val="18"/>
          <w:color w:val="auto"/>
        </w:rPr>
        <w:t>We also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Strategies</w:t>
      </w:r>
    </w:p>
    <w:p>
      <w:pPr>
        <w:spacing w:after="0" w:line="148" w:lineRule="exact"/>
        <w:rPr>
          <w:sz w:val="20"/>
          <w:szCs w:val="20"/>
          <w:color w:val="auto"/>
        </w:rPr>
      </w:pPr>
    </w:p>
    <w:p>
      <w:pPr>
        <w:ind w:left="1280" w:right="539" w:firstLine="360"/>
        <w:spacing w:after="0" w:line="244" w:lineRule="auto"/>
        <w:rPr>
          <w:sz w:val="20"/>
          <w:szCs w:val="20"/>
          <w:color w:val="auto"/>
        </w:rPr>
      </w:pPr>
      <w:r>
        <w:rPr>
          <w:rFonts w:ascii="Times New Roman" w:cs="Times New Roman" w:eastAsia="Times New Roman" w:hAnsi="Times New Roman"/>
          <w:sz w:val="18"/>
          <w:szCs w:val="18"/>
          <w:color w:val="auto"/>
        </w:rPr>
        <w:t>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w:t>
      </w:r>
    </w:p>
    <w:p>
      <w:pPr>
        <w:spacing w:after="0" w:line="115" w:lineRule="exact"/>
        <w:rPr>
          <w:sz w:val="20"/>
          <w:szCs w:val="20"/>
          <w:color w:val="auto"/>
        </w:rPr>
      </w:pPr>
    </w:p>
    <w:p>
      <w:pPr>
        <w:jc w:val="both"/>
        <w:ind w:left="1280" w:right="619" w:firstLine="360"/>
        <w:spacing w:after="0" w:line="250" w:lineRule="auto"/>
        <w:rPr>
          <w:sz w:val="20"/>
          <w:szCs w:val="20"/>
          <w:color w:val="auto"/>
        </w:rPr>
      </w:pPr>
      <w:r>
        <w:rPr>
          <w:rFonts w:ascii="Times New Roman" w:cs="Times New Roman" w:eastAsia="Times New Roman" w:hAnsi="Times New Roman"/>
          <w:sz w:val="18"/>
          <w:szCs w:val="18"/>
          <w:color w:val="auto"/>
        </w:rPr>
        <w:t>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w:t>
      </w:r>
    </w:p>
    <w:p>
      <w:pPr>
        <w:spacing w:after="0" w:line="109" w:lineRule="exact"/>
        <w:rPr>
          <w:sz w:val="20"/>
          <w:szCs w:val="20"/>
          <w:color w:val="auto"/>
        </w:rPr>
      </w:pPr>
    </w:p>
    <w:p>
      <w:pPr>
        <w:ind w:left="1280" w:right="979" w:firstLine="360"/>
        <w:spacing w:after="0" w:line="258" w:lineRule="auto"/>
        <w:rPr>
          <w:sz w:val="20"/>
          <w:szCs w:val="20"/>
          <w:color w:val="auto"/>
        </w:rPr>
      </w:pPr>
      <w:r>
        <w:rPr>
          <w:rFonts w:ascii="Times New Roman" w:cs="Times New Roman" w:eastAsia="Times New Roman" w:hAnsi="Times New Roman"/>
          <w:sz w:val="18"/>
          <w:szCs w:val="18"/>
          <w:color w:val="auto"/>
        </w:rPr>
        <w:t>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w:t>
      </w:r>
    </w:p>
    <w:p>
      <w:pPr>
        <w:spacing w:after="0" w:line="61" w:lineRule="exact"/>
        <w:rPr>
          <w:sz w:val="20"/>
          <w:szCs w:val="20"/>
          <w:color w:val="auto"/>
        </w:rPr>
      </w:pPr>
    </w:p>
    <w:p>
      <w:pPr>
        <w:ind w:left="1820" w:right="599" w:hanging="182"/>
        <w:spacing w:after="0" w:line="28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use of artificial intelligence expands, it will become more sophisticated. We believe that the expected broad and rapid adoption of AI will accelerate growth in required computing power.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39"/>
        <w:spacing w:after="0" w:line="256" w:lineRule="auto"/>
        <w:rPr>
          <w:sz w:val="20"/>
          <w:szCs w:val="20"/>
          <w:color w:val="auto"/>
        </w:rPr>
      </w:pPr>
      <w:r>
        <w:rPr>
          <w:rFonts w:ascii="Times New Roman" w:cs="Times New Roman" w:eastAsia="Times New Roman" w:hAnsi="Times New Roman"/>
          <w:sz w:val="18"/>
          <w:szCs w:val="18"/>
          <w:color w:val="auto"/>
        </w:rPr>
        <w:t>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w:t>
      </w:r>
    </w:p>
    <w:p>
      <w:pPr>
        <w:spacing w:after="0" w:line="93" w:lineRule="exact"/>
        <w:rPr>
          <w:sz w:val="20"/>
          <w:szCs w:val="20"/>
          <w:color w:val="auto"/>
        </w:rPr>
      </w:pPr>
    </w:p>
    <w:p>
      <w:pPr>
        <w:ind w:left="1820" w:right="679" w:hanging="182"/>
        <w:spacing w:after="0" w:line="263"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w:t>
      </w:r>
    </w:p>
    <w:p>
      <w:pPr>
        <w:spacing w:after="0" w:line="291" w:lineRule="exact"/>
        <w:rPr>
          <w:rFonts w:ascii="Times New Roman" w:cs="Times New Roman" w:eastAsia="Times New Roman" w:hAnsi="Times New Roman"/>
          <w:sz w:val="18"/>
          <w:szCs w:val="18"/>
          <w:color w:val="auto"/>
        </w:rPr>
      </w:pPr>
    </w:p>
    <w:p>
      <w:pPr>
        <w:ind w:left="1820" w:right="419" w:hanging="182"/>
        <w:spacing w:after="0" w:line="218" w:lineRule="exact"/>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w:t>
      </w:r>
    </w:p>
    <w:p>
      <w:pPr>
        <w:spacing w:after="0" w:line="104" w:lineRule="exact"/>
        <w:rPr>
          <w:rFonts w:ascii="Times New Roman" w:cs="Times New Roman" w:eastAsia="Times New Roman" w:hAnsi="Times New Roman"/>
          <w:sz w:val="18"/>
          <w:szCs w:val="18"/>
          <w:color w:val="auto"/>
        </w:rPr>
      </w:pPr>
    </w:p>
    <w:p>
      <w:pPr>
        <w:ind w:left="1820" w:right="419" w:hanging="182"/>
        <w:spacing w:after="0" w:line="256"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w:t>
      </w:r>
    </w:p>
    <w:p>
      <w:pPr>
        <w:spacing w:after="0" w:line="295" w:lineRule="exact"/>
        <w:rPr>
          <w:rFonts w:ascii="Times New Roman" w:cs="Times New Roman" w:eastAsia="Times New Roman" w:hAnsi="Times New Roman"/>
          <w:sz w:val="18"/>
          <w:szCs w:val="18"/>
          <w:color w:val="auto"/>
        </w:rPr>
      </w:pPr>
    </w:p>
    <w:p>
      <w:pPr>
        <w:ind w:left="1820" w:right="479" w:hanging="182"/>
        <w:spacing w:after="0" w:line="258"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High-Power solutions.</w:t>
      </w:r>
    </w:p>
    <w:p>
      <w:pPr>
        <w:spacing w:after="0" w:line="116"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spacing w:after="0" w:line="325" w:lineRule="exact"/>
        <w:rPr>
          <w:sz w:val="20"/>
          <w:szCs w:val="20"/>
          <w:color w:val="auto"/>
        </w:rPr>
      </w:pPr>
    </w:p>
    <w:p>
      <w:pPr>
        <w:jc w:val="both"/>
        <w:ind w:left="1280" w:right="599" w:firstLine="360"/>
        <w:spacing w:after="0" w:line="266" w:lineRule="auto"/>
        <w:rPr>
          <w:sz w:val="20"/>
          <w:szCs w:val="20"/>
          <w:color w:val="auto"/>
        </w:rPr>
      </w:pPr>
      <w:r>
        <w:rPr>
          <w:rFonts w:ascii="Times New Roman" w:cs="Times New Roman" w:eastAsia="Times New Roman" w:hAnsi="Times New Roman"/>
          <w:sz w:val="18"/>
          <w:szCs w:val="18"/>
          <w:color w:val="auto"/>
        </w:rPr>
        <w:t>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Events in 2025 and 2026</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NASDAQ Delinquency and Delisting Notices</w:t>
      </w:r>
    </w:p>
    <w:p>
      <w:pPr>
        <w:spacing w:after="0" w:line="160"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NASDAQ Listing Rule 5250(c)(1). In accordance with NASDAQ rules the Company submitted a plan to regain compliance with the Listing Rules on July 14, 2025 and was granted an extension by NASDAQ until November 11, 2025 to regain compliance.</w:t>
      </w:r>
    </w:p>
    <w:p>
      <w:pPr>
        <w:spacing w:after="0" w:line="124" w:lineRule="exact"/>
        <w:rPr>
          <w:sz w:val="20"/>
          <w:szCs w:val="20"/>
          <w:color w:val="auto"/>
        </w:rPr>
      </w:pPr>
    </w:p>
    <w:p>
      <w:pPr>
        <w:ind w:left="1280" w:right="439" w:firstLine="360"/>
        <w:spacing w:after="0" w:line="257" w:lineRule="auto"/>
        <w:rPr>
          <w:sz w:val="20"/>
          <w:szCs w:val="20"/>
          <w:color w:val="auto"/>
        </w:rPr>
      </w:pPr>
      <w:r>
        <w:rPr>
          <w:rFonts w:ascii="Times New Roman" w:cs="Times New Roman" w:eastAsia="Times New Roman" w:hAnsi="Times New Roman"/>
          <w:sz w:val="18"/>
          <w:szCs w:val="18"/>
          <w:color w:val="auto"/>
        </w:rPr>
        <w:t>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w:t>
      </w:r>
    </w:p>
    <w:p>
      <w:pPr>
        <w:spacing w:after="0" w:line="3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During the period until December 2025 the Company negotiated with various of its creditors, including</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AVACO and XJ, to come to agreements regarding a significant portion of the Company’s outstanding debt.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SCHMID was also in negotiations with a number of new investors interested in an investment into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Company. During the spring and summer of 2025 the Company agreed to exclusivity with one investor, with</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whom the negotiations process was far advanced. In September 2025, shortly before signing definitive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contracts with this investor (which is a publicly listed company in its home country), the national regulator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of the investor’s home country asked the investor to halt the investment process which led to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abandonment of that transaction by the investor. This delay affected the timeline for the Company’s capital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raise and the Company was unable to finalize its financial statements and file its 2024 20-F by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November 11, 2025. On November 12, 2025, the Company received a determination letter from NASDAQ</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notifying it that, based upon its non-compliance with the filing requirement, the staff had determined to</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delist the Company’s securities. The Company was granted a stay in relation to the removal from trading of</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Company’s securities on NASDAQ in accordance with NASDAQ rules upon request by the Company.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Company, in accordance with NASDAQ rules requested a hearing before the NASDAQ Hearings Panel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relation to the determination letter. In January 2026, the NASDAQ Hearings Panel granted the Company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 extension to regain compliance with NASDAQ rules. The Company filed its 2024 20-F on February 13,</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2026 to regain compliance. By letter received on February 19, 2026, NASDAQ confirmed that the Company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has regained full compliance with applicable NASDAQ rules. In application of NASDAQ listing rule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5815(d)(4)(B), the Company is currently subject to a mandatory panel monitoring period of one year from</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date of the letter, that is until February 19, 2027.</w:t>
      </w: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Debt Set-Off and Share Issuance Agreements with XJ Harbour and with AVACO</w:t>
      </w:r>
    </w:p>
    <w:p>
      <w:pPr>
        <w:spacing w:after="0" w:line="160" w:lineRule="exact"/>
        <w:rPr>
          <w:sz w:val="20"/>
          <w:szCs w:val="20"/>
          <w:color w:val="auto"/>
        </w:rPr>
      </w:pPr>
    </w:p>
    <w:p>
      <w:pPr>
        <w:ind w:left="1280" w:right="499" w:firstLine="360"/>
        <w:spacing w:after="0" w:line="255" w:lineRule="auto"/>
        <w:rPr>
          <w:sz w:val="20"/>
          <w:szCs w:val="20"/>
          <w:color w:val="auto"/>
        </w:rPr>
      </w:pPr>
      <w:r>
        <w:rPr>
          <w:rFonts w:ascii="Times New Roman" w:cs="Times New Roman" w:eastAsia="Times New Roman" w:hAnsi="Times New Roman"/>
          <w:sz w:val="18"/>
          <w:szCs w:val="18"/>
          <w:color w:val="auto"/>
        </w:rPr>
        <w:t>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w:t>
      </w:r>
    </w:p>
    <w:p>
      <w:pPr>
        <w:spacing w:after="0" w:line="121"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Term Loan Facility with Black Forest Special Situations I</w:t>
      </w:r>
    </w:p>
    <w:p>
      <w:pPr>
        <w:spacing w:after="0" w:line="160" w:lineRule="exact"/>
        <w:rPr>
          <w:sz w:val="20"/>
          <w:szCs w:val="20"/>
          <w:color w:val="auto"/>
        </w:rPr>
      </w:pPr>
    </w:p>
    <w:p>
      <w:pPr>
        <w:ind w:left="128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 party investment and advisory professionals. The first tranche consisted of €2,500,000, which was paid out to the Company on December 18, 2025.</w:t>
      </w:r>
    </w:p>
    <w:p>
      <w:pPr>
        <w:spacing w:after="0" w:line="112" w:lineRule="exact"/>
        <w:rPr>
          <w:sz w:val="20"/>
          <w:szCs w:val="20"/>
          <w:color w:val="auto"/>
        </w:rPr>
      </w:pPr>
    </w:p>
    <w:p>
      <w:pPr>
        <w:ind w:left="1280" w:right="619" w:firstLine="360"/>
        <w:spacing w:after="0" w:line="266" w:lineRule="auto"/>
        <w:rPr>
          <w:sz w:val="20"/>
          <w:szCs w:val="20"/>
          <w:color w:val="auto"/>
        </w:rPr>
      </w:pPr>
      <w:r>
        <w:rPr>
          <w:rFonts w:ascii="Times New Roman" w:cs="Times New Roman" w:eastAsia="Times New Roman" w:hAnsi="Times New Roman"/>
          <w:sz w:val="18"/>
          <w:szCs w:val="18"/>
          <w:color w:val="auto"/>
        </w:rPr>
        <w:t>The second tranche of up to €7,500,000 was set to be drawn down early in 2026, but was not utilized due to the Company issuing USD 30 million in convertible notes (see below).</w:t>
      </w:r>
    </w:p>
    <w:p>
      <w:pPr>
        <w:spacing w:after="0" w:line="95"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w:t>
      </w:r>
    </w:p>
    <w:p>
      <w:pPr>
        <w:spacing w:after="0" w:line="328" w:lineRule="exact"/>
        <w:rPr>
          <w:sz w:val="20"/>
          <w:szCs w:val="20"/>
          <w:color w:val="auto"/>
        </w:rPr>
      </w:pPr>
    </w:p>
    <w:p>
      <w:pPr>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USD 30 Million 7.00% Senior Convertible Note due 2028</w:t>
      </w:r>
    </w:p>
    <w:p>
      <w:pPr>
        <w:spacing w:after="0" w:line="160"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were issued at 98% of principal amount pursuant an indenture in two tranches to Linden Capital L.P., Crown Managed Accounts SPC and PCH Manager Fund SPC: (i) $15.0 million were funded on January 21, 2026 and (ii) $15.0 million were funded following the initial effectiveness of this registration statement covering the resale of the underlying shares in relation to the notes on March 5, 2026.</w:t>
      </w:r>
    </w:p>
    <w:p>
      <w:pPr>
        <w:spacing w:after="0" w:line="119" w:lineRule="exact"/>
        <w:rPr>
          <w:sz w:val="20"/>
          <w:szCs w:val="20"/>
          <w:color w:val="auto"/>
        </w:rPr>
      </w:pPr>
    </w:p>
    <w:p>
      <w:pPr>
        <w:ind w:left="1280" w:right="519" w:firstLine="360"/>
        <w:spacing w:after="0" w:line="245" w:lineRule="auto"/>
        <w:rPr>
          <w:sz w:val="20"/>
          <w:szCs w:val="20"/>
          <w:color w:val="auto"/>
        </w:rPr>
      </w:pPr>
      <w:r>
        <w:rPr>
          <w:rFonts w:ascii="Times New Roman" w:cs="Times New Roman" w:eastAsia="Times New Roman" w:hAnsi="Times New Roman"/>
          <w:sz w:val="18"/>
          <w:szCs w:val="18"/>
          <w:color w:val="auto"/>
        </w:rPr>
        <w:t>The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w:t>
      </w:r>
    </w:p>
    <w:p>
      <w:pPr>
        <w:spacing w:after="0" w:line="325" w:lineRule="exact"/>
        <w:rPr>
          <w:sz w:val="20"/>
          <w:szCs w:val="20"/>
          <w:color w:val="auto"/>
        </w:rPr>
      </w:pPr>
    </w:p>
    <w:p>
      <w:pPr>
        <w:ind w:left="1280" w:right="699" w:firstLine="360"/>
        <w:spacing w:after="0" w:line="266" w:lineRule="auto"/>
        <w:rPr>
          <w:sz w:val="20"/>
          <w:szCs w:val="20"/>
          <w:color w:val="auto"/>
        </w:rPr>
      </w:pPr>
      <w:r>
        <w:rPr>
          <w:rFonts w:ascii="Times New Roman" w:cs="Times New Roman" w:eastAsia="Times New Roman" w:hAnsi="Times New Roman"/>
          <w:sz w:val="18"/>
          <w:szCs w:val="18"/>
          <w:color w:val="auto"/>
        </w:rPr>
        <w:t>The noteholders of the $30.0 million convertible notes provided conversion notices and were issued ordinary shares of the Company as follows:</w:t>
      </w:r>
    </w:p>
    <w:p>
      <w:pPr>
        <w:spacing w:after="0" w:line="54" w:lineRule="exact"/>
        <w:rPr>
          <w:sz w:val="20"/>
          <w:szCs w:val="20"/>
          <w:color w:val="auto"/>
        </w:rPr>
      </w:pPr>
    </w:p>
    <w:p>
      <w:pPr>
        <w:ind w:left="1820" w:right="41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March 5, 2026 at a share price of $6.0918 and a total of 331,183 shares were issued.</w:t>
      </w:r>
    </w:p>
    <w:p>
      <w:pPr>
        <w:spacing w:after="0" w:line="53"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March 25, 2026 at a share price of $5.9946 and a total of 337,850 shares were issued.</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April 8, 2026 at a share price of $4.8241 and a total of 420,873 shares were issued.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April 20, 2026 at a share price of $5.6501 and a total of 379,127 shares were issued.</w:t>
      </w:r>
    </w:p>
    <w:p>
      <w:pPr>
        <w:spacing w:after="0" w:line="53"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April 23, 2026 at a share price of $5.6501 and a total of 379,344 shares were issued.</w:t>
      </w:r>
    </w:p>
    <w:p>
      <w:pPr>
        <w:spacing w:after="0" w:line="53"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April 24, 2026 at a share price of $5.8267 and a total of 349,521 shares were issued.</w:t>
      </w:r>
    </w:p>
    <w:p>
      <w:pPr>
        <w:spacing w:after="0" w:line="53" w:lineRule="exact"/>
        <w:rPr>
          <w:rFonts w:ascii="Times New Roman" w:cs="Times New Roman" w:eastAsia="Times New Roman" w:hAnsi="Times New Roman"/>
          <w:sz w:val="18"/>
          <w:szCs w:val="18"/>
          <w:color w:val="auto"/>
        </w:rPr>
      </w:pPr>
    </w:p>
    <w:p>
      <w:pPr>
        <w:ind w:left="1820" w:right="47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May 18, 2026 at a share price of $5.4920 and a total of 372,522 shares were issued.</w:t>
      </w:r>
    </w:p>
    <w:p>
      <w:pPr>
        <w:spacing w:after="0" w:line="53" w:lineRule="exact"/>
        <w:rPr>
          <w:rFonts w:ascii="Times New Roman" w:cs="Times New Roman" w:eastAsia="Times New Roman" w:hAnsi="Times New Roman"/>
          <w:sz w:val="18"/>
          <w:szCs w:val="18"/>
          <w:color w:val="auto"/>
        </w:rPr>
      </w:pPr>
    </w:p>
    <w:p>
      <w:pPr>
        <w:ind w:left="1820" w:right="47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May 22, 2026 at a share price of $6.1573 and a total of 332,522 shares were issued.</w:t>
      </w:r>
    </w:p>
    <w:p>
      <w:pPr>
        <w:spacing w:after="0" w:line="53" w:lineRule="exact"/>
        <w:rPr>
          <w:rFonts w:ascii="Times New Roman" w:cs="Times New Roman" w:eastAsia="Times New Roman" w:hAnsi="Times New Roman"/>
          <w:sz w:val="18"/>
          <w:szCs w:val="18"/>
          <w:color w:val="auto"/>
        </w:rPr>
      </w:pPr>
    </w:p>
    <w:p>
      <w:pPr>
        <w:ind w:left="1820" w:right="45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convertible notes plus accrued interest were converted on June 16, 2026 at a share price of $4.8122 and a total of 427,409 shares were issued.</w:t>
      </w:r>
    </w:p>
    <w:p>
      <w:pPr>
        <w:spacing w:after="0" w:line="81" w:lineRule="exact"/>
        <w:rPr>
          <w:sz w:val="20"/>
          <w:szCs w:val="20"/>
          <w:color w:val="auto"/>
        </w:rPr>
      </w:pPr>
    </w:p>
    <w:p>
      <w:pPr>
        <w:ind w:left="1280" w:right="939" w:firstLine="360"/>
        <w:spacing w:after="0" w:line="282" w:lineRule="auto"/>
        <w:rPr>
          <w:sz w:val="20"/>
          <w:szCs w:val="20"/>
          <w:color w:val="auto"/>
        </w:rPr>
      </w:pPr>
      <w:r>
        <w:rPr>
          <w:rFonts w:ascii="Times New Roman" w:cs="Times New Roman" w:eastAsia="Times New Roman" w:hAnsi="Times New Roman"/>
          <w:sz w:val="18"/>
          <w:szCs w:val="18"/>
          <w:color w:val="auto"/>
        </w:rPr>
        <w:t>As a result, as of the date of this registration statement, the aggregate principal amount now only amounts to $12 million in convertible notes.</w:t>
      </w:r>
    </w:p>
    <w:p>
      <w:pPr>
        <w:spacing w:after="0" w:line="94"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notes, the Company also issued warrants to the investor to purchase shares of the Company in an amount determined by reference to the principal amount of the notes. In connection with the funding of the second tranche of the convertible notes on March 5, 2026, as contractually agreed in the investment agreement, further warrants were issued and the exercise price for all warrants was adjusted to be $8.0125 (subject to anti-dilution protection mechanisms). A total of 3,744,150 warrants were issued to Linden Capital L.P., Crown Managed Accounts SPC and PCH Manager Fund SPC. The warrants are exercisable until December 15, 2028, at an exercise price equal to the lower of the applicable fixed premium conversion prices under the notes, exercisable for cash or, at the Company’s election, on a cashless basis.</w:t>
      </w:r>
    </w:p>
    <w:p>
      <w:pPr>
        <w:spacing w:after="0" w:line="340" w:lineRule="exact"/>
        <w:rPr>
          <w:sz w:val="20"/>
          <w:szCs w:val="20"/>
          <w:color w:val="auto"/>
        </w:rPr>
      </w:pPr>
    </w:p>
    <w:p>
      <w:pPr>
        <w:ind w:left="1280" w:right="55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this investment agreement, the Company also entered into a registration rights agreement to file a registration statement covering the resale of the shares issuable upon conversion of the notes and exercise of the warrants. The Company’s obligations under the notes are guaranteed by its German operating subsidiary, Gebr. Schmid GmbH, subject to applicable German law limitations. The investment agreement and the provisions of the notes and warrants contain customary affirmative and negative covenants, issuer call provisions, change of control protections, mandatory redemption events, and events of default customary for transactions of this type.</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Appointment of Arthur Schuetz as the new CFO of the Company</w:t>
      </w:r>
    </w:p>
    <w:p>
      <w:pPr>
        <w:spacing w:after="0" w:line="146" w:lineRule="exact"/>
        <w:rPr>
          <w:sz w:val="20"/>
          <w:szCs w:val="20"/>
          <w:color w:val="auto"/>
        </w:rPr>
      </w:pPr>
    </w:p>
    <w:p>
      <w:pPr>
        <w:ind w:left="1280" w:right="559" w:firstLine="360"/>
        <w:spacing w:after="0" w:line="282" w:lineRule="auto"/>
        <w:rPr>
          <w:sz w:val="20"/>
          <w:szCs w:val="20"/>
          <w:color w:val="auto"/>
        </w:rPr>
      </w:pPr>
      <w:r>
        <w:rPr>
          <w:rFonts w:ascii="Times New Roman" w:cs="Times New Roman" w:eastAsia="Times New Roman" w:hAnsi="Times New Roman"/>
          <w:sz w:val="18"/>
          <w:szCs w:val="18"/>
          <w:color w:val="auto"/>
        </w:rPr>
        <w:t>Arthur Schuetz was appointed by the Board as the new CFO of SCHMID Group N.V. as of January 1, 2026, replacing Julia Natterer, who continues to serve as CFO of Gebr. SCHMID GmbH.</w:t>
      </w:r>
    </w:p>
    <w:p>
      <w:pPr>
        <w:spacing w:after="0" w:line="16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Share issuances and set-off agreements with majority shareholders and related parties</w:t>
      </w:r>
    </w:p>
    <w:p>
      <w:pPr>
        <w:spacing w:after="0" w:line="160" w:lineRule="exact"/>
        <w:rPr>
          <w:sz w:val="20"/>
          <w:szCs w:val="20"/>
          <w:color w:val="auto"/>
        </w:rPr>
      </w:pPr>
    </w:p>
    <w:p>
      <w:pPr>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the Ordinary Shares immediately preceding the approval by the Board. In relation to EUR 2.4 million of the aggregate financial liabilities (to be off-set in relation to the financial liabilities to Christine Schmid), a 20% discount was applied.</w:t>
      </w:r>
    </w:p>
    <w:p>
      <w:pPr>
        <w:spacing w:after="0" w:line="121" w:lineRule="exact"/>
        <w:rPr>
          <w:sz w:val="20"/>
          <w:szCs w:val="20"/>
          <w:color w:val="auto"/>
        </w:rPr>
      </w:pPr>
    </w:p>
    <w:p>
      <w:pPr>
        <w:ind w:left="1280" w:right="539" w:firstLine="360"/>
        <w:spacing w:after="0" w:line="261" w:lineRule="auto"/>
        <w:rPr>
          <w:sz w:val="20"/>
          <w:szCs w:val="20"/>
          <w:color w:val="auto"/>
        </w:rPr>
      </w:pPr>
      <w:r>
        <w:rPr>
          <w:rFonts w:ascii="Times New Roman" w:cs="Times New Roman" w:eastAsia="Times New Roman" w:hAnsi="Times New Roman"/>
          <w:sz w:val="18"/>
          <w:szCs w:val="18"/>
          <w:color w:val="auto"/>
        </w:rPr>
        <w:t>On May 23, 2026, the Board set the applicable VWAP price at USD 7.3309 per share and issued 4,958,481 Ordinary Shares consisting of 2,190,589 Ordinary Shares to Anette Schmid, 1,265,322 Ordinary Shares to Christian Schmid, 1,028,074 Ordinary Shares to Schmid Grundstücke GmbH &amp; Co KG and 474,496 Ordinary Shares to Christine Schmid.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USD 30 Million Standby Equity Purchase Agreement with Yorkville</w:t>
      </w:r>
    </w:p>
    <w:p>
      <w:pPr>
        <w:spacing w:after="0" w:line="160" w:lineRule="exact"/>
        <w:rPr>
          <w:sz w:val="20"/>
          <w:szCs w:val="20"/>
          <w:color w:val="auto"/>
        </w:rPr>
      </w:pPr>
    </w:p>
    <w:p>
      <w:pPr>
        <w:ind w:left="1280" w:right="419" w:firstLine="360"/>
        <w:spacing w:after="0" w:line="242" w:lineRule="auto"/>
        <w:rPr>
          <w:sz w:val="20"/>
          <w:szCs w:val="20"/>
          <w:color w:val="auto"/>
        </w:rPr>
      </w:pPr>
      <w:r>
        <w:rPr>
          <w:rFonts w:ascii="Times New Roman" w:cs="Times New Roman" w:eastAsia="Times New Roman" w:hAnsi="Times New Roman"/>
          <w:sz w:val="18"/>
          <w:szCs w:val="18"/>
          <w:color w:val="auto"/>
        </w:rPr>
        <w:t>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w:t>
      </w:r>
    </w:p>
    <w:p>
      <w:pPr>
        <w:spacing w:after="0" w:line="325" w:lineRule="exact"/>
        <w:rPr>
          <w:sz w:val="20"/>
          <w:szCs w:val="20"/>
          <w:color w:val="auto"/>
        </w:rPr>
      </w:pPr>
    </w:p>
    <w:p>
      <w:pPr>
        <w:ind w:left="1280" w:right="519" w:firstLine="360"/>
        <w:spacing w:after="0" w:line="243" w:lineRule="auto"/>
        <w:rPr>
          <w:sz w:val="20"/>
          <w:szCs w:val="20"/>
          <w:color w:val="auto"/>
        </w:rPr>
      </w:pPr>
      <w:r>
        <w:rPr>
          <w:rFonts w:ascii="Times New Roman" w:cs="Times New Roman" w:eastAsia="Times New Roman" w:hAnsi="Times New Roman"/>
          <w:sz w:val="18"/>
          <w:szCs w:val="18"/>
          <w:color w:val="auto"/>
        </w:rPr>
        <w:t>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June 16, 2026, had issued 800,000 Ordinary Shares to Yorkville under the SEPA.</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New China Manufacturing Campus</w:t>
      </w:r>
    </w:p>
    <w:p>
      <w:pPr>
        <w:spacing w:after="0" w:line="146" w:lineRule="exact"/>
        <w:rPr>
          <w:sz w:val="20"/>
          <w:szCs w:val="20"/>
          <w:color w:val="auto"/>
        </w:rPr>
      </w:pPr>
    </w:p>
    <w:p>
      <w:pPr>
        <w:ind w:left="1280" w:right="499" w:firstLine="360"/>
        <w:spacing w:after="0" w:line="244" w:lineRule="auto"/>
        <w:rPr>
          <w:sz w:val="20"/>
          <w:szCs w:val="20"/>
          <w:color w:val="auto"/>
        </w:rPr>
      </w:pPr>
      <w:r>
        <w:rPr>
          <w:rFonts w:ascii="Times New Roman" w:cs="Times New Roman" w:eastAsia="Times New Roman" w:hAnsi="Times New Roman"/>
          <w:sz w:val="18"/>
          <w:szCs w:val="18"/>
          <w:color w:val="auto"/>
        </w:rPr>
        <w:t>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p>
    <w:p>
      <w:pPr>
        <w:spacing w:after="0" w:line="326" w:lineRule="exact"/>
        <w:rPr>
          <w:sz w:val="20"/>
          <w:szCs w:val="20"/>
          <w:color w:val="auto"/>
        </w:rPr>
      </w:pPr>
    </w:p>
    <w:p>
      <w:pPr>
        <w:ind w:left="1280" w:right="479" w:firstLine="360"/>
        <w:spacing w:after="0" w:line="244" w:lineRule="auto"/>
        <w:rPr>
          <w:sz w:val="20"/>
          <w:szCs w:val="20"/>
          <w:color w:val="auto"/>
        </w:rPr>
      </w:pPr>
      <w:r>
        <w:rPr>
          <w:rFonts w:ascii="Times New Roman" w:cs="Times New Roman" w:eastAsia="Times New Roman" w:hAnsi="Times New Roman"/>
          <w:sz w:val="18"/>
          <w:szCs w:val="18"/>
          <w:color w:val="auto"/>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p>
    <w:p>
      <w:pPr>
        <w:spacing w:after="0" w:line="325" w:lineRule="exact"/>
        <w:rPr>
          <w:sz w:val="20"/>
          <w:szCs w:val="20"/>
          <w:color w:val="auto"/>
        </w:rPr>
      </w:pPr>
    </w:p>
    <w:p>
      <w:pPr>
        <w:ind w:left="1280" w:right="499" w:firstLine="360"/>
        <w:spacing w:after="0" w:line="258" w:lineRule="auto"/>
        <w:rPr>
          <w:sz w:val="20"/>
          <w:szCs w:val="20"/>
          <w:color w:val="auto"/>
        </w:rPr>
      </w:pPr>
      <w:r>
        <w:rPr>
          <w:rFonts w:ascii="Times New Roman" w:cs="Times New Roman" w:eastAsia="Times New Roman" w:hAnsi="Times New Roman"/>
          <w:sz w:val="18"/>
          <w:szCs w:val="18"/>
          <w:color w:val="auto"/>
        </w:rPr>
        <w:t>Construction is expected to commence following completion of the final land transfer and permitting process and the conclusion of a final, binding agreement. SCHMID currently expects to begin operations at the new facility approximately mid-2027.</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We qualify as an “emerging growth company” as defined in the Jumpstart Our Business Startups Act of 2012 (“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an emerging growth company, we intend to take advantage of exemptions from various reporting requirements that are applicable to most other public companies. The exemptions include, but are not limited to:</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659" w:hanging="182"/>
        <w:spacing w:after="0" w:line="266"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provisions of Section 404(b) of the Sarbanes-Oxley Act requiring that our independent registered public accounting firm provide an attestation report on the effectiveness of our internal control over financial reporting;</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820" w:right="131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or seek shareholder approval of any golden parachute payments not previously approved.</w:t>
      </w:r>
    </w:p>
    <w:p>
      <w:pPr>
        <w:spacing w:after="0" w:line="94" w:lineRule="exact"/>
        <w:rPr>
          <w:sz w:val="20"/>
          <w:szCs w:val="20"/>
          <w:color w:val="auto"/>
        </w:rPr>
      </w:pPr>
    </w:p>
    <w:p>
      <w:pPr>
        <w:ind w:left="1280" w:right="399" w:firstLine="360"/>
        <w:spacing w:after="0" w:line="24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w:t>
      </w:r>
    </w:p>
    <w:p>
      <w:pPr>
        <w:spacing w:after="0" w:line="114" w:lineRule="exact"/>
        <w:rPr>
          <w:sz w:val="20"/>
          <w:szCs w:val="20"/>
          <w:color w:val="auto"/>
        </w:rPr>
      </w:pPr>
    </w:p>
    <w:p>
      <w:pPr>
        <w:ind w:left="1280" w:right="419" w:firstLine="360"/>
        <w:spacing w:after="0" w:line="246" w:lineRule="auto"/>
        <w:rPr>
          <w:sz w:val="20"/>
          <w:szCs w:val="20"/>
          <w:color w:val="auto"/>
        </w:rPr>
      </w:pPr>
      <w:r>
        <w:rPr>
          <w:rFonts w:ascii="Times New Roman" w:cs="Times New Roman" w:eastAsia="Times New Roman" w:hAnsi="Times New Roman"/>
          <w:sz w:val="18"/>
          <w:szCs w:val="18"/>
          <w:color w:val="auto"/>
        </w:rPr>
        <w:t>We are also considered a “foreign private issuer” subject to reporting requirements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a non- 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83" w:lineRule="exact"/>
        <w:rPr>
          <w:sz w:val="20"/>
          <w:szCs w:val="20"/>
          <w:color w:val="auto"/>
        </w:rPr>
      </w:pPr>
    </w:p>
    <w:p>
      <w:pPr>
        <w:ind w:left="1820" w:right="43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prescribing the furnishing and content of proxy statements to shareholders and requirements that the proxy statements conform to Schedule 14A of the proxy rules promulgated under the Exchange Act;</w:t>
      </w:r>
    </w:p>
    <w:p>
      <w:pPr>
        <w:spacing w:after="0" w:line="67"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w:t>
      </w:r>
    </w:p>
    <w:p>
      <w:pPr>
        <w:spacing w:after="0" w:line="54"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quarterly reports on Form 10-Q containing unaudited financial and other specified information, or current reports on Form 8-K, upon the occurrence of specified significant events; and</w:t>
      </w:r>
    </w:p>
    <w:p>
      <w:pPr>
        <w:spacing w:after="0" w:line="67" w:lineRule="exact"/>
        <w:rPr>
          <w:rFonts w:ascii="Times New Roman" w:cs="Times New Roman" w:eastAsia="Times New Roman" w:hAnsi="Times New Roman"/>
          <w:sz w:val="18"/>
          <w:szCs w:val="18"/>
          <w:color w:val="auto"/>
        </w:rPr>
      </w:pPr>
    </w:p>
    <w:p>
      <w:pPr>
        <w:ind w:left="1820" w:right="659" w:hanging="182"/>
        <w:spacing w:after="0" w:line="282"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rules on disclosure of compensation on an individual basis unless individual disclosure is required in our home country (the Netherlands) and is not otherwise publicly disclosed by us.</w:t>
      </w:r>
    </w:p>
    <w:p>
      <w:pPr>
        <w:spacing w:after="0" w:line="94" w:lineRule="exact"/>
        <w:rPr>
          <w:sz w:val="20"/>
          <w:szCs w:val="20"/>
          <w:color w:val="auto"/>
        </w:rPr>
      </w:pPr>
    </w:p>
    <w:p>
      <w:pPr>
        <w:ind w:left="1280" w:right="419" w:firstLine="360"/>
        <w:spacing w:after="0" w:line="246"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4" w:lineRule="exact"/>
        <w:rPr>
          <w:sz w:val="20"/>
          <w:szCs w:val="20"/>
          <w:color w:val="auto"/>
        </w:rPr>
      </w:pPr>
    </w:p>
    <w:p>
      <w:pPr>
        <w:ind w:left="1280" w:right="459" w:firstLine="360"/>
        <w:spacing w:after="0" w:line="250"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81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779"/>
        <w:spacing w:after="0" w:line="282" w:lineRule="auto"/>
        <w:rPr>
          <w:sz w:val="20"/>
          <w:szCs w:val="20"/>
          <w:color w:val="auto"/>
        </w:rPr>
      </w:pPr>
      <w:r>
        <w:rPr>
          <w:rFonts w:ascii="Times New Roman" w:cs="Times New Roman" w:eastAsia="Times New Roman" w:hAnsi="Times New Roman"/>
          <w:sz w:val="18"/>
          <w:szCs w:val="18"/>
          <w:color w:val="auto"/>
        </w:rPr>
        <w:t>materially adversely affected by any of these risks, as well as other risks and uncertainties not currently known to us or not currently considered material. These risks include, among others, the following:</w:t>
      </w:r>
    </w:p>
    <w:p>
      <w:pPr>
        <w:spacing w:after="0" w:line="40" w:lineRule="exact"/>
        <w:rPr>
          <w:sz w:val="20"/>
          <w:szCs w:val="20"/>
          <w:color w:val="auto"/>
        </w:rPr>
      </w:pPr>
    </w:p>
    <w:p>
      <w:pPr>
        <w:ind w:left="1820" w:right="77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business plans, operating models, forecasts, and other expectations and identify and realize additional business opportunities;</w:t>
      </w:r>
    </w:p>
    <w:p>
      <w:pPr>
        <w:spacing w:after="0" w:line="40"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faces intense competition in the markets and industries in which it operates, and SCHMID’s competitiveness depends on being successful in new product development and to market its embedded traces and glass substrate technology.</w:t>
      </w:r>
    </w:p>
    <w:p>
      <w:pPr>
        <w:spacing w:after="0" w:line="67"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reputation of SCHMID’s brand is an important company asset and is key to SCHMID’s ability to remain a trusted supplier of specialty products, equipment and services.</w:t>
      </w:r>
    </w:p>
    <w:p>
      <w:pPr>
        <w:spacing w:after="0" w:line="53" w:lineRule="exact"/>
        <w:rPr>
          <w:rFonts w:ascii="Times New Roman" w:cs="Times New Roman" w:eastAsia="Times New Roman" w:hAnsi="Times New Roman"/>
          <w:sz w:val="18"/>
          <w:szCs w:val="18"/>
          <w:color w:val="auto"/>
        </w:rPr>
      </w:pPr>
    </w:p>
    <w:p>
      <w:pPr>
        <w:ind w:left="1820" w:right="105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SCHMID’s profitability could suffer if its cost management strategies are unsuccessful, or SCHMID’s competitors develop an advantageous cost structure that SCHMID cannot match.</w:t>
      </w:r>
    </w:p>
    <w:p>
      <w:pPr>
        <w:spacing w:after="0" w:line="53"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SCHMID’s direct customers and their direct and indirect customers face numerous competitive challenges, which may materially adversely affect their business and as a result SCHMID’s business.</w:t>
      </w:r>
    </w:p>
    <w:p>
      <w:pPr>
        <w:spacing w:after="0" w:line="40" w:lineRule="exact"/>
        <w:rPr>
          <w:rFonts w:ascii="Times New Roman" w:cs="Times New Roman" w:eastAsia="Times New Roman" w:hAnsi="Times New Roman"/>
          <w:sz w:val="18"/>
          <w:szCs w:val="18"/>
          <w:color w:val="auto"/>
        </w:rPr>
      </w:pPr>
    </w:p>
    <w:p>
      <w:pPr>
        <w:ind w:left="1820" w:right="99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SCHMID’s revenue, earnings, and other operating results have fluctuated in the past and may fluctuate in the future due to the nature of its business.</w:t>
      </w:r>
    </w:p>
    <w:p>
      <w:pPr>
        <w:spacing w:after="0" w:line="53" w:lineRule="exact"/>
        <w:rPr>
          <w:rFonts w:ascii="Times New Roman" w:cs="Times New Roman" w:eastAsia="Times New Roman" w:hAnsi="Times New Roman"/>
          <w:sz w:val="18"/>
          <w:szCs w:val="18"/>
          <w:color w:val="auto"/>
        </w:rPr>
      </w:pPr>
    </w:p>
    <w:p>
      <w:pPr>
        <w:ind w:left="1820" w:right="6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to SCHMID’s supply chain, significant increases in material costs, or shortages of critical components, could adversely affect SCHMID’s business and result in increased costs.</w:t>
      </w:r>
    </w:p>
    <w:p>
      <w:pPr>
        <w:spacing w:after="0" w:line="53" w:lineRule="exact"/>
        <w:rPr>
          <w:rFonts w:ascii="Times New Roman" w:cs="Times New Roman" w:eastAsia="Times New Roman" w:hAnsi="Times New Roman"/>
          <w:sz w:val="18"/>
          <w:szCs w:val="18"/>
          <w:color w:val="auto"/>
        </w:rPr>
      </w:pPr>
    </w:p>
    <w:p>
      <w:pPr>
        <w:ind w:left="1820" w:right="479" w:hanging="182"/>
        <w:spacing w:after="0" w:line="258"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w:t>
      </w:r>
    </w:p>
    <w:p>
      <w:pPr>
        <w:spacing w:after="0" w:line="61" w:lineRule="exact"/>
        <w:rPr>
          <w:rFonts w:ascii="Times New Roman" w:cs="Times New Roman" w:eastAsia="Times New Roman" w:hAnsi="Times New Roman"/>
          <w:sz w:val="18"/>
          <w:szCs w:val="18"/>
          <w:color w:val="auto"/>
        </w:rPr>
      </w:pPr>
    </w:p>
    <w:p>
      <w:pPr>
        <w:jc w:val="both"/>
        <w:ind w:left="1820" w:right="89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financial, geopolitical, epidemiological, or other conditions could result in business disruptions which could seriously harm SCHMID’s future revenue and financial condition and increase SCHMID’s costs and expenses.</w:t>
      </w:r>
    </w:p>
    <w:p>
      <w:pPr>
        <w:spacing w:after="0" w:line="67"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in the Middle East and elsewhere in the world could have significant impact on raw material prices, supply chain logistics and end-customer behaviour.</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SCHMID’s operations and assets in foreign jurisdictions may be subject to significant political and economic uncertainties.</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SCHMID’s ability to obtain additional capital on commercially reasonable terms may be limited.</w:t>
      </w:r>
    </w:p>
    <w:p>
      <w:pPr>
        <w:spacing w:after="0" w:line="103" w:lineRule="exact"/>
        <w:rPr>
          <w:rFonts w:ascii="Times New Roman" w:cs="Times New Roman" w:eastAsia="Times New Roman" w:hAnsi="Times New Roman"/>
          <w:sz w:val="18"/>
          <w:szCs w:val="18"/>
          <w:color w:val="auto"/>
        </w:rPr>
      </w:pPr>
    </w:p>
    <w:p>
      <w:pPr>
        <w:ind w:left="1820" w:right="65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is generally subject to substantial regulation and laws and unfavorable changes to, or its failure to comply with, these regulations and/or laws could substantially harm its business and operating results.</w:t>
      </w:r>
    </w:p>
    <w:p>
      <w:pPr>
        <w:spacing w:after="0" w:line="67" w:lineRule="exact"/>
        <w:rPr>
          <w:rFonts w:ascii="Times New Roman" w:cs="Times New Roman" w:eastAsia="Times New Roman" w:hAnsi="Times New Roman"/>
          <w:sz w:val="18"/>
          <w:szCs w:val="18"/>
          <w:color w:val="auto"/>
        </w:rPr>
      </w:pPr>
    </w:p>
    <w:p>
      <w:pPr>
        <w:ind w:left="1820" w:right="67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information security and privacy concerns could subject SCHMID to penalties, damage SCHMID’s reputation and brand, and harm SCHMID’s business and results of operations.</w:t>
      </w:r>
    </w:p>
    <w:p>
      <w:pPr>
        <w:spacing w:after="0" w:line="53" w:lineRule="exact"/>
        <w:rPr>
          <w:rFonts w:ascii="Times New Roman" w:cs="Times New Roman" w:eastAsia="Times New Roman" w:hAnsi="Times New Roman"/>
          <w:sz w:val="18"/>
          <w:szCs w:val="18"/>
          <w:color w:val="auto"/>
        </w:rPr>
      </w:pPr>
    </w:p>
    <w:p>
      <w:pPr>
        <w:ind w:left="1820" w:right="103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may be unable to successfully execute its growth initiatives, business strategies, or operating plans.</w:t>
      </w:r>
    </w:p>
    <w:p>
      <w:pPr>
        <w:spacing w:after="0" w:line="53" w:lineRule="exact"/>
        <w:rPr>
          <w:rFonts w:ascii="Times New Roman" w:cs="Times New Roman" w:eastAsia="Times New Roman" w:hAnsi="Times New Roman"/>
          <w:sz w:val="18"/>
          <w:szCs w:val="18"/>
          <w:color w:val="auto"/>
        </w:rPr>
      </w:pPr>
    </w:p>
    <w:p>
      <w:pPr>
        <w:ind w:left="1820" w:right="419" w:hanging="182"/>
        <w:spacing w:after="0" w:line="282"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SCHMID’s know-how and innovations, which it relies on for its current and future business, may not be adequately protected.</w:t>
      </w:r>
    </w:p>
    <w:p>
      <w:pPr>
        <w:spacing w:after="0" w:line="40" w:lineRule="exact"/>
        <w:rPr>
          <w:rFonts w:ascii="Times New Roman" w:cs="Times New Roman" w:eastAsia="Times New Roman" w:hAnsi="Times New Roman"/>
          <w:sz w:val="18"/>
          <w:szCs w:val="18"/>
          <w:color w:val="auto"/>
        </w:rPr>
      </w:pPr>
    </w:p>
    <w:p>
      <w:pPr>
        <w:ind w:left="1820" w:right="579" w:hanging="182"/>
        <w:spacing w:after="0" w:line="266" w:lineRule="auto"/>
        <w:tabs>
          <w:tab w:leader="none" w:pos="1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SCHMID’s patent applications may not be successful, which may have a material adverse effect on SCHMID’s ability to prevent others from commercially exploiting products similar to SCHMID’s products.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0" w:lineRule="exact"/>
        <w:rPr>
          <w:sz w:val="20"/>
          <w:szCs w:val="20"/>
          <w:color w:val="auto"/>
        </w:rPr>
      </w:pPr>
    </w:p>
    <w:p>
      <w:pPr>
        <w:ind w:left="1280" w:right="499" w:firstLine="360"/>
        <w:spacing w:after="0" w:line="252" w:lineRule="auto"/>
        <w:rPr>
          <w:sz w:val="20"/>
          <w:szCs w:val="20"/>
          <w:color w:val="auto"/>
        </w:rPr>
      </w:pPr>
      <w:r>
        <w:rPr>
          <w:rFonts w:ascii="Times New Roman" w:cs="Times New Roman" w:eastAsia="Times New Roman" w:hAnsi="Times New Roman"/>
          <w:sz w:val="18"/>
          <w:szCs w:val="18"/>
          <w:color w:val="auto"/>
        </w:rPr>
        <w:t>We were incorporated as a Dutch private limited liability company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under the name Pegasus TopCo B.V. on February 7, 2023, solely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 of effectuating the Business Combination. Prior to the Business Combination, Pegasus TopCo B.V. did not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639"/>
        <w:spacing w:after="0" w:line="282" w:lineRule="auto"/>
        <w:rPr>
          <w:sz w:val="20"/>
          <w:szCs w:val="20"/>
          <w:color w:val="auto"/>
        </w:rPr>
      </w:pPr>
      <w:r>
        <w:rPr>
          <w:rFonts w:ascii="Times New Roman" w:cs="Times New Roman" w:eastAsia="Times New Roman" w:hAnsi="Times New Roman"/>
          <w:sz w:val="18"/>
          <w:szCs w:val="18"/>
          <w:color w:val="auto"/>
        </w:rPr>
        <w:t>conduct any material activities other than those incident to its formation and certain matters related to the Business Combination, such as the making of certain required securities law filings.</w:t>
      </w:r>
    </w:p>
    <w:p>
      <w:pPr>
        <w:spacing w:after="0" w:line="94" w:lineRule="exact"/>
        <w:rPr>
          <w:sz w:val="20"/>
          <w:szCs w:val="20"/>
          <w:color w:val="auto"/>
        </w:rPr>
      </w:pPr>
    </w:p>
    <w:p>
      <w:pPr>
        <w:ind w:left="1280" w:right="519" w:firstLine="360"/>
        <w:spacing w:after="0" w:line="266" w:lineRule="auto"/>
        <w:rPr>
          <w:sz w:val="20"/>
          <w:szCs w:val="20"/>
          <w:color w:val="auto"/>
        </w:rPr>
      </w:pPr>
      <w:r>
        <w:rPr>
          <w:rFonts w:ascii="Times New Roman" w:cs="Times New Roman" w:eastAsia="Times New Roman" w:hAnsi="Times New Roman"/>
          <w:sz w:val="18"/>
          <w:szCs w:val="18"/>
          <w:color w:val="auto"/>
        </w:rPr>
        <w:t>Our name was changed from Pegasus TopCo B.V. to SCHMID Group N.V. when we converted into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on April 30, 2024, in connection with the closing of the Business Combination.</w:t>
      </w:r>
    </w:p>
    <w:p>
      <w:pPr>
        <w:spacing w:after="0" w:line="106" w:lineRule="exact"/>
        <w:rPr>
          <w:sz w:val="20"/>
          <w:szCs w:val="20"/>
          <w:color w:val="auto"/>
        </w:rPr>
      </w:pPr>
    </w:p>
    <w:p>
      <w:pPr>
        <w:ind w:left="1280" w:right="539" w:firstLine="360"/>
        <w:spacing w:after="0" w:line="261" w:lineRule="auto"/>
        <w:rPr>
          <w:sz w:val="20"/>
          <w:szCs w:val="20"/>
          <w:color w:val="auto"/>
        </w:rPr>
      </w:pPr>
      <w:r>
        <w:rPr>
          <w:rFonts w:ascii="Times New Roman" w:cs="Times New Roman" w:eastAsia="Times New Roman" w:hAnsi="Times New Roman"/>
          <w:sz w:val="18"/>
          <w:szCs w:val="18"/>
          <w:color w:val="auto"/>
        </w:rPr>
        <w:t>We are registered in the Commercial Register of the Netherlands Chamber of Commerce (</w:t>
      </w:r>
      <w:r>
        <w:rPr>
          <w:rFonts w:ascii="Times New Roman" w:cs="Times New Roman" w:eastAsia="Times New Roman" w:hAnsi="Times New Roman"/>
          <w:sz w:val="18"/>
          <w:szCs w:val="18"/>
          <w:i w:val="1"/>
          <w:iCs w:val="1"/>
          <w:color w:val="auto"/>
        </w:rPr>
        <w:t>Kamer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Koophandel</w:t>
      </w:r>
      <w:r>
        <w:rPr>
          <w:rFonts w:ascii="Times New Roman" w:cs="Times New Roman" w:eastAsia="Times New Roman" w:hAnsi="Times New Roman"/>
          <w:sz w:val="18"/>
          <w:szCs w:val="18"/>
          <w:color w:val="auto"/>
        </w:rPr>
        <w:t>) under number 89188276. Our official seat (</w:t>
      </w:r>
      <w:r>
        <w:rPr>
          <w:rFonts w:ascii="Times New Roman" w:cs="Times New Roman" w:eastAsia="Times New Roman" w:hAnsi="Times New Roman"/>
          <w:sz w:val="18"/>
          <w:szCs w:val="18"/>
          <w:i w:val="1"/>
          <w:iCs w:val="1"/>
          <w:color w:val="auto"/>
        </w:rPr>
        <w:t>statutaire zetel</w:t>
      </w:r>
      <w:r>
        <w:rPr>
          <w:rFonts w:ascii="Times New Roman" w:cs="Times New Roman" w:eastAsia="Times New Roman" w:hAnsi="Times New Roman"/>
          <w:sz w:val="18"/>
          <w:szCs w:val="18"/>
          <w:color w:val="auto"/>
        </w:rPr>
        <w:t>) is in Amsterdam, the Netherlands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mailing and business address of our principal executive office is Robert-Bosch-Str. 32-36, 72250 Freudenstadt, Federal Republic of Germany. Our telephone number is Tel: +49 7441 538 0.</w:t>
      </w:r>
    </w:p>
    <w:p>
      <w:pPr>
        <w:spacing w:after="0" w:line="101" w:lineRule="exact"/>
        <w:rPr>
          <w:sz w:val="20"/>
          <w:szCs w:val="20"/>
          <w:color w:val="auto"/>
        </w:rPr>
      </w:pPr>
    </w:p>
    <w:p>
      <w:pPr>
        <w:ind w:left="1280" w:right="659" w:firstLine="360"/>
        <w:spacing w:after="0" w:line="282" w:lineRule="auto"/>
        <w:rPr>
          <w:sz w:val="20"/>
          <w:szCs w:val="20"/>
          <w:color w:val="auto"/>
        </w:rPr>
      </w:pPr>
      <w:r>
        <w:rPr>
          <w:rFonts w:ascii="Times New Roman" w:cs="Times New Roman" w:eastAsia="Times New Roman" w:hAnsi="Times New Roman"/>
          <w:sz w:val="18"/>
          <w:szCs w:val="18"/>
          <w:color w:val="auto"/>
        </w:rPr>
        <w:t>We maintain a website at schmid-group.com, where we regularly post copies of our press releases as well as additional information about us.</w:t>
      </w:r>
    </w:p>
    <w:p>
      <w:pPr>
        <w:spacing w:after="0" w:line="94"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w:t>
      </w:r>
    </w:p>
    <w:p>
      <w:pPr>
        <w:spacing w:after="0" w:line="112"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7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 The “Description of Securities” section of this registration statements contains a more detailed description of the Company’s securities.</w:t>
      </w:r>
    </w:p>
    <w:p>
      <w:pPr>
        <w:spacing w:after="0" w:line="93" w:lineRule="exact"/>
        <w:rPr>
          <w:sz w:val="20"/>
          <w:szCs w:val="20"/>
          <w:color w:val="auto"/>
        </w:rPr>
      </w:pPr>
    </w:p>
    <w:p>
      <w:pPr>
        <w:ind w:left="1280" w:right="739" w:firstLine="360"/>
        <w:spacing w:after="0" w:line="282" w:lineRule="auto"/>
        <w:rPr>
          <w:sz w:val="20"/>
          <w:szCs w:val="20"/>
          <w:color w:val="auto"/>
        </w:rPr>
      </w:pPr>
      <w:r>
        <w:rPr>
          <w:rFonts w:ascii="Times New Roman" w:cs="Times New Roman" w:eastAsia="Times New Roman" w:hAnsi="Times New Roman"/>
          <w:sz w:val="18"/>
          <w:szCs w:val="18"/>
          <w:color w:val="auto"/>
        </w:rPr>
        <w:t>We are registering the resale by the selling securityholders or its permitted transferees of 4,958,481 Ordinary Shares.</w:t>
      </w:r>
    </w:p>
    <w:p>
      <w:pPr>
        <w:sectPr>
          <w:pgSz w:w="11900" w:h="16838" w:orient="portrait"/>
          <w:cols w:equalWidth="0" w:num="1">
            <w:col w:w="9879"/>
          </w:cols>
          <w:pgMar w:left="580" w:top="97" w:right="1440" w:bottom="1440" w:gutter="0" w:footer="0" w:header="0"/>
        </w:sectPr>
      </w:pP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Issuer</w:t>
      </w:r>
    </w:p>
    <w:p>
      <w:pPr>
        <w:spacing w:after="0" w:line="117" w:lineRule="exact"/>
        <w:rPr>
          <w:sz w:val="20"/>
          <w:szCs w:val="20"/>
          <w:color w:val="auto"/>
        </w:rPr>
      </w:pPr>
    </w:p>
    <w:p>
      <w:pPr>
        <w:ind w:left="1460" w:right="80" w:hanging="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Ordinary Shares Offered by the selling securityholders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SCHMID Group N.V.</w:t>
      </w:r>
    </w:p>
    <w:p>
      <w:pPr>
        <w:spacing w:after="0" w:line="333"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4,958,481 Ordinary Shares issued by us on May 23, 2026 in private placements consisting of (i) 474,496 Ordinary Shares issued to Christine Schmid, (ii) 2,190,589 Ordinary Shares issued to Anette Schmid, (iii) 1,265,322 Ordinary Shares issued to Christian Schmid and (iv) 1,028,074 Ordinary Shares issued to Schmid Grundstücke GmbH &amp; Co KG.</w:t>
      </w:r>
    </w:p>
    <w:p>
      <w:pPr>
        <w:spacing w:after="0" w:line="75" w:lineRule="exact"/>
        <w:rPr>
          <w:sz w:val="20"/>
          <w:szCs w:val="20"/>
          <w:color w:val="auto"/>
        </w:rPr>
      </w:pPr>
    </w:p>
    <w:p>
      <w:pPr>
        <w:sectPr>
          <w:pgSz w:w="11900" w:h="16838" w:orient="portrait"/>
          <w:cols w:equalWidth="0" w:num="2">
            <w:col w:w="3580" w:space="720"/>
            <w:col w:w="5579"/>
          </w:cols>
          <w:pgMar w:left="580" w:top="97" w:right="1440" w:bottom="1440" w:gutter="0" w:footer="0" w:header="0"/>
          <w:type w:val="continuous"/>
        </w:sect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i w:val="1"/>
          <w:iCs w:val="1"/>
          <w:color w:val="auto"/>
        </w:rPr>
        <w:t>Selling Securityholders</w:t>
      </w:r>
      <w:r>
        <w:rPr>
          <w:sz w:val="20"/>
          <w:szCs w:val="20"/>
          <w:color w:val="auto"/>
        </w:rPr>
        <w:tab/>
      </w:r>
      <w:r>
        <w:rPr>
          <w:rFonts w:ascii="Times New Roman" w:cs="Times New Roman" w:eastAsia="Times New Roman" w:hAnsi="Times New Roman"/>
          <w:sz w:val="18"/>
          <w:szCs w:val="18"/>
          <w:color w:val="auto"/>
        </w:rPr>
        <w:t>Christine Schmid, Anette Schmid, Christian Schmid and Schmid</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Grundstücke GmbH &amp; Co KG.</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i w:val="1"/>
          <w:iCs w:val="1"/>
          <w:color w:val="auto"/>
        </w:rPr>
        <w:t>Ordinary Shares outstanding</w:t>
      </w:r>
      <w:r>
        <w:rPr>
          <w:sz w:val="20"/>
          <w:szCs w:val="20"/>
          <w:color w:val="auto"/>
        </w:rPr>
        <w:tab/>
      </w:r>
      <w:r>
        <w:rPr>
          <w:rFonts w:ascii="Times New Roman" w:cs="Times New Roman" w:eastAsia="Times New Roman" w:hAnsi="Times New Roman"/>
          <w:sz w:val="18"/>
          <w:szCs w:val="18"/>
          <w:color w:val="auto"/>
        </w:rPr>
        <w:t>64,985,726 Ordinary Shares (including 5,000,000 earn-out shares,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which have been issued but have not vested and are subject to</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cancellation).</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i w:val="1"/>
          <w:iCs w:val="1"/>
          <w:color w:val="auto"/>
        </w:rPr>
        <w:t>Dividend policy</w:t>
      </w:r>
      <w:r>
        <w:rPr>
          <w:sz w:val="20"/>
          <w:szCs w:val="20"/>
          <w:color w:val="auto"/>
        </w:rPr>
        <w:tab/>
      </w:r>
      <w:r>
        <w:rPr>
          <w:rFonts w:ascii="Times New Roman" w:cs="Times New Roman" w:eastAsia="Times New Roman" w:hAnsi="Times New Roman"/>
          <w:sz w:val="18"/>
          <w:szCs w:val="18"/>
          <w:color w:val="auto"/>
        </w:rPr>
        <w:t>Under Dutch law, we may only pay dividends and other</w:t>
      </w:r>
    </w:p>
    <w:p>
      <w:pPr>
        <w:spacing w:after="0" w:line="31" w:lineRule="exact"/>
        <w:rPr>
          <w:sz w:val="20"/>
          <w:szCs w:val="20"/>
          <w:color w:val="auto"/>
        </w:rPr>
      </w:pPr>
    </w:p>
    <w:p>
      <w:pPr>
        <w:ind w:left="4300" w:right="399"/>
        <w:spacing w:after="0" w:line="251" w:lineRule="auto"/>
        <w:rPr>
          <w:sz w:val="20"/>
          <w:szCs w:val="20"/>
          <w:color w:val="auto"/>
        </w:rPr>
      </w:pPr>
      <w:r>
        <w:rPr>
          <w:rFonts w:ascii="Times New Roman" w:cs="Times New Roman" w:eastAsia="Times New Roman" w:hAnsi="Times New Roman"/>
          <w:sz w:val="18"/>
          <w:szCs w:val="18"/>
          <w:color w:val="auto"/>
        </w:rPr>
        <w:t>distributions from our reserves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our paid-in and called-up share capital plus the reserves we must maintain under Dutch law or our articles of association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i w:val="1"/>
          <w:iCs w:val="1"/>
          <w:color w:val="auto"/>
        </w:rPr>
        <w:t>Transfer Agent</w:t>
      </w:r>
      <w:r>
        <w:rPr>
          <w:sz w:val="20"/>
          <w:szCs w:val="20"/>
          <w:color w:val="auto"/>
        </w:rPr>
        <w:tab/>
      </w:r>
      <w:r>
        <w:rPr>
          <w:rFonts w:ascii="Times New Roman" w:cs="Times New Roman" w:eastAsia="Times New Roman" w:hAnsi="Times New Roman"/>
          <w:sz w:val="18"/>
          <w:szCs w:val="18"/>
          <w:color w:val="auto"/>
        </w:rPr>
        <w:t>Continental Stock Transfer &amp; Trust Company.</w:t>
      </w:r>
    </w:p>
    <w:p>
      <w:pPr>
        <w:spacing w:after="0" w:line="117"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i w:val="1"/>
          <w:iCs w:val="1"/>
          <w:color w:val="auto"/>
        </w:rPr>
        <w:t>Use of Proceeds</w:t>
      </w:r>
      <w:r>
        <w:rPr>
          <w:sz w:val="20"/>
          <w:szCs w:val="20"/>
          <w:color w:val="auto"/>
        </w:rPr>
        <w:tab/>
      </w:r>
      <w:r>
        <w:rPr>
          <w:rFonts w:ascii="Times New Roman" w:cs="Times New Roman" w:eastAsia="Times New Roman" w:hAnsi="Times New Roman"/>
          <w:sz w:val="18"/>
          <w:szCs w:val="18"/>
          <w:color w:val="auto"/>
        </w:rPr>
        <w:t>We will not receive any proceeds from the resale of Ordinary Shares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included in this prospectus by the selling securityholders. See the</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Market for our Ordinary</w:t>
      </w:r>
    </w:p>
    <w:p>
      <w:pPr>
        <w:spacing w:after="0" w:line="31" w:lineRule="exact"/>
        <w:rPr>
          <w:sz w:val="20"/>
          <w:szCs w:val="20"/>
          <w:color w:val="auto"/>
        </w:rPr>
      </w:pPr>
    </w:p>
    <w:p>
      <w:pPr>
        <w:ind w:left="1460"/>
        <w:spacing w:after="0"/>
        <w:tabs>
          <w:tab w:leader="none" w:pos="4280" w:val="left"/>
        </w:tabs>
        <w:rPr>
          <w:sz w:val="20"/>
          <w:szCs w:val="20"/>
          <w:color w:val="auto"/>
        </w:rPr>
      </w:pPr>
      <w:r>
        <w:rPr>
          <w:rFonts w:ascii="Times New Roman" w:cs="Times New Roman" w:eastAsia="Times New Roman" w:hAnsi="Times New Roman"/>
          <w:sz w:val="18"/>
          <w:szCs w:val="18"/>
          <w:b w:val="1"/>
          <w:bCs w:val="1"/>
          <w:i w:val="1"/>
          <w:iCs w:val="1"/>
          <w:color w:val="auto"/>
        </w:rPr>
        <w:t>Shares</w:t>
      </w:r>
      <w:r>
        <w:rPr>
          <w:sz w:val="20"/>
          <w:szCs w:val="20"/>
          <w:color w:val="auto"/>
        </w:rPr>
        <w:tab/>
      </w:r>
      <w:r>
        <w:rPr>
          <w:rFonts w:ascii="Times New Roman" w:cs="Times New Roman" w:eastAsia="Times New Roman" w:hAnsi="Times New Roman"/>
          <w:sz w:val="18"/>
          <w:szCs w:val="18"/>
          <w:color w:val="auto"/>
        </w:rPr>
        <w:t>Our ordinary shares are listed on Nasdaq under the symbol</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“SHMD” and our Public Warrants are listed under the symbol</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“SHMD.W”.</w:t>
      </w:r>
    </w:p>
    <w:p>
      <w:pPr>
        <w:spacing w:after="0" w:line="95" w:lineRule="exact"/>
        <w:rPr>
          <w:sz w:val="20"/>
          <w:szCs w:val="20"/>
          <w:color w:val="auto"/>
        </w:rPr>
      </w:pPr>
    </w:p>
    <w:p>
      <w:pPr>
        <w:ind w:left="1280"/>
        <w:spacing w:after="0"/>
        <w:tabs>
          <w:tab w:leader="none" w:pos="4280" w:val="left"/>
        </w:tabs>
        <w:rPr>
          <w:sz w:val="20"/>
          <w:szCs w:val="20"/>
          <w:color w:val="auto"/>
        </w:rPr>
      </w:pPr>
      <w:r>
        <w:rPr>
          <w:rFonts w:ascii="Times New Roman" w:cs="Times New Roman" w:eastAsia="Times New Roman" w:hAnsi="Times New Roman"/>
          <w:sz w:val="18"/>
          <w:szCs w:val="18"/>
          <w:b w:val="1"/>
          <w:bCs w:val="1"/>
          <w:i w:val="1"/>
          <w:iCs w:val="1"/>
          <w:color w:val="auto"/>
        </w:rPr>
        <w:t>Risk factors</w:t>
      </w:r>
      <w:r>
        <w:rPr>
          <w:sz w:val="20"/>
          <w:szCs w:val="20"/>
          <w:color w:val="auto"/>
        </w:rPr>
        <w:tab/>
      </w:r>
      <w:r>
        <w:rPr>
          <w:rFonts w:ascii="Times New Roman" w:cs="Times New Roman" w:eastAsia="Times New Roman" w:hAnsi="Times New Roman"/>
          <w:sz w:val="18"/>
          <w:szCs w:val="18"/>
          <w:color w:val="auto"/>
        </w:rPr>
        <w:t>Investing in our securities involves a high degree of risk. See “Risk</w:t>
      </w:r>
    </w:p>
    <w:p>
      <w:pPr>
        <w:spacing w:after="0" w:line="31" w:lineRule="exact"/>
        <w:rPr>
          <w:sz w:val="20"/>
          <w:szCs w:val="20"/>
          <w:color w:val="auto"/>
        </w:rPr>
      </w:pPr>
    </w:p>
    <w:p>
      <w:pPr>
        <w:ind w:left="4300" w:right="619"/>
        <w:spacing w:after="0" w:line="260" w:lineRule="auto"/>
        <w:rPr>
          <w:sz w:val="20"/>
          <w:szCs w:val="20"/>
          <w:color w:val="auto"/>
        </w:rPr>
      </w:pPr>
      <w:r>
        <w:rPr>
          <w:rFonts w:ascii="Times New Roman" w:cs="Times New Roman" w:eastAsia="Times New Roman" w:hAnsi="Times New Roman"/>
          <w:sz w:val="18"/>
          <w:szCs w:val="18"/>
          <w:color w:val="auto"/>
        </w:rPr>
        <w:t>Factors” in this prospectus for a description of certain of the risks you should consider before investing in our ordinary shares.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INFORMATION OF SCHMID</w:t>
      </w:r>
    </w:p>
    <w:p>
      <w:pPr>
        <w:spacing w:after="0" w:line="22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Summary Historical Financial Data of SCHMID Group N.V.</w:t>
      </w:r>
    </w:p>
    <w:p>
      <w:pPr>
        <w:spacing w:after="0" w:line="162" w:lineRule="exact"/>
        <w:rPr>
          <w:sz w:val="20"/>
          <w:szCs w:val="20"/>
          <w:color w:val="auto"/>
        </w:rPr>
      </w:pPr>
    </w:p>
    <w:p>
      <w:pPr>
        <w:ind w:left="1280" w:right="4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w:t>
      </w:r>
    </w:p>
    <w:p>
      <w:pPr>
        <w:spacing w:after="0" w:line="112" w:lineRule="exact"/>
        <w:rPr>
          <w:sz w:val="20"/>
          <w:szCs w:val="20"/>
          <w:color w:val="auto"/>
        </w:rPr>
      </w:pPr>
    </w:p>
    <w:p>
      <w:pPr>
        <w:ind w:left="128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summary historical financial information should be read together with the consolidated financial statements and accompanying notes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appearing elsewhere in this prospectus. The summary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information in this section is not intended to replace our consolidated financial statements and the related notes. Our historical results are not necessarily indicative of our future results.</w:t>
      </w:r>
    </w:p>
    <w:p>
      <w:pPr>
        <w:spacing w:after="0" w:line="179" w:lineRule="exact"/>
        <w:rPr>
          <w:sz w:val="20"/>
          <w:szCs w:val="20"/>
          <w:color w:val="auto"/>
        </w:rPr>
      </w:pPr>
    </w:p>
    <w:p>
      <w:pPr>
        <w:ind w:left="1280" w:right="1019"/>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 (Loss) for the years ended December 31, 2025, 2024 and 2023</w:t>
      </w:r>
    </w:p>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365"/>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 except share data</w:t>
            </w:r>
          </w:p>
        </w:tc>
        <w:tc>
          <w:tcPr>
            <w:tcW w:w="8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Note</w:t>
            </w:r>
            <w:r>
              <w:rPr>
                <w:rFonts w:ascii="Times New Roman" w:cs="Times New Roman" w:eastAsia="Times New Roman" w:hAnsi="Times New Roman"/>
                <w:sz w:val="14"/>
                <w:szCs w:val="14"/>
                <w:b w:val="1"/>
                <w:bCs w:val="1"/>
                <w:color w:val="auto"/>
              </w:rPr>
              <w:t xml:space="preserve"> ​ ​</w:t>
            </w:r>
          </w:p>
        </w:tc>
        <w:tc>
          <w:tcPr>
            <w:tcW w:w="6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auto"/>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 ​​</w:t>
            </w:r>
          </w:p>
        </w:tc>
        <w:tc>
          <w:tcPr>
            <w:tcW w:w="16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66,945​​ ​​ 60,836​​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90,246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rPr>
              <w:t>​(50,928)</w:t>
            </w:r>
          </w:p>
        </w:tc>
        <w:tc>
          <w:tcPr>
            <w:tcW w:w="100" w:type="dxa"/>
            <w:vAlign w:val="bottom"/>
          </w:tcPr>
          <w:p>
            <w:pPr>
              <w:spacing w:after="0"/>
              <w:rPr>
                <w:sz w:val="17"/>
                <w:szCs w:val="17"/>
                <w:color w:val="auto"/>
              </w:rPr>
            </w:pPr>
          </w:p>
        </w:tc>
        <w:tc>
          <w:tcPr>
            <w:tcW w:w="700" w:type="dxa"/>
            <w:vAlign w:val="bottom"/>
            <w:gridSpan w:val="3"/>
          </w:tcPr>
          <w:p>
            <w:pPr>
              <w:jc w:val="right"/>
              <w:ind w:right="49"/>
              <w:spacing w:after="0" w:line="202" w:lineRule="exact"/>
              <w:rPr>
                <w:sz w:val="20"/>
                <w:szCs w:val="20"/>
                <w:color w:val="auto"/>
              </w:rPr>
            </w:pPr>
            <w:r>
              <w:rPr>
                <w:rFonts w:ascii="Times New Roman" w:cs="Times New Roman" w:eastAsia="Times New Roman" w:hAnsi="Times New Roman"/>
                <w:sz w:val="18"/>
                <w:szCs w:val="18"/>
                <w:color w:val="auto"/>
                <w:w w:val="97"/>
              </w:rPr>
              <w:t>​(48,791)</w:t>
            </w:r>
          </w:p>
        </w:tc>
        <w:tc>
          <w:tcPr>
            <w:tcW w:w="1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​(63,849)</w:t>
            </w:r>
          </w:p>
        </w:tc>
        <w:tc>
          <w:tcPr>
            <w:tcW w:w="0" w:type="dxa"/>
            <w:vAlign w:val="bottom"/>
          </w:tcPr>
          <w:p>
            <w:pPr>
              <w:spacing w:after="0"/>
              <w:rPr>
                <w:sz w:val="1"/>
                <w:szCs w:val="1"/>
                <w:color w:val="auto"/>
              </w:rPr>
            </w:pPr>
          </w:p>
        </w:tc>
      </w:tr>
      <w:tr>
        <w:trPr>
          <w:trHeight w:val="68"/>
        </w:trPr>
        <w:tc>
          <w:tcPr>
            <w:tcW w:w="52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tcPr>
          <w:p>
            <w:pPr>
              <w:spacing w:after="0"/>
              <w:rPr>
                <w:sz w:val="5"/>
                <w:szCs w:val="5"/>
                <w:color w:val="auto"/>
              </w:rPr>
            </w:pPr>
          </w:p>
        </w:tc>
        <w:tc>
          <w:tcPr>
            <w:tcW w:w="36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30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600" w:type="dxa"/>
            <w:vAlign w:val="bottom"/>
            <w:gridSpan w:val="8"/>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16,017</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12,044</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26,397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300" w:type="dxa"/>
            <w:vAlign w:val="bottom"/>
            <w:gridSpan w:val="2"/>
          </w:tcPr>
          <w:p>
            <w:pPr>
              <w:spacing w:after="0"/>
              <w:rPr>
                <w:sz w:val="17"/>
                <w:szCs w:val="17"/>
                <w:color w:val="auto"/>
              </w:rPr>
            </w:pPr>
          </w:p>
        </w:tc>
        <w:tc>
          <w:tcPr>
            <w:tcW w:w="700" w:type="dxa"/>
            <w:vAlign w:val="bottom"/>
            <w:gridSpan w:val="3"/>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rPr>
              <w:t>(11,999)</w:t>
            </w:r>
          </w:p>
        </w:tc>
        <w:tc>
          <w:tcPr>
            <w:tcW w:w="800" w:type="dxa"/>
            <w:vAlign w:val="bottom"/>
            <w:gridSpan w:val="4"/>
          </w:tcPr>
          <w:p>
            <w:pPr>
              <w:jc w:val="right"/>
              <w:ind w:right="49"/>
              <w:spacing w:after="0" w:line="196" w:lineRule="exact"/>
              <w:rPr>
                <w:sz w:val="20"/>
                <w:szCs w:val="20"/>
                <w:color w:val="auto"/>
              </w:rPr>
            </w:pPr>
            <w:r>
              <w:rPr>
                <w:rFonts w:ascii="Times New Roman" w:cs="Times New Roman" w:eastAsia="Times New Roman" w:hAnsi="Times New Roman"/>
                <w:sz w:val="18"/>
                <w:szCs w:val="18"/>
                <w:color w:val="auto"/>
              </w:rPr>
              <w:t>(12,895)</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(12,577)</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tcPr>
          <w:p>
            <w:pPr>
              <w:spacing w:after="0"/>
              <w:rPr>
                <w:sz w:val="4"/>
                <w:szCs w:val="4"/>
                <w:color w:val="auto"/>
              </w:rPr>
            </w:pPr>
          </w:p>
        </w:tc>
        <w:tc>
          <w:tcPr>
            <w:tcW w:w="32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General administration expenses</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9</w:t>
            </w:r>
          </w:p>
        </w:tc>
        <w:tc>
          <w:tcPr>
            <w:tcW w:w="1000" w:type="dxa"/>
            <w:vAlign w:val="bottom"/>
            <w:gridSpan w:val="5"/>
            <w:shd w:val="clear" w:color="auto" w:fill="CCEEFF"/>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rPr>
              <w:t>(11,404)</w:t>
            </w:r>
          </w:p>
        </w:tc>
        <w:tc>
          <w:tcPr>
            <w:tcW w:w="800" w:type="dxa"/>
            <w:vAlign w:val="bottom"/>
            <w:gridSpan w:val="4"/>
            <w:shd w:val="clear" w:color="auto" w:fill="CCEEFF"/>
          </w:tcPr>
          <w:p>
            <w:pPr>
              <w:jc w:val="right"/>
              <w:ind w:right="49"/>
              <w:spacing w:after="0" w:line="202" w:lineRule="exact"/>
              <w:rPr>
                <w:sz w:val="20"/>
                <w:szCs w:val="20"/>
                <w:color w:val="auto"/>
              </w:rPr>
            </w:pPr>
            <w:r>
              <w:rPr>
                <w:rFonts w:ascii="Times New Roman" w:cs="Times New Roman" w:eastAsia="Times New Roman" w:hAnsi="Times New Roman"/>
                <w:sz w:val="18"/>
                <w:szCs w:val="18"/>
                <w:color w:val="auto"/>
              </w:rPr>
              <w:t>(11,792)</w:t>
            </w:r>
          </w:p>
        </w:tc>
        <w:tc>
          <w:tcPr>
            <w:tcW w:w="6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(12,538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28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6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320" w:type="dxa"/>
            <w:vAlign w:val="bottom"/>
            <w:tcBorders>
              <w:left w:val="single" w:sz="8" w:color="CCEEFF"/>
            </w:tcBorders>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shd w:val="clear" w:color="auto" w:fill="CCEEFF"/>
          </w:tcPr>
          <w:p>
            <w:pPr>
              <w:spacing w:after="0"/>
              <w:rPr>
                <w:sz w:val="4"/>
                <w:szCs w:val="4"/>
                <w:color w:val="auto"/>
              </w:rPr>
            </w:pPr>
          </w:p>
        </w:tc>
        <w:tc>
          <w:tcPr>
            <w:tcW w:w="30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9"/>
              <w:spacing w:after="0" w:line="202" w:lineRule="exact"/>
              <w:rPr>
                <w:sz w:val="20"/>
                <w:szCs w:val="20"/>
                <w:color w:val="auto"/>
              </w:rPr>
            </w:pPr>
            <w:r>
              <w:rPr>
                <w:rFonts w:ascii="Times New Roman" w:cs="Times New Roman" w:eastAsia="Times New Roman" w:hAnsi="Times New Roman"/>
                <w:sz w:val="18"/>
                <w:szCs w:val="18"/>
                <w:color w:val="auto"/>
                <w:w w:val="98"/>
              </w:rPr>
              <w:t>(3,974)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 ​​</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 ​​</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9"/>
              <w:spacing w:after="0" w:line="202" w:lineRule="exact"/>
              <w:rPr>
                <w:sz w:val="20"/>
                <w:szCs w:val="20"/>
                <w:color w:val="auto"/>
              </w:rPr>
            </w:pPr>
            <w:r>
              <w:rPr>
                <w:rFonts w:ascii="Times New Roman" w:cs="Times New Roman" w:eastAsia="Times New Roman" w:hAnsi="Times New Roman"/>
                <w:sz w:val="18"/>
                <w:szCs w:val="18"/>
                <w:color w:val="auto"/>
                <w:w w:val="98"/>
              </w:rPr>
              <w:t>(2,564)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tcPr>
          <w:p>
            <w:pPr>
              <w:spacing w:after="0"/>
              <w:rPr>
                <w:sz w:val="4"/>
                <w:szCs w:val="4"/>
                <w:color w:val="auto"/>
              </w:rPr>
            </w:pPr>
          </w:p>
        </w:tc>
        <w:tc>
          <w:tcPr>
            <w:tcW w:w="30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Listing expenses</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800" w:type="dxa"/>
            <w:vAlign w:val="bottom"/>
            <w:gridSpan w:val="4"/>
            <w:shd w:val="clear" w:color="auto" w:fill="CCEEFF"/>
          </w:tcPr>
          <w:p>
            <w:pPr>
              <w:jc w:val="right"/>
              <w:ind w:right="49"/>
              <w:spacing w:after="0" w:line="202" w:lineRule="exact"/>
              <w:rPr>
                <w:sz w:val="20"/>
                <w:szCs w:val="20"/>
                <w:color w:val="auto"/>
              </w:rPr>
            </w:pPr>
            <w:r>
              <w:rPr>
                <w:rFonts w:ascii="Times New Roman" w:cs="Times New Roman" w:eastAsia="Times New Roman" w:hAnsi="Times New Roman"/>
                <w:sz w:val="18"/>
                <w:szCs w:val="18"/>
                <w:color w:val="auto"/>
              </w:rPr>
              <w:t>(71,630)</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28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16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shd w:val="clear" w:color="auto" w:fill="CCEEFF"/>
          </w:tcPr>
          <w:p>
            <w:pPr>
              <w:spacing w:after="0"/>
              <w:rPr>
                <w:sz w:val="4"/>
                <w:szCs w:val="4"/>
                <w:color w:val="auto"/>
              </w:rPr>
            </w:pPr>
          </w:p>
        </w:tc>
        <w:tc>
          <w:tcPr>
            <w:tcW w:w="360" w:type="dxa"/>
            <w:vAlign w:val="bottom"/>
            <w:gridSpan w:val="3"/>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20" w:type="dxa"/>
            <w:vAlign w:val="bottom"/>
            <w:tcBorders>
              <w:left w:val="single" w:sz="8" w:color="CCEEFF"/>
            </w:tcBorders>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shd w:val="clear" w:color="auto" w:fill="CCEEFF"/>
          </w:tcPr>
          <w:p>
            <w:pPr>
              <w:spacing w:after="0"/>
              <w:rPr>
                <w:sz w:val="4"/>
                <w:szCs w:val="4"/>
                <w:color w:val="auto"/>
              </w:rPr>
            </w:pPr>
          </w:p>
        </w:tc>
        <w:tc>
          <w:tcPr>
            <w:tcW w:w="300" w:type="dxa"/>
            <w:vAlign w:val="bottom"/>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Reversal on impairment on financial assets</w:t>
            </w:r>
          </w:p>
        </w:tc>
        <w:tc>
          <w:tcPr>
            <w:tcW w:w="82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1"/>
                <w:szCs w:val="31"/>
                <w:color w:val="auto"/>
                <w:vertAlign w:val="superscript"/>
              </w:rPr>
              <w:t>​14</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8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8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20</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5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22,696</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1,443</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ind w:right="49"/>
              <w:spacing w:after="0" w:line="196" w:lineRule="exact"/>
              <w:rPr>
                <w:sz w:val="20"/>
                <w:szCs w:val="20"/>
                <w:color w:val="auto"/>
              </w:rPr>
            </w:pPr>
            <w:r>
              <w:rPr>
                <w:rFonts w:ascii="Times New Roman" w:cs="Times New Roman" w:eastAsia="Times New Roman" w:hAnsi="Times New Roman"/>
                <w:sz w:val="18"/>
                <w:szCs w:val="18"/>
                <w:b w:val="1"/>
                <w:bCs w:val="1"/>
                <w:color w:val="auto"/>
                <w:w w:val="97"/>
              </w:rPr>
              <w:t>​(81,772)</w:t>
            </w: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32,195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28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shd w:val="clear" w:color="auto" w:fill="CCEEFF"/>
          </w:tcPr>
          <w:p>
            <w:pPr>
              <w:spacing w:after="0"/>
              <w:rPr>
                <w:sz w:val="5"/>
                <w:szCs w:val="5"/>
                <w:color w:val="auto"/>
              </w:rPr>
            </w:pPr>
          </w:p>
        </w:tc>
        <w:tc>
          <w:tcPr>
            <w:tcW w:w="320" w:type="dxa"/>
            <w:vAlign w:val="bottom"/>
            <w:tcBorders>
              <w:left w:val="single" w:sz="8" w:color="CCEEFF"/>
            </w:tcBorders>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80" w:type="dxa"/>
            <w:vAlign w:val="bottom"/>
            <w:shd w:val="clear" w:color="auto" w:fill="CCEEFF"/>
          </w:tcPr>
          <w:p>
            <w:pPr>
              <w:spacing w:after="0"/>
              <w:rPr>
                <w:sz w:val="5"/>
                <w:szCs w:val="5"/>
                <w:color w:val="auto"/>
              </w:rPr>
            </w:pPr>
          </w:p>
        </w:tc>
        <w:tc>
          <w:tcPr>
            <w:tcW w:w="30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1,888​​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Finance expenses</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ind w:right="29"/>
              <w:spacing w:after="0" w:line="202" w:lineRule="exact"/>
              <w:rPr>
                <w:sz w:val="20"/>
                <w:szCs w:val="20"/>
                <w:color w:val="auto"/>
              </w:rPr>
            </w:pPr>
            <w:r>
              <w:rPr>
                <w:rFonts w:ascii="Times New Roman" w:cs="Times New Roman" w:eastAsia="Times New Roman" w:hAnsi="Times New Roman"/>
                <w:sz w:val="18"/>
                <w:szCs w:val="18"/>
                <w:color w:val="auto"/>
              </w:rPr>
              <w:t>​(72,244)</w:t>
            </w: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right"/>
              <w:ind w:right="49"/>
              <w:spacing w:after="0" w:line="202" w:lineRule="exact"/>
              <w:rPr>
                <w:sz w:val="20"/>
                <w:szCs w:val="20"/>
                <w:color w:val="auto"/>
              </w:rPr>
            </w:pPr>
            <w:r>
              <w:rPr>
                <w:rFonts w:ascii="Times New Roman" w:cs="Times New Roman" w:eastAsia="Times New Roman" w:hAnsi="Times New Roman"/>
                <w:sz w:val="18"/>
                <w:szCs w:val="18"/>
                <w:color w:val="auto"/>
              </w:rPr>
              <w:t>​ (5,712)</w:t>
            </w:r>
          </w:p>
        </w:tc>
        <w:tc>
          <w:tcPr>
            <w:tcW w:w="10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7"/>
              </w:rPr>
              <w:t>​(10,091)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28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320" w:type="dxa"/>
            <w:vAlign w:val="bottom"/>
            <w:tcBorders>
              <w:left w:val="single" w:sz="8" w:color="CCEEFF"/>
            </w:tcBorders>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shd w:val="clear" w:color="auto" w:fill="CCEEFF"/>
          </w:tcPr>
          <w:p>
            <w:pPr>
              <w:spacing w:after="0"/>
              <w:rPr>
                <w:sz w:val="5"/>
                <w:szCs w:val="5"/>
                <w:color w:val="auto"/>
              </w:rPr>
            </w:pPr>
          </w:p>
        </w:tc>
        <w:tc>
          <w:tcPr>
            <w:tcW w:w="30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result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29"/>
              <w:spacing w:after="0" w:line="196" w:lineRule="exact"/>
              <w:rPr>
                <w:sz w:val="20"/>
                <w:szCs w:val="20"/>
                <w:color w:val="auto"/>
              </w:rPr>
            </w:pPr>
            <w:r>
              <w:rPr>
                <w:rFonts w:ascii="Times New Roman" w:cs="Times New Roman" w:eastAsia="Times New Roman" w:hAnsi="Times New Roman"/>
                <w:sz w:val="18"/>
                <w:szCs w:val="18"/>
                <w:b w:val="1"/>
                <w:bCs w:val="1"/>
                <w:color w:val="auto"/>
              </w:rPr>
              <w:t>​(72,178)</w:t>
            </w:r>
          </w:p>
        </w:tc>
        <w:tc>
          <w:tcPr>
            <w:tcW w:w="100" w:type="dxa"/>
            <w:vAlign w:val="bottom"/>
          </w:tcPr>
          <w:p>
            <w:pPr>
              <w:spacing w:after="0"/>
              <w:rPr>
                <w:sz w:val="17"/>
                <w:szCs w:val="17"/>
                <w:color w:val="auto"/>
              </w:rPr>
            </w:pPr>
          </w:p>
        </w:tc>
        <w:tc>
          <w:tcPr>
            <w:tcW w:w="700" w:type="dxa"/>
            <w:vAlign w:val="bottom"/>
            <w:gridSpan w:val="3"/>
          </w:tcPr>
          <w:p>
            <w:pPr>
              <w:jc w:val="right"/>
              <w:ind w:right="49"/>
              <w:spacing w:after="0" w:line="196" w:lineRule="exact"/>
              <w:rPr>
                <w:sz w:val="20"/>
                <w:szCs w:val="20"/>
                <w:color w:val="auto"/>
              </w:rPr>
            </w:pPr>
            <w:r>
              <w:rPr>
                <w:rFonts w:ascii="Times New Roman" w:cs="Times New Roman" w:eastAsia="Times New Roman" w:hAnsi="Times New Roman"/>
                <w:sz w:val="18"/>
                <w:szCs w:val="18"/>
                <w:b w:val="1"/>
                <w:bCs w:val="1"/>
                <w:color w:val="auto"/>
              </w:rPr>
              <w:t>​ (3,824)</w:t>
            </w:r>
          </w:p>
        </w:tc>
        <w:tc>
          <w:tcPr>
            <w:tcW w:w="10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9,594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2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tcPr>
          <w:p>
            <w:pPr>
              <w:spacing w:after="0"/>
              <w:rPr>
                <w:sz w:val="5"/>
                <w:szCs w:val="5"/>
                <w:color w:val="auto"/>
              </w:rPr>
            </w:pPr>
          </w:p>
        </w:tc>
        <w:tc>
          <w:tcPr>
            <w:tcW w:w="36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80" w:type="dxa"/>
            <w:vAlign w:val="bottom"/>
          </w:tcPr>
          <w:p>
            <w:pPr>
              <w:spacing w:after="0"/>
              <w:rPr>
                <w:sz w:val="5"/>
                <w:szCs w:val="5"/>
                <w:color w:val="auto"/>
              </w:rPr>
            </w:pPr>
          </w:p>
        </w:tc>
        <w:tc>
          <w:tcPr>
            <w:tcW w:w="30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 of loss from equity method investees</w:t>
            </w: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9"/>
              <w:spacing w:after="0" w:line="196" w:lineRule="exact"/>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 (1,057)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28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00" w:type="dxa"/>
            <w:vAlign w:val="bottom"/>
            <w:shd w:val="clear" w:color="auto" w:fill="CCEEFF"/>
          </w:tcPr>
          <w:p>
            <w:pPr>
              <w:spacing w:after="0"/>
              <w:rPr>
                <w:sz w:val="5"/>
                <w:szCs w:val="5"/>
                <w:color w:val="auto"/>
              </w:rPr>
            </w:pPr>
          </w:p>
        </w:tc>
        <w:tc>
          <w:tcPr>
            <w:tcW w:w="36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320" w:type="dxa"/>
            <w:vAlign w:val="bottom"/>
            <w:tcBorders>
              <w:left w:val="single" w:sz="8" w:color="CCEEFF"/>
            </w:tcBorders>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shd w:val="clear" w:color="auto" w:fill="CCEEFF"/>
          </w:tcPr>
          <w:p>
            <w:pPr>
              <w:spacing w:after="0"/>
              <w:rPr>
                <w:sz w:val="5"/>
                <w:szCs w:val="5"/>
                <w:color w:val="auto"/>
              </w:rPr>
            </w:pPr>
          </w:p>
        </w:tc>
        <w:tc>
          <w:tcPr>
            <w:tcW w:w="300" w:type="dxa"/>
            <w:vAlign w:val="bottom"/>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29"/>
              <w:spacing w:after="0" w:line="196" w:lineRule="exact"/>
              <w:rPr>
                <w:sz w:val="20"/>
                <w:szCs w:val="20"/>
                <w:color w:val="auto"/>
              </w:rPr>
            </w:pPr>
            <w:r>
              <w:rPr>
                <w:rFonts w:ascii="Times New Roman" w:cs="Times New Roman" w:eastAsia="Times New Roman" w:hAnsi="Times New Roman"/>
                <w:sz w:val="18"/>
                <w:szCs w:val="18"/>
                <w:b w:val="1"/>
                <w:bCs w:val="1"/>
                <w:color w:val="auto"/>
              </w:rPr>
              <w:t>​(71,141)</w:t>
            </w:r>
          </w:p>
        </w:tc>
        <w:tc>
          <w:tcPr>
            <w:tcW w:w="100" w:type="dxa"/>
            <w:vAlign w:val="bottom"/>
          </w:tcPr>
          <w:p>
            <w:pPr>
              <w:spacing w:after="0"/>
              <w:rPr>
                <w:sz w:val="17"/>
                <w:szCs w:val="17"/>
                <w:color w:val="auto"/>
              </w:rPr>
            </w:pPr>
          </w:p>
        </w:tc>
        <w:tc>
          <w:tcPr>
            <w:tcW w:w="700" w:type="dxa"/>
            <w:vAlign w:val="bottom"/>
            <w:gridSpan w:val="3"/>
          </w:tcPr>
          <w:p>
            <w:pPr>
              <w:jc w:val="right"/>
              <w:ind w:right="49"/>
              <w:spacing w:after="0" w:line="196" w:lineRule="exact"/>
              <w:rPr>
                <w:sz w:val="20"/>
                <w:szCs w:val="20"/>
                <w:color w:val="auto"/>
              </w:rPr>
            </w:pPr>
            <w:r>
              <w:rPr>
                <w:rFonts w:ascii="Times New Roman" w:cs="Times New Roman" w:eastAsia="Times New Roman" w:hAnsi="Times New Roman"/>
                <w:sz w:val="18"/>
                <w:szCs w:val="18"/>
                <w:b w:val="1"/>
                <w:bCs w:val="1"/>
                <w:color w:val="auto"/>
                <w:w w:val="97"/>
              </w:rPr>
              <w:t>​(85,596)</w:t>
            </w:r>
          </w:p>
        </w:tc>
        <w:tc>
          <w:tcPr>
            <w:tcW w:w="10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40,732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2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80" w:type="dxa"/>
            <w:vAlign w:val="bottom"/>
          </w:tcPr>
          <w:p>
            <w:pPr>
              <w:spacing w:after="0"/>
              <w:rPr>
                <w:sz w:val="5"/>
                <w:szCs w:val="5"/>
                <w:color w:val="auto"/>
              </w:rPr>
            </w:pPr>
          </w:p>
        </w:tc>
        <w:tc>
          <w:tcPr>
            <w:tcW w:w="30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540" w:type="dxa"/>
            <w:vAlign w:val="bottom"/>
            <w:gridSpan w:val="4"/>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20" w:type="dxa"/>
            <w:vAlign w:val="bottom"/>
            <w:gridSpan w:val="6"/>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​17</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82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41</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1280" w:type="dxa"/>
            <w:vAlign w:val="bottom"/>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1,492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(2,778</w:t>
            </w:r>
          </w:p>
        </w:tc>
        <w:tc>
          <w:tcPr>
            <w:tcW w:w="60" w:type="dxa"/>
            <w:vAlign w:val="bottom"/>
          </w:tcPr>
          <w:p>
            <w:pPr>
              <w:jc w:val="right"/>
              <w:spacing w:after="0" w:line="264" w:lineRule="exact"/>
              <w:rPr>
                <w:sz w:val="20"/>
                <w:szCs w:val="20"/>
                <w:color w:val="auto"/>
              </w:rPr>
            </w:pPr>
            <w:r>
              <w:rPr>
                <w:rFonts w:ascii="Times New Roman" w:cs="Times New Roman" w:eastAsia="Times New Roman" w:hAnsi="Times New Roman"/>
                <w:sz w:val="30"/>
                <w:szCs w:val="30"/>
                <w:color w:val="auto"/>
                <w:w w:val="74"/>
                <w:vertAlign w:val="subscript"/>
              </w:rPr>
              <w:t>​</w:t>
            </w: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for the period</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3"/>
          </w:tcPr>
          <w:p>
            <w:pPr>
              <w:jc w:val="right"/>
              <w:ind w:right="29"/>
              <w:spacing w:after="0" w:line="196" w:lineRule="exact"/>
              <w:rPr>
                <w:sz w:val="20"/>
                <w:szCs w:val="20"/>
                <w:color w:val="auto"/>
              </w:rPr>
            </w:pPr>
            <w:r>
              <w:rPr>
                <w:rFonts w:ascii="Times New Roman" w:cs="Times New Roman" w:eastAsia="Times New Roman" w:hAnsi="Times New Roman"/>
                <w:sz w:val="18"/>
                <w:szCs w:val="18"/>
                <w:b w:val="1"/>
                <w:bCs w:val="1"/>
                <w:color w:val="auto"/>
              </w:rPr>
              <w:t>​(71,100)</w:t>
            </w:r>
          </w:p>
        </w:tc>
        <w:tc>
          <w:tcPr>
            <w:tcW w:w="100" w:type="dxa"/>
            <w:vAlign w:val="bottom"/>
          </w:tcPr>
          <w:p>
            <w:pPr>
              <w:spacing w:after="0"/>
              <w:rPr>
                <w:sz w:val="17"/>
                <w:szCs w:val="17"/>
                <w:color w:val="auto"/>
              </w:rPr>
            </w:pPr>
          </w:p>
        </w:tc>
        <w:tc>
          <w:tcPr>
            <w:tcW w:w="700" w:type="dxa"/>
            <w:vAlign w:val="bottom"/>
            <w:gridSpan w:val="3"/>
          </w:tcPr>
          <w:p>
            <w:pPr>
              <w:jc w:val="right"/>
              <w:ind w:right="49"/>
              <w:spacing w:after="0" w:line="196" w:lineRule="exact"/>
              <w:rPr>
                <w:sz w:val="20"/>
                <w:szCs w:val="20"/>
                <w:color w:val="auto"/>
              </w:rPr>
            </w:pPr>
            <w:r>
              <w:rPr>
                <w:rFonts w:ascii="Times New Roman" w:cs="Times New Roman" w:eastAsia="Times New Roman" w:hAnsi="Times New Roman"/>
                <w:sz w:val="18"/>
                <w:szCs w:val="18"/>
                <w:b w:val="1"/>
                <w:bCs w:val="1"/>
                <w:color w:val="auto"/>
                <w:w w:val="97"/>
              </w:rPr>
              <w:t>​(84,104)</w:t>
            </w:r>
          </w:p>
        </w:tc>
        <w:tc>
          <w:tcPr>
            <w:tcW w:w="10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37,954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2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80" w:type="dxa"/>
            <w:vAlign w:val="bottom"/>
          </w:tcPr>
          <w:p>
            <w:pPr>
              <w:spacing w:after="0"/>
              <w:rPr>
                <w:sz w:val="5"/>
                <w:szCs w:val="5"/>
                <w:color w:val="auto"/>
              </w:rPr>
            </w:pPr>
          </w:p>
        </w:tc>
        <w:tc>
          <w:tcPr>
            <w:tcW w:w="30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 by the selling securityholders and other selling securityholders</w:t>
      </w:r>
    </w:p>
    <w:p>
      <w:pPr>
        <w:spacing w:after="0" w:line="225" w:lineRule="exact"/>
        <w:rPr>
          <w:sz w:val="20"/>
          <w:szCs w:val="20"/>
          <w:color w:val="auto"/>
        </w:rPr>
      </w:pPr>
    </w:p>
    <w:p>
      <w:pPr>
        <w:jc w:val="both"/>
        <w:ind w:left="1260" w:right="7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the selling securityholders and/or by our existing Shareholders or selling securityholders of other financial instruments and agreements we entered into could cause the price of our Ordinary Shares to fall.</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There are currently 64,985,726 Ordinary Shares outstanding (including 5,000,000 earn- out shares which are subject to cancellation). Assuming the issuance of the maximum further Ordinary Shares of 54,052,203 Ordinary Shares that have been or will be registered, respectively in relation to our Warrants, the outstanding 2026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a SEPA entered into with a fund managed by Yorkville through another separate registration statement on Form F-1 (Registration No. 333- 296006), a total of 124,038,929 Ordinary Shares would be outstanding. In addition, the Company has filed a registration statement on Form S-8 (Registration No. 333-296242) for up to 2.5 million Ordinary Shares to be issued under a Share Incentive Plan for managers, officers, directors and other employees of the SCHMID Group.</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31,357,893 Ordinary Shares they together hold and control make up 52.27%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w:t>
      </w:r>
    </w:p>
    <w:p>
      <w:pPr>
        <w:spacing w:after="0" w:line="200" w:lineRule="exact"/>
        <w:rPr>
          <w:sz w:val="20"/>
          <w:szCs w:val="20"/>
          <w:color w:val="auto"/>
        </w:rPr>
      </w:pPr>
    </w:p>
    <w:p>
      <w:pPr>
        <w:spacing w:after="0" w:line="210" w:lineRule="exact"/>
        <w:rPr>
          <w:sz w:val="20"/>
          <w:szCs w:val="20"/>
          <w:color w:val="auto"/>
        </w:rPr>
      </w:pPr>
    </w:p>
    <w:p>
      <w:pPr>
        <w:ind w:left="1260" w:right="5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p>
    <w:p>
      <w:pPr>
        <w:spacing w:after="0" w:line="107"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w:t>
      </w:r>
    </w:p>
    <w:p>
      <w:pPr>
        <w:spacing w:after="0" w:line="11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a contribution of shares rather than cash. In addition, Christian Schmid, Anette Schmid and Schmid Grundstücke GmbH &amp; Co KG (which is controlled by them) were issued Ordinary Shares against set-off of liabilities at a share price of $7.3309.</w:t>
      </w:r>
    </w:p>
    <w:p>
      <w:pPr>
        <w:spacing w:after="0" w:line="10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 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w:t>
      </w:r>
    </w:p>
    <w:p>
      <w:pPr>
        <w:spacing w:after="0" w:line="32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Pegasus Digital Mobility Sponsor LLC agreed to set off debt owed to them by Pegasus in exchange for Ordinary Shares, at an effective price of $5.10 per share.</w:t>
      </w:r>
    </w:p>
    <w:p>
      <w:pPr>
        <w:spacing w:after="0" w:line="9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w:t>
      </w:r>
    </w:p>
    <w:p>
      <w:pPr>
        <w:spacing w:after="0" w:line="1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In addition, the 2025 Convertible Loan of EUR 2.5 million agreed with Black Forest Special</w:t>
      </w:r>
    </w:p>
    <w:p>
      <w:pPr>
        <w:spacing w:after="0" w:line="27"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Situations I is convertible at a price of $2.15 per Ordinary Shares and in addition Black Forest Special Situations I was granted 1.25 million options to purchase Ordinary Shares at an exercise price of $4.1956.</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the 2026 Convertible Notes were issued in two $15 million tranches and are subject to a</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floating rate conversion price capped at a floor conversion price of $1.93 and a maximum conversion price</w:t>
      </w:r>
    </w:p>
    <w:p>
      <w:pPr>
        <w:ind w:left="1260"/>
        <w:spacing w:after="0"/>
        <w:rPr>
          <w:sz w:val="20"/>
          <w:szCs w:val="20"/>
          <w:color w:val="auto"/>
        </w:rPr>
      </w:pPr>
      <w:r>
        <w:rPr>
          <w:rFonts w:ascii="Times New Roman" w:cs="Times New Roman" w:eastAsia="Times New Roman" w:hAnsi="Times New Roman"/>
          <w:sz w:val="18"/>
          <w:szCs w:val="18"/>
          <w:color w:val="auto"/>
        </w:rPr>
        <w:t>of $9.65 per Ordinary Shares. As of the date of this registration statement, 2026 Convertible Notes in 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aggregate principal amount of $18 million have been converted at share prices ranging from $4.8122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$6.1573 per share. The 2026 Warrants are issued in two tranches and are also subject to an exercise price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$8.0125 per Ordinary Share.</w:t>
      </w:r>
    </w:p>
    <w:p>
      <w:pPr>
        <w:spacing w:after="0" w:line="1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Based on the above prices paid by selling shareholders, and the variability of the relative prices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$6.19 as of June 16,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w:t>
      </w:r>
    </w:p>
    <w:p>
      <w:pPr>
        <w:spacing w:after="0" w:line="200" w:lineRule="exact"/>
        <w:rPr>
          <w:sz w:val="20"/>
          <w:szCs w:val="20"/>
          <w:color w:val="auto"/>
        </w:rPr>
      </w:pPr>
    </w:p>
    <w:p>
      <w:pPr>
        <w:spacing w:after="0" w:line="206"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p>
    <w:p>
      <w:pPr>
        <w:spacing w:after="0" w:line="9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Warrants can be exercised on a cashless basis, and should the share price rise to the exercise price or above, the Company may not receive cash proceeds in case of an exercise.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While the current price of the Ordinary Shares is below $11.50 (the strike price for the Warrants),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strike price for our 2025 Options (1.25 million options granted to Black Forest Special Situations I) is</w:t>
      </w:r>
    </w:p>
    <w:p>
      <w:pPr>
        <w:ind w:left="1260"/>
        <w:spacing w:after="0"/>
        <w:rPr>
          <w:sz w:val="20"/>
          <w:szCs w:val="20"/>
          <w:color w:val="auto"/>
        </w:rPr>
      </w:pPr>
      <w:r>
        <w:rPr>
          <w:rFonts w:ascii="Times New Roman" w:cs="Times New Roman" w:eastAsia="Times New Roman" w:hAnsi="Times New Roman"/>
          <w:sz w:val="18"/>
          <w:szCs w:val="18"/>
          <w:color w:val="auto"/>
        </w:rPr>
        <w:t>$4.1956 per share which is well below the current price of the Ordinary Shares. However, such warrants are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exercisable until 2030, which means the Company may not receive any of proceeds from the 2025 Options</w:t>
      </w:r>
    </w:p>
    <w:p>
      <w:pPr>
        <w:ind w:left="1260"/>
        <w:spacing w:after="0"/>
        <w:rPr>
          <w:sz w:val="20"/>
          <w:szCs w:val="20"/>
          <w:color w:val="auto"/>
        </w:rPr>
      </w:pPr>
      <w:r>
        <w:rPr>
          <w:rFonts w:ascii="Times New Roman" w:cs="Times New Roman" w:eastAsia="Times New Roman" w:hAnsi="Times New Roman"/>
          <w:sz w:val="18"/>
          <w:szCs w:val="18"/>
          <w:color w:val="auto"/>
        </w:rPr>
        <w:t>in the near future or at all.</w:t>
      </w:r>
    </w:p>
    <w:p>
      <w:pPr>
        <w:spacing w:after="0" w:line="124" w:lineRule="exact"/>
        <w:rPr>
          <w:sz w:val="20"/>
          <w:szCs w:val="20"/>
          <w:color w:val="auto"/>
        </w:rPr>
      </w:pPr>
    </w:p>
    <w:p>
      <w:pPr>
        <w:jc w:val="both"/>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Additionally, the strike price of the 2026 Warrants (warrants issued in connection with the issuance of our 2026 Convertible Notes) is $8.0125, which also means that the Company may not receive any proceeds from such 2026 Warrants in the near future or at all if the holders of the 2026 Warrants do not exercise them until they expire in 2028.</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 Technology, and Industry</w:t>
      </w:r>
    </w:p>
    <w:p>
      <w:pPr>
        <w:spacing w:after="0" w:line="225"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 the markets and industries in which we operate, we face intense competition and our failure to compete successfully in product development may have an adverse effect on our business, financial condition, and results of operations.</w:t>
      </w:r>
    </w:p>
    <w:p>
      <w:pPr>
        <w:spacing w:after="0" w:line="10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electronic industry in which we operate is highly competitive. We encounter competition from</w:t>
      </w:r>
    </w:p>
    <w:p>
      <w:pPr>
        <w:spacing w:after="0" w:line="16"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w:t>
      </w:r>
    </w:p>
    <w:p>
      <w:pPr>
        <w:spacing w:after="0" w:line="119"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Further, because some of our competitors are small divisions of large, international businesses, these competitors may have access to greater resources than we do and may therefore be better able to withstand a change in conditions within our industry or the economy as a whole.</w:t>
      </w:r>
    </w:p>
    <w:p>
      <w:pPr>
        <w:spacing w:after="0" w:line="109"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 -quality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w:t>
      </w:r>
    </w:p>
    <w:p>
      <w:pPr>
        <w:spacing w:after="0" w:line="11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may receive special treatment with respect to regulatory compliance and product registration, while certain of our products, including those based on new technologies, may be delayed or even prevented from entering into the local market.</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w:t>
      </w:r>
    </w:p>
    <w:p>
      <w:pPr>
        <w:spacing w:after="0" w:line="11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are currently in the process of patenting the technology for embedded traces (“</w:t>
      </w:r>
      <w:r>
        <w:rPr>
          <w:rFonts w:ascii="Times New Roman" w:cs="Times New Roman" w:eastAsia="Times New Roman" w:hAnsi="Times New Roman"/>
          <w:sz w:val="18"/>
          <w:szCs w:val="18"/>
          <w:b w:val="1"/>
          <w:bCs w:val="1"/>
          <w:color w:val="auto"/>
        </w:rPr>
        <w:t>ET</w:t>
      </w:r>
      <w:r>
        <w:rPr>
          <w:rFonts w:ascii="Times New Roman" w:cs="Times New Roman" w:eastAsia="Times New Roman" w:hAnsi="Times New Roman"/>
          <w:sz w:val="18"/>
          <w:szCs w:val="18"/>
          <w:color w:val="auto"/>
        </w:rPr>
        <w:t>”)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 on the ET as well and develop either better or more cost competitive processes and machinery, we could fail to capture the growth we expect in the ET market, which could have a material adverse effect on our business, financial condition, and results of operations.</w:t>
      </w:r>
    </w:p>
    <w:p>
      <w:pPr>
        <w:spacing w:after="0" w:line="179"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reputation of our brand is an important company asset and is key to our ability to remain a trusted supplier of specialty products, equipment and services.</w:t>
      </w:r>
    </w:p>
    <w:p>
      <w:pPr>
        <w:spacing w:after="0" w:line="90"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We have maintained a strong reputation in the electronics industries for more than 50 years. Our products, equipment and services are associated with long-lasting and reliable high quality.</w:t>
      </w:r>
    </w:p>
    <w:p>
      <w:pPr>
        <w:spacing w:after="0" w:line="67"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w:t>
      </w:r>
    </w:p>
    <w:p>
      <w:pPr>
        <w:spacing w:after="0" w:line="11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w:t>
      </w:r>
    </w:p>
    <w:p>
      <w:pPr>
        <w:spacing w:after="0" w:line="329" w:lineRule="exact"/>
        <w:rPr>
          <w:sz w:val="20"/>
          <w:szCs w:val="20"/>
          <w:color w:val="auto"/>
        </w:rPr>
      </w:pPr>
    </w:p>
    <w:p>
      <w:pPr>
        <w:ind w:left="1260" w:right="619" w:firstLine="360"/>
        <w:spacing w:after="0" w:line="255" w:lineRule="auto"/>
        <w:rPr>
          <w:sz w:val="20"/>
          <w:szCs w:val="20"/>
          <w:color w:val="auto"/>
        </w:rPr>
      </w:pPr>
      <w:r>
        <w:rPr>
          <w:rFonts w:ascii="Times New Roman" w:cs="Times New Roman" w:eastAsia="Times New Roman" w:hAnsi="Times New Roman"/>
          <w:sz w:val="18"/>
          <w:szCs w:val="18"/>
          <w:color w:val="auto"/>
        </w:rPr>
        <w:t>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w:t>
      </w:r>
    </w:p>
    <w:p>
      <w:pPr>
        <w:spacing w:after="0" w:line="12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Through our products, we have established ourselves as one of the leaders in quality and innovation in the markets in which we operate. For that reason, our customers are willing to pay above market prices for our machinery and technological solutions. If we do not continue to innovate and provide innovative machinery and technological solutions that are competitive within our industry, our customers may no</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6" w:lineRule="auto"/>
        <w:rPr>
          <w:sz w:val="20"/>
          <w:szCs w:val="20"/>
          <w:color w:val="auto"/>
        </w:rPr>
      </w:pPr>
      <w:r>
        <w:rPr>
          <w:rFonts w:ascii="Times New Roman" w:cs="Times New Roman" w:eastAsia="Times New Roman" w:hAnsi="Times New Roman"/>
          <w:sz w:val="18"/>
          <w:szCs w:val="18"/>
          <w:color w:val="auto"/>
        </w:rPr>
        <w:t>longer be willing to pay above market price for our machinery and technological solutions or may move to our competitors. Our customers moving to our competitors could have a material adverse effect on our business, financial condition, and results of operations.</w:t>
      </w:r>
    </w:p>
    <w:p>
      <w:pPr>
        <w:spacing w:after="0" w:line="108"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 could contribute to losses, and we cannot guarantee whether or when any of these plans will be successful with customers or result in an improvement in profits for our business.</w:t>
      </w:r>
    </w:p>
    <w:p>
      <w:pPr>
        <w:spacing w:after="0" w:line="35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ind w:left="126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could suffer if our cost management strategies are unsuccessful, or our competitors develop an advantageous cost structure that we cannot match.</w:t>
      </w:r>
    </w:p>
    <w:p>
      <w:pPr>
        <w:spacing w:after="0" w:line="7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our planned rates of growth, and our business, financial condition, and results of operations could be materially adversely affected.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 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w:t>
      </w:r>
    </w:p>
    <w:p>
      <w:pPr>
        <w:spacing w:after="0" w:line="377"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continuously develop new, improved and more cost-effective technologies and products, this could have a material adverse effect on our business, financial condition and results of operations.</w:t>
      </w:r>
    </w:p>
    <w:p>
      <w:pPr>
        <w:spacing w:after="0" w:line="9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unexpectedly decline or could even disappear. In such case, all or part of our investments in the development of the relevant technology or product, which might be substantial, may be lost.</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w:t>
      </w:r>
    </w:p>
    <w:p>
      <w:pPr>
        <w:spacing w:after="0" w:line="160"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direct customers and their direct and indirect customers face numerous competitive challenges, which may materially adversely affect their business and ours.</w:t>
      </w:r>
    </w:p>
    <w:p>
      <w:pPr>
        <w:spacing w:after="0" w:line="9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w:t>
      </w:r>
    </w:p>
    <w:p>
      <w:pPr>
        <w:spacing w:after="0" w:line="325"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revenue, earnings, and other operating results have fluctuated in the past and may fluctuate in the future.</w:t>
      </w:r>
    </w:p>
    <w:p>
      <w:pPr>
        <w:spacing w:after="0" w:line="162" w:lineRule="exact"/>
        <w:rPr>
          <w:sz w:val="20"/>
          <w:szCs w:val="20"/>
          <w:color w:val="auto"/>
        </w:rPr>
      </w:pPr>
    </w:p>
    <w:p>
      <w:pPr>
        <w:jc w:val="both"/>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 demand for our products fluctuates as a result of economic conditions or for other reasons, our revenue and profitability could be impacted. Our future operating results will depend on many factors, including the following:</w:t>
      </w:r>
    </w:p>
    <w:p>
      <w:pPr>
        <w:spacing w:after="0" w:line="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business, political, and macroeconomic changes, and the overall global economy;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wars or public health crises;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confidence caused by many factors, including changes in interest rates, credit markets, expectations for inflation, unemployment levels, and energy or other commodity prices;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customers’ and their customers’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customers’ demand for our products accurately;</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secular trends that affect demand for our products and the degree to which those trends materialize;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cost savings and improve yields and margins on our new and existing products; and</w:t>
      </w:r>
    </w:p>
    <w:p>
      <w:pPr>
        <w:spacing w:after="0" w:line="301"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capacity efficiently or acquire additional capacity in response to customer demand.</w:t>
      </w:r>
    </w:p>
    <w:p>
      <w:pPr>
        <w:spacing w:after="0" w:line="9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It is likely that our future operating results could be adversely affected by one or more of the factors set forth above or other similar factors. If our future operating results are below the expectations of stock market analysts or our investors, our stock price may decline.</w:t>
      </w:r>
    </w:p>
    <w:p>
      <w:pPr>
        <w:spacing w:after="0" w:line="165" w:lineRule="exact"/>
        <w:rPr>
          <w:sz w:val="20"/>
          <w:szCs w:val="20"/>
          <w:color w:val="auto"/>
        </w:rPr>
      </w:pPr>
    </w:p>
    <w:p>
      <w:pPr>
        <w:ind w:left="12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disruptions to our supply chain, significant increase in material costs, or shortages of critical components, could adversely affect our business and result in increased costs.</w:t>
      </w:r>
    </w:p>
    <w:p>
      <w:pPr>
        <w:spacing w:after="0" w:line="90"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 -party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w:t>
      </w:r>
    </w:p>
    <w:p>
      <w:pPr>
        <w:spacing w:after="0" w:line="186" w:lineRule="exact"/>
        <w:rPr>
          <w:sz w:val="20"/>
          <w:szCs w:val="20"/>
          <w:color w:val="auto"/>
        </w:rPr>
      </w:pPr>
    </w:p>
    <w:p>
      <w:pPr>
        <w:ind w:left="1260" w:right="8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p>
    <w:p>
      <w:pPr>
        <w:spacing w:after="0" w:line="8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significant drivers of the electronics market include the large investments related to the fast growing artificial intelligence industry, specifically into servers, datacenters and electronic components such as chips. If this growth decreases or investments decrease or don’t create the expected returns our growth and financial results may be negatively impacted.</w:t>
      </w:r>
    </w:p>
    <w:p>
      <w:pPr>
        <w:spacing w:after="0" w:line="12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Our performance also depends on the financial health and strength of our customers, which in turn is dependent on the economic conditions of the markets in which we and our customers operate. Declines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1" w:lineRule="auto"/>
        <w:rPr>
          <w:sz w:val="20"/>
          <w:szCs w:val="20"/>
          <w:color w:val="auto"/>
        </w:rPr>
      </w:pPr>
      <w:r>
        <w:rPr>
          <w:rFonts w:ascii="Times New Roman" w:cs="Times New Roman" w:eastAsia="Times New Roman" w:hAnsi="Times New Roman"/>
          <w:sz w:val="18"/>
          <w:szCs w:val="18"/>
          <w:color w:val="auto"/>
        </w:rPr>
        <w:t>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w:t>
      </w:r>
    </w:p>
    <w:p>
      <w:pPr>
        <w:spacing w:after="0" w:line="323"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 markets or of the customers we serve, we may be unable to meet our customers’ needs, resulting in the loss of potential sales.</w:t>
      </w:r>
    </w:p>
    <w:p>
      <w:pPr>
        <w:spacing w:after="0" w:line="33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w:t>
      </w:r>
    </w:p>
    <w:p>
      <w:pPr>
        <w:spacing w:after="0" w:line="392" w:lineRule="exact"/>
        <w:rPr>
          <w:sz w:val="20"/>
          <w:szCs w:val="20"/>
          <w:color w:val="auto"/>
        </w:rPr>
      </w:pPr>
    </w:p>
    <w:p>
      <w:pPr>
        <w:jc w:val="both"/>
        <w:ind w:left="1260" w:right="5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p>
    <w:p>
      <w:pPr>
        <w:spacing w:after="0" w:line="101"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While we focus on several sectors such as electronics, defense, and photovoltaic technologies, the majority of our revenue is achieved from our business with electronics customers. If one or more of the products and services we offer in this business area does not continue to remain profitable or we fail to 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 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w:t>
      </w:r>
    </w:p>
    <w:p>
      <w:pPr>
        <w:spacing w:after="0" w:line="33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 -materialization of orders due to customers’ strategic reorientation) or delays in order timing and other factors such as competitors getting orders which the Company expected to receive.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Difficult and volatile conditions in the capital, credit and commodities markets and in the overall economy could have a material adverse effect on our business, financial condition, results of operations, and cash flows.</w:t>
      </w:r>
    </w:p>
    <w:p>
      <w:pPr>
        <w:spacing w:after="0" w:line="5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w:t>
      </w:r>
    </w:p>
    <w:p>
      <w:pPr>
        <w:spacing w:after="0" w:line="285" w:lineRule="exact"/>
        <w:rPr>
          <w:sz w:val="20"/>
          <w:szCs w:val="20"/>
          <w:color w:val="auto"/>
        </w:rPr>
      </w:pPr>
    </w:p>
    <w:p>
      <w:pPr>
        <w:ind w:left="1800" w:right="5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volatility in commodity prices, we may encounter difficulty in achieving sustained market acceptance of past or future price increases, which could have a material adverse effect on our business, financial condition, results of operations, and cash flows;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respond to market conditions, we may need to seek waivers from certain provisions in financing agreements, and in such case, there can be no assurance that we can obtain such waivers at a reasonable cost, if at all;</w:t>
      </w:r>
    </w:p>
    <w:p>
      <w:pPr>
        <w:spacing w:after="0" w:line="67" w:lineRule="exact"/>
        <w:rPr>
          <w:rFonts w:ascii="Times New Roman" w:cs="Times New Roman" w:eastAsia="Times New Roman" w:hAnsi="Times New Roman"/>
          <w:sz w:val="18"/>
          <w:szCs w:val="18"/>
          <w:color w:val="auto"/>
        </w:rPr>
      </w:pPr>
    </w:p>
    <w:p>
      <w:pPr>
        <w:ind w:left="1800" w:right="539" w:hanging="180"/>
        <w:spacing w:after="0" w:line="258"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w:t>
      </w:r>
    </w:p>
    <w:p>
      <w:pPr>
        <w:spacing w:after="0" w:line="75"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could result in our key customers experiencing financial difficulties and/or electing to limit spending, which in turn could result in decreased sales and earnings for us.</w:t>
      </w:r>
    </w:p>
    <w:p>
      <w:pPr>
        <w:spacing w:after="0" w:line="81"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w:t>
      </w:r>
    </w:p>
    <w:p>
      <w:pPr>
        <w:spacing w:after="0" w:line="195" w:lineRule="exact"/>
        <w:rPr>
          <w:sz w:val="20"/>
          <w:szCs w:val="20"/>
          <w:color w:val="auto"/>
        </w:rPr>
      </w:pPr>
    </w:p>
    <w:p>
      <w:pPr>
        <w:ind w:left="1260" w:right="9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Foreign currency exchange rate fluctuations and volatility in global currency markets could have a material adverse effect on our business, financial condition, and results of operations.</w:t>
      </w:r>
    </w:p>
    <w:p>
      <w:pPr>
        <w:spacing w:after="0" w:line="9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w:t>
      </w:r>
    </w:p>
    <w:p>
      <w:pPr>
        <w:spacing w:after="0" w:line="10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 significant portion of our costs and the majority of our revenues are denominated in currencies other than the Euro, with most of our non-Euro denominated revenues being in RMB and USD while most of our costs being denominated in Euro. While most of our RMB revenues are matched by RMB costs, a weakening of the USD against the EUR and to a lesser extent a weaking of the RMB against the EUR, could have a negative effect on our results of operations.</w:t>
      </w:r>
    </w:p>
    <w:p>
      <w:pPr>
        <w:spacing w:after="0" w:line="11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w:t>
      </w:r>
    </w:p>
    <w:p>
      <w:pPr>
        <w:spacing w:after="0" w:line="165" w:lineRule="exact"/>
        <w:rPr>
          <w:sz w:val="20"/>
          <w:szCs w:val="20"/>
          <w:color w:val="auto"/>
        </w:rPr>
      </w:pPr>
    </w:p>
    <w:p>
      <w:pPr>
        <w:ind w:left="1260" w:right="10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Natural disasters, catastrophes, fire, or other unexpected events could have a material adverse effect on our business, financial condition, and results of operations.</w:t>
      </w:r>
    </w:p>
    <w:p>
      <w:pPr>
        <w:spacing w:after="0" w:line="90"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Many of our business activities involve substantial investments in manufacturing facilities. These facilities could be materially damaged by natural disasters, such as floods, tornadoes, hurricanes, and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w:t>
      </w:r>
    </w:p>
    <w:p>
      <w:pPr>
        <w:spacing w:after="0" w:line="110"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w:t>
      </w:r>
    </w:p>
    <w:p>
      <w:pPr>
        <w:spacing w:after="0" w:line="177"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existing key customers, or if our key customers fail to grow their own sales in the future, our business, results of operations, and financial condition could be materially adversely affected.</w:t>
      </w:r>
    </w:p>
    <w:p>
      <w:pPr>
        <w:spacing w:after="0" w:line="9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w:t>
      </w:r>
    </w:p>
    <w:p>
      <w:pPr>
        <w:spacing w:after="0" w:line="11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w:t>
      </w:r>
    </w:p>
    <w:p>
      <w:pPr>
        <w:spacing w:after="0" w:line="32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w:t>
      </w:r>
    </w:p>
    <w:p>
      <w:pPr>
        <w:spacing w:after="0" w:line="173"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could be adversely affected by decreases in the average selling prices of products.</w:t>
      </w:r>
    </w:p>
    <w:p>
      <w:pPr>
        <w:spacing w:after="0" w:line="9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Decreases in the average selling prices of our products may have a material adverse effect on our</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products and our inability to effectively offset such decrease through shifts in operations. If we are unable to respond effectively to decreases in the average selling prices of our products in the future, our business, financial condition, and results of operations could be materially adversely affected. Further, while we may elect to discontinue products that are significantly affected by such price decreases, we can provide no assurance that any such discontinuation will mitigate the related declines in our financial condition.</w:t>
      </w:r>
    </w:p>
    <w:p>
      <w:pPr>
        <w:spacing w:after="0" w:line="194" w:lineRule="exact"/>
        <w:rPr>
          <w:sz w:val="20"/>
          <w:szCs w:val="20"/>
          <w:color w:val="auto"/>
        </w:rPr>
      </w:pPr>
    </w:p>
    <w:p>
      <w:pPr>
        <w:ind w:left="1260" w:right="8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an impairment charge on our accounts receivable if we are unable to collect the outstanding balances from our customers.</w:t>
      </w:r>
    </w:p>
    <w:p>
      <w:pPr>
        <w:spacing w:after="0" w:line="9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7" w:lineRule="auto"/>
        <w:rPr>
          <w:sz w:val="20"/>
          <w:szCs w:val="20"/>
          <w:color w:val="auto"/>
        </w:rPr>
      </w:pPr>
      <w:r>
        <w:rPr>
          <w:rFonts w:ascii="Times New Roman" w:cs="Times New Roman" w:eastAsia="Times New Roman" w:hAnsi="Times New Roman"/>
          <w:sz w:val="18"/>
          <w:szCs w:val="18"/>
          <w:color w:val="auto"/>
        </w:rPr>
        <w:t>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w:t>
      </w:r>
    </w:p>
    <w:p>
      <w:pPr>
        <w:spacing w:after="0" w:line="400" w:lineRule="exact"/>
        <w:rPr>
          <w:sz w:val="20"/>
          <w:szCs w:val="20"/>
          <w:color w:val="auto"/>
        </w:rPr>
      </w:pPr>
    </w:p>
    <w:p>
      <w:pPr>
        <w:ind w:left="1260" w:right="6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Economic, financial, geopolitical, epidemiological, or other conditions could result in business disruptions which could seriously harm our future revenue and financial condition and increase our costs and expenses.</w:t>
      </w:r>
    </w:p>
    <w:p>
      <w:pPr>
        <w:spacing w:after="0" w:line="6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w:t>
      </w:r>
    </w:p>
    <w:p>
      <w:pPr>
        <w:spacing w:after="0" w:line="34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w:t>
      </w:r>
    </w:p>
    <w:p>
      <w:pPr>
        <w:spacing w:after="0" w:line="32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increased risks.</w:t>
      </w:r>
    </w:p>
    <w:p>
      <w:pPr>
        <w:spacing w:after="0" w:line="162"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operations are subject to the following risks, among others:</w:t>
      </w:r>
    </w:p>
    <w:p>
      <w:pPr>
        <w:spacing w:after="0" w:line="158" w:lineRule="exact"/>
        <w:rPr>
          <w:sz w:val="20"/>
          <w:szCs w:val="20"/>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could result in tariffs or other protectionist measures;</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including regime changes, and corruption;</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and military actions in response to such acts;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conflicts and negative impact on our global logistics requirements;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environments and government interference in the economy;</w:t>
      </w:r>
    </w:p>
    <w:p>
      <w:pPr>
        <w:spacing w:after="0" w:line="103" w:lineRule="exact"/>
        <w:rPr>
          <w:rFonts w:ascii="Times New Roman" w:cs="Times New Roman" w:eastAsia="Times New Roman" w:hAnsi="Times New Roman"/>
          <w:sz w:val="18"/>
          <w:szCs w:val="18"/>
          <w:color w:val="auto"/>
        </w:rPr>
      </w:pPr>
    </w:p>
    <w:p>
      <w:pPr>
        <w:ind w:left="2160" w:right="91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economic sanctions laws and regulations, including regulatory exemptions that currently authorize certain of our limited dealings involving sanctioned countries;</w:t>
      </w:r>
    </w:p>
    <w:p>
      <w:pPr>
        <w:spacing w:after="0" w:line="53" w:lineRule="exact"/>
        <w:rPr>
          <w:rFonts w:ascii="Times New Roman" w:cs="Times New Roman" w:eastAsia="Times New Roman" w:hAnsi="Times New Roman"/>
          <w:sz w:val="18"/>
          <w:szCs w:val="18"/>
          <w:color w:val="auto"/>
        </w:rPr>
      </w:pPr>
    </w:p>
    <w:p>
      <w:pPr>
        <w:jc w:val="both"/>
        <w:ind w:left="2160" w:right="639" w:hanging="180"/>
        <w:spacing w:after="0" w:line="275"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increasingly stringent laws related to privacy and consumer and data protection, including the EU General Data Protection Regulation and US State privacy and security breach notification laws;</w:t>
      </w:r>
    </w:p>
    <w:p>
      <w:pPr>
        <w:spacing w:after="0" w:line="281"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unrest, crime, strikes, riots and civil disturbances;</w:t>
      </w:r>
    </w:p>
    <w:p>
      <w:pPr>
        <w:spacing w:after="0" w:line="103"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tax regimes, including with respect to the imposition of confiscatory taxes, other unexpected taxes, or withholding taxes on remittances and other payments by our partnerships or subsidiaries;</w:t>
      </w:r>
    </w:p>
    <w:p>
      <w:pPr>
        <w:spacing w:after="0" w:line="67" w:lineRule="exact"/>
        <w:rPr>
          <w:rFonts w:ascii="Times New Roman" w:cs="Times New Roman" w:eastAsia="Times New Roman" w:hAnsi="Times New Roman"/>
          <w:sz w:val="18"/>
          <w:szCs w:val="18"/>
          <w:color w:val="auto"/>
        </w:rPr>
      </w:pPr>
    </w:p>
    <w:p>
      <w:pPr>
        <w:ind w:left="2160" w:right="85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particularly in Germany and China where we have a significant number of employees;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wages and rates of inflation;</w:t>
      </w:r>
    </w:p>
    <w:p>
      <w:pPr>
        <w:spacing w:after="0" w:line="117" w:lineRule="exact"/>
        <w:rPr>
          <w:rFonts w:ascii="Times New Roman" w:cs="Times New Roman" w:eastAsia="Times New Roman" w:hAnsi="Times New Roman"/>
          <w:sz w:val="18"/>
          <w:szCs w:val="18"/>
          <w:color w:val="auto"/>
        </w:rPr>
      </w:pPr>
    </w:p>
    <w:p>
      <w:pPr>
        <w:ind w:left="2160" w:right="63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foreign exchange controls and restrictions on repatriation of funds;</w:t>
      </w:r>
    </w:p>
    <w:p>
      <w:pPr>
        <w:spacing w:after="0" w:line="4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disease pandemics and responsive governmental measures;</w:t>
      </w:r>
    </w:p>
    <w:p>
      <w:pPr>
        <w:spacing w:after="0" w:line="117" w:lineRule="exact"/>
        <w:rPr>
          <w:rFonts w:ascii="Times New Roman" w:cs="Times New Roman" w:eastAsia="Times New Roman" w:hAnsi="Times New Roman"/>
          <w:sz w:val="18"/>
          <w:szCs w:val="18"/>
          <w:color w:val="auto"/>
        </w:rPr>
      </w:pPr>
    </w:p>
    <w:p>
      <w:pPr>
        <w:ind w:left="2160" w:right="95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collect payments, or seek recourse under, or comply with ambiguous or vague commercial or other laws;</w:t>
      </w:r>
    </w:p>
    <w:p>
      <w:pPr>
        <w:spacing w:after="0" w:line="53" w:lineRule="exact"/>
        <w:rPr>
          <w:rFonts w:ascii="Times New Roman" w:cs="Times New Roman" w:eastAsia="Times New Roman" w:hAnsi="Times New Roman"/>
          <w:sz w:val="18"/>
          <w:szCs w:val="18"/>
          <w:color w:val="auto"/>
        </w:rPr>
      </w:pPr>
    </w:p>
    <w:p>
      <w:pPr>
        <w:ind w:left="2160" w:right="47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or denial of, export licenses or delay or interruption of the transportation of our products;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protections for intellectual property rights;</w:t>
      </w:r>
    </w:p>
    <w:p>
      <w:pPr>
        <w:spacing w:after="0" w:line="103" w:lineRule="exact"/>
        <w:rPr>
          <w:rFonts w:ascii="Times New Roman" w:cs="Times New Roman" w:eastAsia="Times New Roman" w:hAnsi="Times New Roman"/>
          <w:sz w:val="18"/>
          <w:szCs w:val="18"/>
          <w:color w:val="auto"/>
        </w:rPr>
      </w:pPr>
    </w:p>
    <w:p>
      <w:pPr>
        <w:ind w:left="2160" w:right="55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cybersecurity incidents and cyberattacks from third-party and state actors and privacy violations;</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management and employees;</w:t>
      </w:r>
    </w:p>
    <w:p>
      <w:pPr>
        <w:spacing w:after="0" w:line="117" w:lineRule="exact"/>
        <w:rPr>
          <w:rFonts w:ascii="Times New Roman" w:cs="Times New Roman" w:eastAsia="Times New Roman" w:hAnsi="Times New Roman"/>
          <w:sz w:val="18"/>
          <w:szCs w:val="18"/>
          <w:color w:val="auto"/>
        </w:rPr>
      </w:pPr>
    </w:p>
    <w:p>
      <w:pPr>
        <w:ind w:left="2160" w:right="599" w:hanging="180"/>
        <w:spacing w:after="0" w:line="266"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credit risk and different financial conditions of customers and distributors may necessitate longer payment cycles of accounts receivable or result in increased bad debt write-offs (including due to bankruptcy) or additions to reserves;</w:t>
      </w:r>
    </w:p>
    <w:p>
      <w:pPr>
        <w:spacing w:after="0" w:line="67" w:lineRule="exact"/>
        <w:rPr>
          <w:rFonts w:ascii="Times New Roman" w:cs="Times New Roman" w:eastAsia="Times New Roman" w:hAnsi="Times New Roman"/>
          <w:sz w:val="18"/>
          <w:szCs w:val="18"/>
          <w:color w:val="auto"/>
        </w:rPr>
      </w:pPr>
    </w:p>
    <w:p>
      <w:pPr>
        <w:ind w:left="2160" w:right="73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business practices, which may require us to enter into agreements that include non-standard terms; and</w:t>
      </w:r>
    </w:p>
    <w:p>
      <w:pPr>
        <w:spacing w:after="0" w:line="53" w:lineRule="exact"/>
        <w:rPr>
          <w:rFonts w:ascii="Times New Roman" w:cs="Times New Roman" w:eastAsia="Times New Roman" w:hAnsi="Times New Roman"/>
          <w:sz w:val="18"/>
          <w:szCs w:val="18"/>
          <w:color w:val="auto"/>
        </w:rPr>
      </w:pPr>
    </w:p>
    <w:p>
      <w:pPr>
        <w:ind w:left="2160" w:right="459" w:hanging="180"/>
        <w:spacing w:after="0" w:line="282" w:lineRule="auto"/>
        <w:tabs>
          <w:tab w:leader="none" w:pos="2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penetrating new markets due to entrenched competitors, lack of recognition of our brand, and lack of local acceptance of our products and services.</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overall success as a global business depends, in part, on our ability to anticipate and effectively manage these risks, but there can be no assurance that we will be able to do so without incurring unexpected costs. If we are not able to manage the risks related to our international operations, our business, financial condition, and results of operations may be materially adversely affected.</w:t>
      </w:r>
    </w:p>
    <w:p>
      <w:pPr>
        <w:spacing w:after="0" w:line="11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Furthermore, any of the foregoing factors or any combination thereof could have a material adverse effect on our business, financial condition, and results of operations.</w:t>
      </w:r>
    </w:p>
    <w:p>
      <w:pPr>
        <w:spacing w:after="0" w:line="94"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not insured against all potential risks.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w:t>
      </w:r>
    </w:p>
    <w:p>
      <w:pPr>
        <w:spacing w:after="0" w:line="343"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w:t>
      </w:r>
    </w:p>
    <w:p>
      <w:pPr>
        <w:spacing w:after="0" w:line="336"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w:t>
      </w:r>
    </w:p>
    <w:p>
      <w:pPr>
        <w:spacing w:after="0" w:line="172" w:lineRule="exact"/>
        <w:rPr>
          <w:sz w:val="20"/>
          <w:szCs w:val="20"/>
          <w:color w:val="auto"/>
        </w:rPr>
      </w:pPr>
    </w:p>
    <w:p>
      <w:pPr>
        <w:ind w:left="12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and operate certain portions of our facilities may be limited by the validity of, or a default or termination under, our real property leases.</w:t>
      </w:r>
    </w:p>
    <w:p>
      <w:pPr>
        <w:spacing w:after="0" w:line="78"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and assets in foreign jurisdictions may be subject to significant political and economic uncertainties.</w:t>
      </w:r>
    </w:p>
    <w:p>
      <w:pPr>
        <w:spacing w:after="0" w:line="17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w:t>
      </w:r>
    </w:p>
    <w:p>
      <w:pPr>
        <w:spacing w:after="0" w:line="121"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w:t>
      </w:r>
    </w:p>
    <w:p>
      <w:pPr>
        <w:spacing w:after="0" w:line="188"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presented by the foreign legal systems could limit the legal protections available to us and subject us to legal risks, which could have a material adverse effect on our business, financial condition, and results of operations.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w:t>
      </w:r>
    </w:p>
    <w:p>
      <w:pPr>
        <w:spacing w:after="0" w:line="34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Material increases in labor costs in China could have an adverse impact on our business and operating results.</w:t>
      </w:r>
    </w:p>
    <w:p>
      <w:pPr>
        <w:spacing w:after="0" w:line="173"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w:t>
      </w: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w:t>
      </w:r>
    </w:p>
    <w:p>
      <w:pPr>
        <w:spacing w:after="0" w:line="187"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the Chinese government’s policy on foreign investment in China may adversely affect our business and results of operations.</w:t>
      </w:r>
    </w:p>
    <w:p>
      <w:pPr>
        <w:spacing w:after="0" w:line="9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w:t>
      </w:r>
    </w:p>
    <w:p>
      <w:pPr>
        <w:spacing w:after="0" w:line="114"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w:t>
      </w:r>
    </w:p>
    <w:p>
      <w:pPr>
        <w:spacing w:after="0" w:line="32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Chinese government may enact further restrictive measures in the future which could adversely affect our reputation, business, financial condition, and results of operations.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additional capital on commercially reasonable terms may be limited.</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we are unable to obtain capital on commercially reasonable terms, it could:</w:t>
      </w:r>
    </w:p>
    <w:p>
      <w:pPr>
        <w:spacing w:after="0" w:line="117" w:lineRule="exact"/>
        <w:rPr>
          <w:sz w:val="20"/>
          <w:szCs w:val="20"/>
          <w:color w:val="auto"/>
        </w:rPr>
      </w:pPr>
    </w:p>
    <w:p>
      <w:pPr>
        <w:ind w:left="1800" w:right="4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funds available to us for purposes such as working capital, capital expenditures, research and development, strategic acquisitions, and other general corporate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introduce new products or exploit business opportunities;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economic downturns and competitive pressures in the markets in which we operate;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w:t>
      </w:r>
    </w:p>
    <w:p>
      <w:pPr>
        <w:spacing w:after="0" w:line="15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w:t>
      </w:r>
    </w:p>
    <w:p>
      <w:pPr>
        <w:spacing w:after="0" w:line="11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financings to secure additional funds. On January 18, 2026 the Company entered into an investment agreement in relation to the issuance of convertible notes and warrants. Under the terms of this agreement, the Company is restricted from incurring additional debt until a substantial portion of the convertibles notes has been converted. Specifically, this restriction remains in place until the outstanding balance of the notes has been reduced to $5 million or less.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w:t>
      </w:r>
    </w:p>
    <w:p>
      <w:pPr>
        <w:spacing w:after="0" w:line="328"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On May 12, 2026, we entered into a standby equity purchase agreement (the “SEPA”) with a fund managed by Yorkville for up to $30 million of our shares to be sold to such entity as an investors over a period of 24 months in accordance with the terms of such SEPA. On May 23, 2026, the Company issued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24,889 Ordinary Shares to Yorkville in satisfaction of the USD 150,000 commitment fee under the SEPA, thereby making the SEPA available for use by the Company. After May 23, 2026, the Company utilized the SEPA and, as of June 16, 2026, had issued 800,000 Ordinary Shares to Yorkville under the SEPA.</w:t>
      </w:r>
    </w:p>
    <w:p>
      <w:pPr>
        <w:spacing w:after="0" w:line="10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We may not be able to obtain additional financing on reasonable terms or at all. If we are unable to</w:t>
      </w:r>
    </w:p>
    <w:p>
      <w:pPr>
        <w:spacing w:after="0" w:line="16"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Regulation and Litigation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be affected by tariffs, border adjustment taxes or other adverse trade restrictions.</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 which in turn would negatively impact us.</w:t>
      </w:r>
    </w:p>
    <w:p>
      <w:pPr>
        <w:spacing w:after="0" w:line="395"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international scope of our operations and our corporate and financing structure may expose us to potentially adverse tax consequences.</w:t>
      </w:r>
    </w:p>
    <w:p>
      <w:pPr>
        <w:spacing w:after="0" w:line="6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requirements of these laws or regulations could have a material adverse effect on our business, financial condition, and results of operations.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transfers that have been made and/or deemed to have been made in connection with the Transactions or otherwise, the reallocation of income, penalties, or other consequences that could have a material adverse effect on our business, financial condition, and results of operations.</w:t>
      </w:r>
    </w:p>
    <w:p>
      <w:pPr>
        <w:spacing w:after="0" w:line="197" w:lineRule="exact"/>
        <w:rPr>
          <w:sz w:val="20"/>
          <w:szCs w:val="20"/>
          <w:color w:val="auto"/>
        </w:rPr>
      </w:pPr>
    </w:p>
    <w:p>
      <w:pPr>
        <w:ind w:left="1260" w:right="8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trade restrictions such as economic sanctions and export controls could negatively impact our reputation and results of operations.</w:t>
      </w:r>
    </w:p>
    <w:p>
      <w:pPr>
        <w:spacing w:after="0" w:line="9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color w:val="auto"/>
        </w:rPr>
        <w:t>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 requirements, including changes that may affect existing regulatory authorizations, and we cannot predict the manner in which existing laws and regulations might be administered or interpreted. Any changes in economic sanctions laws in the future could adversely impact our business.</w:t>
      </w:r>
    </w:p>
    <w:p>
      <w:pPr>
        <w:spacing w:after="0" w:line="327"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w:t>
      </w:r>
    </w:p>
    <w:p>
      <w:pPr>
        <w:spacing w:after="0" w:line="176"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07"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are or will be subject to anti -corruption, anti -bribery, anti-money laundering, financial and economic sanctions and similar laws and regulations in various jurisdictions in which we conduct or in the future may conduct activities, including the U.S. Foreign Corrupt Practices Act (“FCPA”), European anti-bribery and corruption laws, and other anti- corruption laws and regulations. The FCPA and European anti-bribery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324"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w:t>
      </w:r>
    </w:p>
    <w:p>
      <w:pPr>
        <w:spacing w:after="0" w:line="179"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changes in legislation and regulation, which may impact how we provide products and services.</w:t>
      </w:r>
    </w:p>
    <w:p>
      <w:pPr>
        <w:spacing w:after="0" w:line="9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1" w:lineRule="auto"/>
        <w:rPr>
          <w:sz w:val="20"/>
          <w:szCs w:val="20"/>
          <w:color w:val="auto"/>
        </w:rPr>
      </w:pPr>
      <w:r>
        <w:rPr>
          <w:rFonts w:ascii="Times New Roman" w:cs="Times New Roman" w:eastAsia="Times New Roman" w:hAnsi="Times New Roman"/>
          <w:sz w:val="18"/>
          <w:szCs w:val="18"/>
          <w:color w:val="auto"/>
        </w:rPr>
        <w:t>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w:t>
      </w:r>
    </w:p>
    <w:p>
      <w:pPr>
        <w:spacing w:after="0" w:line="323"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w:t>
      </w:r>
    </w:p>
    <w:p>
      <w:pPr>
        <w:spacing w:after="0" w:line="173" w:lineRule="exact"/>
        <w:rPr>
          <w:sz w:val="20"/>
          <w:szCs w:val="20"/>
          <w:color w:val="auto"/>
        </w:rPr>
      </w:pPr>
    </w:p>
    <w:p>
      <w:pPr>
        <w:ind w:left="12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litigious environment, which may adversely affect our business, financial condition, and results of operations.</w:t>
      </w:r>
    </w:p>
    <w:p>
      <w:pPr>
        <w:spacing w:after="0" w:line="9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 obligations or costs to be borne by us, which could have a material adverse effect on our business, financial condition, and results of operations.</w:t>
      </w:r>
    </w:p>
    <w:p>
      <w:pPr>
        <w:spacing w:after="0" w:line="389" w:lineRule="exact"/>
        <w:rPr>
          <w:sz w:val="20"/>
          <w:szCs w:val="20"/>
          <w:color w:val="auto"/>
        </w:rPr>
      </w:pPr>
    </w:p>
    <w:p>
      <w:pPr>
        <w:jc w:val="both"/>
        <w:ind w:left="1260" w:right="5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p>
    <w:p>
      <w:pPr>
        <w:spacing w:after="0" w:line="10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w:t>
      </w:r>
    </w:p>
    <w:p>
      <w:pPr>
        <w:spacing w:after="0" w:line="184"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2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75" w:lineRule="auto"/>
        <w:rPr>
          <w:sz w:val="20"/>
          <w:szCs w:val="20"/>
          <w:color w:val="auto"/>
        </w:rPr>
      </w:pPr>
      <w:r>
        <w:rPr>
          <w:rFonts w:ascii="Times New Roman" w:cs="Times New Roman" w:eastAsia="Times New Roman" w:hAnsi="Times New Roman"/>
          <w:sz w:val="18"/>
          <w:szCs w:val="18"/>
          <w:color w:val="auto"/>
        </w:rPr>
        <w:t>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w:t>
      </w:r>
    </w:p>
    <w:p>
      <w:pPr>
        <w:spacing w:after="0" w:line="34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w:t>
      </w:r>
    </w:p>
    <w:p>
      <w:pPr>
        <w:spacing w:after="0" w:line="185" w:lineRule="exact"/>
        <w:rPr>
          <w:sz w:val="20"/>
          <w:szCs w:val="20"/>
          <w:color w:val="auto"/>
        </w:rPr>
      </w:pPr>
    </w:p>
    <w:p>
      <w:pPr>
        <w:ind w:left="1260" w:right="41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Global climate change legislation could negatively impact our results of operations or limit our ability to operate our business.</w:t>
      </w:r>
    </w:p>
    <w:p>
      <w:pPr>
        <w:spacing w:after="0" w:line="77"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w:t>
      </w:r>
    </w:p>
    <w:p>
      <w:pPr>
        <w:spacing w:after="0" w:line="200" w:lineRule="exact"/>
        <w:rPr>
          <w:sz w:val="20"/>
          <w:szCs w:val="20"/>
          <w:color w:val="auto"/>
        </w:rPr>
      </w:pPr>
    </w:p>
    <w:p>
      <w:pPr>
        <w:spacing w:after="0" w:line="216" w:lineRule="exact"/>
        <w:rPr>
          <w:sz w:val="20"/>
          <w:szCs w:val="20"/>
          <w:color w:val="auto"/>
        </w:rPr>
      </w:pPr>
    </w:p>
    <w:p>
      <w:pPr>
        <w:ind w:left="12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information security and privacy concerns could subject us to penalties, damage our reputation and brand, and harm our business and results of operations.</w:t>
      </w:r>
    </w:p>
    <w:p>
      <w:pPr>
        <w:spacing w:after="0" w:line="105"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must comply with increasingly complex and rigorous regulatory standards enacted to protect business and personal data in the United States, Europe and elsewhere. For example, the European Union adopted the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which became effective in 2018, and the State of California adopted the California Consumer Privacy Act of 2018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w:t>
      </w:r>
    </w:p>
    <w:p>
      <w:pPr>
        <w:spacing w:after="0" w:line="34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and damage to our reputation and credibility, and could have a negative impact on revenues and profits.</w:t>
      </w:r>
    </w:p>
    <w:p>
      <w:pPr>
        <w:spacing w:after="0" w:line="12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Relationships with Suppliers and Other Third Parties</w:t>
      </w:r>
    </w:p>
    <w:p>
      <w:pPr>
        <w:spacing w:after="0" w:line="141" w:lineRule="exact"/>
        <w:rPr>
          <w:sz w:val="20"/>
          <w:szCs w:val="20"/>
          <w:color w:val="auto"/>
        </w:rPr>
      </w:pPr>
    </w:p>
    <w:p>
      <w:pPr>
        <w:ind w:left="1260" w:right="9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attract, motivate, and retain members of our senior management team and qualified employees, we may not be able to support our operations.</w:t>
      </w:r>
    </w:p>
    <w:p>
      <w:pPr>
        <w:spacing w:after="0" w:line="9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w:t>
      </w:r>
    </w:p>
    <w:p>
      <w:pPr>
        <w:spacing w:after="0" w:line="121"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Future organizational changes and the implementation of our cost savings initiatives could also cause our employee attrition rate to increase and may result in significant costs to us in connection with implementing such initiatives. If we are unable to continue to identify or be successful in attracting, motivating, and retaining appropriately qualified personnel, there could be a material adverse effect on our business, financial condition, and results of operations.</w:t>
      </w:r>
    </w:p>
    <w:p>
      <w:pPr>
        <w:spacing w:after="0" w:line="191"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9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are continually executing on several growth initiatives, strategies, and operating plans designed to enhance our business. In addition to these growth strategies, our business plan incorporates certain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transformational initiatives, including our enhanced senior leadership team, globalized management structure, renewed focus on customers, optimized R&amp;D, cost management initiatives, and a new incentive structure and may include potential acquisitions.</w:t>
      </w:r>
    </w:p>
    <w:p>
      <w:pPr>
        <w:spacing w:after="0" w:line="10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w:t>
      </w:r>
    </w:p>
    <w:p>
      <w:pPr>
        <w:spacing w:after="0" w:line="3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w:t>
      </w:r>
    </w:p>
    <w:p>
      <w:pPr>
        <w:spacing w:after="0" w:line="32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 markets, prove inaccurate, our business, financial condition, and results of operations may be materially adversely affected.</w:t>
      </w:r>
    </w:p>
    <w:p>
      <w:pPr>
        <w:spacing w:after="0" w:line="392"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internal codes of conduct, and insider trading prohibition.</w:t>
      </w:r>
    </w:p>
    <w:p>
      <w:pPr>
        <w:spacing w:after="0" w:line="9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 Germany, the United States and other countries or jurisdictions, to report financial information or data accurately, or to disclose unauthorized activities to us.</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ourselves or asserting our rights) such misconduct or actions could have a material adverse effect on our business, financial condition, and results of operations.</w:t>
      </w:r>
    </w:p>
    <w:p>
      <w:pPr>
        <w:spacing w:after="0" w:line="185" w:lineRule="exact"/>
        <w:rPr>
          <w:sz w:val="20"/>
          <w:szCs w:val="20"/>
          <w:color w:val="auto"/>
        </w:rPr>
      </w:pPr>
    </w:p>
    <w:p>
      <w:pPr>
        <w:ind w:left="12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p>
    <w:p>
      <w:pPr>
        <w:spacing w:after="0" w:line="107"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w:t>
      </w:r>
    </w:p>
    <w:p>
      <w:pPr>
        <w:spacing w:after="0" w:line="95"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could affect our ability to deliver orders to our clients and could increase our costs and negatively affect our liquidity and financial performance.</w:t>
      </w:r>
    </w:p>
    <w:p>
      <w:pPr>
        <w:spacing w:after="0" w:line="144" w:lineRule="exact"/>
        <w:rPr>
          <w:sz w:val="20"/>
          <w:szCs w:val="20"/>
          <w:color w:val="auto"/>
        </w:rPr>
      </w:pPr>
    </w:p>
    <w:p>
      <w:pPr>
        <w:jc w:val="both"/>
        <w:ind w:left="1260" w:right="8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or reductions in the supplies of our specialty and commodity raw materials required for our manufacturing, testing, and operations processes could materially and adversely affect our business, financial condition, and results of operations.</w:t>
      </w:r>
    </w:p>
    <w:p>
      <w:pPr>
        <w:spacing w:after="0" w:line="101"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w:t>
      </w:r>
    </w:p>
    <w:p>
      <w:pPr>
        <w:spacing w:after="0" w:line="32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w:t>
      </w:r>
    </w:p>
    <w:p>
      <w:pPr>
        <w:spacing w:after="0" w:line="114"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raw material prices and our ability to increase the prices of our products. Any limitation on, or delay in, our ability to pass on any price increases could have a material adverse effect on our business, financial condition, and results of operations.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depend upon our information technology systems, which are subject to interruption and failure.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business operations could be disrupted if our information technology systems fail to perform adequately. 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w:t>
      </w:r>
    </w:p>
    <w:p>
      <w:pPr>
        <w:spacing w:after="0" w:line="324"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w:t>
      </w:r>
    </w:p>
    <w:p>
      <w:pPr>
        <w:spacing w:after="0" w:line="121"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SCHMID’s Intellectual Property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know-how and innovations may not be adequately protected.</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protect our know-how and innovations according to our products and services. If we fail to protect our know-how and innovations, our competitive position could suffer, which could adversely affect our business, financial condition, and results of operations.</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results of operations. Moreover, the scope of our intellectual property rights may not prevent competitors from designing around such rights.</w:t>
      </w:r>
    </w:p>
    <w:p>
      <w:pPr>
        <w:spacing w:after="0" w:line="120"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knowledge and expertise could harm our competitive position and cause our sales and operating results to decline as a result of increased competition.</w:t>
      </w:r>
    </w:p>
    <w:p>
      <w:pPr>
        <w:spacing w:after="0" w:line="121"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w:t>
      </w:r>
    </w:p>
    <w:p>
      <w:pPr>
        <w:spacing w:after="0" w:line="197" w:lineRule="exact"/>
        <w:rPr>
          <w:sz w:val="20"/>
          <w:szCs w:val="20"/>
          <w:color w:val="auto"/>
        </w:rPr>
      </w:pPr>
    </w:p>
    <w:p>
      <w:pPr>
        <w:ind w:left="1260" w:right="51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p>
    <w:p>
      <w:pPr>
        <w:spacing w:after="0" w:line="90" w:lineRule="exact"/>
        <w:rPr>
          <w:sz w:val="20"/>
          <w:szCs w:val="20"/>
          <w:color w:val="auto"/>
        </w:rPr>
      </w:pPr>
    </w:p>
    <w:p>
      <w:pPr>
        <w:ind w:left="1260" w:right="539" w:firstLine="360"/>
        <w:spacing w:after="0" w:line="252" w:lineRule="auto"/>
        <w:rPr>
          <w:sz w:val="20"/>
          <w:szCs w:val="20"/>
          <w:color w:val="auto"/>
        </w:rPr>
      </w:pPr>
      <w:r>
        <w:rPr>
          <w:rFonts w:ascii="Times New Roman" w:cs="Times New Roman" w:eastAsia="Times New Roman" w:hAnsi="Times New Roman"/>
          <w:sz w:val="18"/>
          <w:szCs w:val="18"/>
          <w:color w:val="auto"/>
        </w:rPr>
        <w:t>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w:t>
      </w:r>
    </w:p>
    <w:p>
      <w:pPr>
        <w:spacing w:after="0" w:line="34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precluded from doing so at a later date. Furthermore, our pending patent applications may be challenged by third parties and may not be issued by the applicable patent 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w:t>
      </w:r>
    </w:p>
    <w:p>
      <w:pPr>
        <w:spacing w:after="0" w:line="340" w:lineRule="exact"/>
        <w:rPr>
          <w:sz w:val="20"/>
          <w:szCs w:val="20"/>
          <w:color w:val="auto"/>
        </w:rPr>
      </w:pPr>
    </w:p>
    <w:p>
      <w:pPr>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licenses, and other contractual rights to establish and protect 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w:t>
      </w:r>
    </w:p>
    <w:p>
      <w:pPr>
        <w:spacing w:after="0" w:line="11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w:t>
      </w:r>
    </w:p>
    <w:p>
      <w:pPr>
        <w:spacing w:after="0" w:line="12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w:t>
      </w:r>
    </w:p>
    <w:p>
      <w:pPr>
        <w:spacing w:after="0" w:line="173"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p>
    <w:p>
      <w:pPr>
        <w:spacing w:after="0" w:line="8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may be subject to claims that our employees or consultants have wrongfully used for our benefit or disclosed to us confidential information of third parties. We employ individuals who were previously 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w:t>
      </w:r>
    </w:p>
    <w:p>
      <w:pPr>
        <w:spacing w:after="0" w:line="200" w:lineRule="exact"/>
        <w:rPr>
          <w:sz w:val="20"/>
          <w:szCs w:val="20"/>
          <w:color w:val="auto"/>
        </w:rPr>
      </w:pPr>
    </w:p>
    <w:p>
      <w:pPr>
        <w:spacing w:after="0" w:line="210"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p>
    <w:p>
      <w:pPr>
        <w:spacing w:after="0" w:line="107"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To maintain the confidentiality of our trade secrets, proprietary information and other intellectual property rights, we have certain confidentiality and invention assignment provisions in place with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w:t>
      </w:r>
    </w:p>
    <w:p>
      <w:pPr>
        <w:spacing w:after="0" w:line="328"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 - 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w:t>
      </w:r>
    </w:p>
    <w:p>
      <w:pPr>
        <w:spacing w:after="0" w:line="117"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w:t>
      </w:r>
    </w:p>
    <w:p>
      <w:pPr>
        <w:spacing w:after="0" w:line="200" w:lineRule="exact"/>
        <w:rPr>
          <w:sz w:val="20"/>
          <w:szCs w:val="20"/>
          <w:color w:val="auto"/>
        </w:rPr>
      </w:pPr>
    </w:p>
    <w:p>
      <w:pPr>
        <w:spacing w:after="0" w:line="205"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be successful, which may have a material adverse effect on our ability to prevent others from commercially exploiting products similar to ours.</w:t>
      </w:r>
    </w:p>
    <w:p>
      <w:pPr>
        <w:spacing w:after="0" w:line="74"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color w:val="auto"/>
        </w:rPr>
        <w:t>We are currently in the process of patenting the technology for embedded traces (“</w:t>
      </w:r>
      <w:r>
        <w:rPr>
          <w:rFonts w:ascii="Times New Roman" w:cs="Times New Roman" w:eastAsia="Times New Roman" w:hAnsi="Times New Roman"/>
          <w:sz w:val="18"/>
          <w:szCs w:val="18"/>
          <w:b w:val="1"/>
          <w:bCs w:val="1"/>
          <w:color w:val="auto"/>
        </w:rPr>
        <w:t>ET</w:t>
      </w:r>
      <w:r>
        <w:rPr>
          <w:rFonts w:ascii="Times New Roman" w:cs="Times New Roman" w:eastAsia="Times New Roman" w:hAnsi="Times New Roman"/>
          <w:sz w:val="18"/>
          <w:szCs w:val="18"/>
          <w:color w:val="auto"/>
        </w:rPr>
        <w:t>”),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w:t>
      </w:r>
    </w:p>
    <w:p>
      <w:pPr>
        <w:spacing w:after="0" w:line="113"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protection against competitors with similar technology or will cover certain aspects of our products. In addition, our competitors may design around our issued patents, which may adversely affect our business, prospects, financial condition or operating results.</w:t>
      </w:r>
    </w:p>
    <w:p>
      <w:pPr>
        <w:spacing w:after="0" w:line="176" w:lineRule="exact"/>
        <w:rPr>
          <w:sz w:val="20"/>
          <w:szCs w:val="20"/>
          <w:color w:val="auto"/>
        </w:rPr>
      </w:pPr>
    </w:p>
    <w:p>
      <w:pPr>
        <w:ind w:left="1260" w:right="41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p>
    <w:p>
      <w:pPr>
        <w:spacing w:after="0" w:line="8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 applications. Finally, in addition to those who may claim priority, any of our existing or pending patents may also be challenged by others on the basis that they are otherwise invalid or unenforceable.</w:t>
      </w:r>
    </w:p>
    <w:p>
      <w:pPr>
        <w:spacing w:after="0" w:line="181"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patent or trademark infringement claims, which may be time- consuming and would cause us to incur substantial costs.</w:t>
      </w:r>
    </w:p>
    <w:p>
      <w:pPr>
        <w:spacing w:after="0" w:line="90"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Companies, organizations, or individuals, including our competitors, may hold or obtain patents, trademarks or other proprietary rights that would prevent, limit or interfere with our ability to make, use, 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w:t>
      </w:r>
    </w:p>
    <w:p>
      <w:pPr>
        <w:spacing w:after="0" w:line="11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w:t>
      </w:r>
    </w:p>
    <w:p>
      <w:pPr>
        <w:spacing w:after="0" w:line="32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w:t>
      </w: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shipment delays, and harm our reputation, any of which could have a material adverse effect on our business, financial condition, and results of operations.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Being a Public Company listed on a U.S. Stock Exchange</w:t>
      </w:r>
    </w:p>
    <w:p>
      <w:pPr>
        <w:spacing w:after="0" w:line="225" w:lineRule="exact"/>
        <w:rPr>
          <w:sz w:val="20"/>
          <w:szCs w:val="20"/>
          <w:color w:val="auto"/>
        </w:rPr>
      </w:pPr>
    </w:p>
    <w:p>
      <w:pPr>
        <w:ind w:left="1260" w:right="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to improve our operational and financial systems to support our growth goals, increasingly complex business arrangements, and rules governing revenue and expense recognition and any inability to do so will adversely affect our billing and reporting.</w:t>
      </w:r>
    </w:p>
    <w:p>
      <w:pPr>
        <w:spacing w:after="0" w:line="10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w:t>
      </w:r>
    </w:p>
    <w:p>
      <w:pPr>
        <w:spacing w:after="0" w:line="186" w:lineRule="exact"/>
        <w:rPr>
          <w:sz w:val="20"/>
          <w:szCs w:val="20"/>
          <w:color w:val="auto"/>
        </w:rPr>
      </w:pPr>
    </w:p>
    <w:p>
      <w:pPr>
        <w:jc w:val="both"/>
        <w:ind w:left="126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p>
    <w:p>
      <w:pPr>
        <w:spacing w:after="0" w:line="107"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w:t>
      </w:r>
    </w:p>
    <w:p>
      <w:pPr>
        <w:spacing w:after="0" w:line="9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w:t>
      </w:r>
    </w:p>
    <w:p>
      <w:pPr>
        <w:spacing w:after="0" w:line="347"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In spring of 2025 the Company failed to finalize its financial reporting for 2024 or publish its annual report on Form 20-F in a timely manner due to delays in resolving accounting issues, as well as liquidity issues facing the Company.</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p>
    <w:p>
      <w:pPr>
        <w:spacing w:after="0" w:line="107"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w:t>
      </w:r>
    </w:p>
    <w:p>
      <w:pPr>
        <w:spacing w:after="0" w:line="115"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w:t>
      </w:r>
    </w:p>
    <w:p>
      <w:pPr>
        <w:spacing w:after="0" w:line="73"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consist of independent directors;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54"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committee and compensation committee.</w:t>
      </w:r>
    </w:p>
    <w:p>
      <w:pPr>
        <w:spacing w:after="0" w:line="94"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protections afforded to shareholders of companies that are subject to all the corporate governance requirements of the stock exchange on which we list our common shares.</w:t>
      </w:r>
    </w:p>
    <w:p>
      <w:pPr>
        <w:spacing w:after="0" w:line="177"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Anette Schmid and Christian Schmid jointly have the power to control the outcome of shareholder actions in our company.</w:t>
      </w:r>
    </w:p>
    <w:p>
      <w:pPr>
        <w:spacing w:after="0" w:line="9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As of the date of this registration statement, Anette Schmid and Christian Schmid jointly held 52.27% of our outstanding Ordinary Shares not taking into account 5 million non-vested earn-out shares held by them which are contractually restricted from voting (55.95% if the non-vested earnout shares are taken into 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w:t>
      </w:r>
    </w:p>
    <w:p>
      <w:pPr>
        <w:spacing w:after="0" w:line="11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1" w:lineRule="auto"/>
        <w:rPr>
          <w:sz w:val="20"/>
          <w:szCs w:val="20"/>
          <w:color w:val="auto"/>
        </w:rPr>
      </w:pPr>
      <w:r>
        <w:rPr>
          <w:rFonts w:ascii="Times New Roman" w:cs="Times New Roman" w:eastAsia="Times New Roman" w:hAnsi="Times New Roman"/>
          <w:sz w:val="18"/>
          <w:szCs w:val="18"/>
          <w:color w:val="auto"/>
        </w:rPr>
        <w:t>so without your approval and without providing for a purchase of your securities. In addition, the significant concentration of share ownership may adversely affect the trading price of our securities due to investors’ perception that conflicts of interest may exist or arise.</w:t>
      </w:r>
    </w:p>
    <w:p>
      <w:pPr>
        <w:spacing w:after="0" w:line="160" w:lineRule="exact"/>
        <w:rPr>
          <w:sz w:val="20"/>
          <w:szCs w:val="20"/>
          <w:color w:val="auto"/>
        </w:rPr>
      </w:pPr>
    </w:p>
    <w:p>
      <w:pPr>
        <w:ind w:left="12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Ordinary Shares and Public Warrants may be volatile and could decline significantly.</w:t>
      </w:r>
    </w:p>
    <w:p>
      <w:pPr>
        <w:spacing w:after="0" w:line="91"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continued listing requirements could result in a delisting of our shares.</w:t>
      </w:r>
    </w:p>
    <w:p>
      <w:pPr>
        <w:spacing w:after="0" w:line="162"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w:t>
      </w:r>
    </w:p>
    <w:p>
      <w:pPr>
        <w:spacing w:after="0" w:line="340" w:lineRule="exact"/>
        <w:rPr>
          <w:sz w:val="20"/>
          <w:szCs w:val="20"/>
          <w:color w:val="auto"/>
        </w:rPr>
      </w:pPr>
    </w:p>
    <w:p>
      <w:pPr>
        <w:ind w:left="1260" w:right="559" w:firstLine="360"/>
        <w:spacing w:after="0" w:line="263" w:lineRule="auto"/>
        <w:rPr>
          <w:sz w:val="20"/>
          <w:szCs w:val="20"/>
          <w:color w:val="auto"/>
        </w:rPr>
      </w:pPr>
      <w:r>
        <w:rPr>
          <w:rFonts w:ascii="Times New Roman" w:cs="Times New Roman" w:eastAsia="Times New Roman" w:hAnsi="Times New Roman"/>
          <w:sz w:val="18"/>
          <w:szCs w:val="18"/>
          <w:color w:val="auto"/>
        </w:rPr>
        <w:t>If the Company were unable to comply with NASDAQ rules and regulations in the future, its Shares and/or the Warrants could be delisted from NASDAQ and its shareholders could find it difficult to sell any 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w:t>
      </w:r>
    </w:p>
    <w:p>
      <w:pPr>
        <w:spacing w:after="0" w:line="200" w:lineRule="exact"/>
        <w:rPr>
          <w:sz w:val="20"/>
          <w:szCs w:val="20"/>
          <w:color w:val="auto"/>
        </w:rPr>
      </w:pPr>
    </w:p>
    <w:p>
      <w:pPr>
        <w:spacing w:after="0" w:line="220" w:lineRule="exact"/>
        <w:rPr>
          <w:sz w:val="20"/>
          <w:szCs w:val="20"/>
          <w:color w:val="auto"/>
        </w:rPr>
      </w:pPr>
    </w:p>
    <w:p>
      <w:pPr>
        <w:ind w:left="12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91"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reduced SEC reporting requirements may make our shares less attractive to investors.</w:t>
      </w:r>
    </w:p>
    <w:p>
      <w:pPr>
        <w:spacing w:after="0" w:line="7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w:t>
      </w:r>
    </w:p>
    <w:p>
      <w:pPr>
        <w:spacing w:after="0" w:line="200" w:lineRule="exact"/>
        <w:rPr>
          <w:sz w:val="20"/>
          <w:szCs w:val="20"/>
          <w:color w:val="auto"/>
        </w:rPr>
      </w:pPr>
    </w:p>
    <w:p>
      <w:pPr>
        <w:spacing w:after="0" w:line="205" w:lineRule="exact"/>
        <w:rPr>
          <w:sz w:val="20"/>
          <w:szCs w:val="20"/>
          <w:color w:val="auto"/>
        </w:rPr>
      </w:pPr>
    </w:p>
    <w:p>
      <w:pPr>
        <w:ind w:left="1260" w:right="4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As a “controlled company” under the rules of The Nasdaq Capital Market, we may choose to exempt our Company from certain corporate governance requirements that could have an adverse effect on our public shareholders.</w:t>
      </w:r>
    </w:p>
    <w:p>
      <w:pPr>
        <w:spacing w:after="0" w:line="6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be less attractive to certain investors or otherwise harm our trading price.</w:t>
      </w:r>
    </w:p>
    <w:p>
      <w:pPr>
        <w:spacing w:after="0" w:line="389" w:lineRule="exact"/>
        <w:rPr>
          <w:sz w:val="20"/>
          <w:szCs w:val="20"/>
          <w:color w:val="auto"/>
        </w:rPr>
      </w:pPr>
    </w:p>
    <w:p>
      <w:pPr>
        <w:jc w:val="both"/>
        <w:ind w:left="1260" w:right="107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Compliance obligations under the Sarbanes-Oxley Act may require substantial financial and management resources and shareholders may have fewer advantages until we cease to be an emerging growth company.</w:t>
      </w:r>
    </w:p>
    <w:p>
      <w:pPr>
        <w:spacing w:after="0" w:line="6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As indicated above, prior to the Business Combination, we were not a publicly reporting company required to comply with Section 404 of the Sarbanes -Oxley Act (“Section 404”). Our management may not 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 may not be able to assess whether its internal control over financial reporting is effective, which may subject us to adverse regulatory consequences and could harm investor confidence and the market price of our securities.</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p>
    <w:p>
      <w:pPr>
        <w:spacing w:after="0" w:line="10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 -swing” profit recovery provisions of Section 16 of the Exchange Act and related rules with respect to their purchases and sales of its securities.</w:t>
      </w:r>
    </w:p>
    <w:p>
      <w:pPr>
        <w:spacing w:after="0" w:line="12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w:t>
      </w:r>
    </w:p>
    <w:p>
      <w:pPr>
        <w:spacing w:after="0" w:line="196"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8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are a Dutch public company with limited liability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Our corporate affairs are governed by our articles of association, our internal rules and policies and by the laws governing companies incorporated in the Netherlands. The rights of shareholders may be different from the rights and 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w:t>
      </w:r>
    </w:p>
    <w:p>
      <w:pPr>
        <w:spacing w:after="0" w:line="186"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obligated to, and do not, comply with all best practice provisions of the Dutch Corporate Governance Code.</w:t>
      </w:r>
    </w:p>
    <w:p>
      <w:pPr>
        <w:spacing w:after="0" w:line="7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are subject to the Dutch Corporate Governance Code (the “</w:t>
      </w:r>
      <w:r>
        <w:rPr>
          <w:rFonts w:ascii="Times New Roman" w:cs="Times New Roman" w:eastAsia="Times New Roman" w:hAnsi="Times New Roman"/>
          <w:sz w:val="18"/>
          <w:szCs w:val="18"/>
          <w:b w:val="1"/>
          <w:bCs w:val="1"/>
          <w:color w:val="auto"/>
        </w:rPr>
        <w:t>DCGC</w:t>
      </w:r>
      <w:r>
        <w:rPr>
          <w:rFonts w:ascii="Times New Roman" w:cs="Times New Roman" w:eastAsia="Times New Roman" w:hAnsi="Times New Roman"/>
          <w:sz w:val="18"/>
          <w:szCs w:val="18"/>
          <w:color w:val="auto"/>
        </w:rPr>
        <w:t>”). The DCGC contains both principles and best practice provisions on corporate governance that regulate relations between the 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w:t>
      </w:r>
    </w:p>
    <w:p>
      <w:pPr>
        <w:spacing w:after="0" w:line="11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provisions do not reflect customary practices of global companies listed on the NASDAQ. Any such non-compliance may affect your rights as a shareholder, and you may not have the same level of protection as a shareholder in a Dutch company that fully complies with the DCGC.</w:t>
      </w:r>
    </w:p>
    <w:p>
      <w:pPr>
        <w:spacing w:after="0" w:line="165"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Shareholders may not be able to exercise pre-emptive rights and, as a result, may experience substantial dilution upon future issuances of shares.</w:t>
      </w:r>
    </w:p>
    <w:p>
      <w:pPr>
        <w:spacing w:after="0" w:line="7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 of $2 million in each case a total of 3,330,351 shares have been issued to date under the convertible note. Shareholders may continue to be diluted if the holders chose to convert further notes in the future. Currently $12 million remains outstanding under the notes. In addition to any further conversions by Linden Advisors LP of its convertible notes, the Company has 21,000,000 Warrants outstanding and an additional 3,744,150 warrants held by Linden Advisors LP, which would dilute shareholders’ shareholding if exercised. The Company has also signed a SEPA with Yorkville on May 12, 2026 under which it has access to equity financing of up to USD 30.0 million. Share issuances under this SEPA would also dilute shareholders’ shareholding.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Restrictions under Dutch law and our Articles of Association may limit dividends and other distributions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Under Dutch law, we may only pay dividends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number of factors, including our results of operations, earnings, cash flow, financial condition, future prospects, contractual restrictions, capital investment requirements, restrictions imposed by applicable law and other factors considered relevant by our Board.</w:t>
      </w:r>
    </w:p>
    <w:p>
      <w:pPr>
        <w:spacing w:after="0" w:line="114"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60" w:right="8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civil liabilities against us or the members of our management and our board.</w:t>
      </w:r>
    </w:p>
    <w:p>
      <w:pPr>
        <w:spacing w:after="0" w:line="9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w:t>
      </w:r>
    </w:p>
    <w:p>
      <w:pPr>
        <w:spacing w:after="0" w:line="179"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Dutch, German and European insolvency laws are substantially different from U.S. insolvency laws and may offer our shareholders less protection than they would have under U.S. insolvency laws.</w:t>
      </w:r>
    </w:p>
    <w:p>
      <w:pPr>
        <w:spacing w:after="0" w:line="91"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Shareholders may be subject to limitations on transfers of their shares.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Articles of Association include sole and exclusive forum provisions.</w:t>
      </w:r>
    </w:p>
    <w:p>
      <w:pPr>
        <w:spacing w:after="0" w:line="148"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The sole and exclusive forum for any action, proceeding or claim against us under the Securities Act, the Exchange Act or any claim for which the federal district courts of the United States of America are the 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25"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tax residency, including for purposes of the German-Dutch tax treaty, could be challenged, which could result in additional tax liabilities, compliance burdens, and adverse financial consequences.</w:t>
      </w:r>
    </w:p>
    <w:p>
      <w:pPr>
        <w:spacing w:after="0" w:line="8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are a public limited liabaility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w:t>
      </w:r>
    </w:p>
    <w:p>
      <w:pPr>
        <w:spacing w:after="0" w:line="33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in the German-Dutch tax treaty as effective as of the date of this registration statement. Our tax residence is determined under the residence and “tie breaker” provisions of that treaty as in force and applicable as of the date of this prospectus.</w:t>
      </w:r>
    </w:p>
    <w:p>
      <w:pPr>
        <w:spacing w:after="0" w:line="10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and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w:t>
      </w:r>
    </w:p>
    <w:p>
      <w:pPr>
        <w:spacing w:after="0" w:line="114"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w:t>
      </w:r>
    </w:p>
    <w:p>
      <w:pPr>
        <w:spacing w:after="0" w:line="191"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and tax credit carryforwards to offset future taxable income may be subject to certain limitations, including losses as a result of the Business Combination.</w:t>
      </w:r>
    </w:p>
    <w:p>
      <w:pPr>
        <w:spacing w:after="0" w:line="9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Future changes to tax laws could materially and adversely affect us and reduce net returns to our shareholders.</w:t>
      </w:r>
    </w:p>
    <w:p>
      <w:pPr>
        <w:spacing w:after="0" w:line="160"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Our tax treatment is subject to changes in tax laws, regulations, and treaties, or the interpretation thereof, tax policy initiatives and reforms under consideration, and the practices of tax authorities in jurisdictions in which we operate. The income and other tax rules in the jurisdictions in which we operate are constantly under review by taxing authorities and other governmental bodies. Changes to tax laws (which may have retroactive application) could adversely affect us or our shareholders. The new Global Minimum Tax regime, which has already been implemented in Germany with effect from December 31, 2023, may lead to an increase of our overall tax burden.</w:t>
      </w:r>
    </w:p>
    <w:p>
      <w:pPr>
        <w:spacing w:after="0" w:line="11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future in countries where we have operations and where we are organized or deemed a resident for tax purposes, and increase the complexity, burden, and cost of tax compliance.</w:t>
      </w:r>
    </w:p>
    <w:p>
      <w:pPr>
        <w:spacing w:after="0" w:line="179"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or become a PFIC, which could result in adverse U.S. federal income tax consequences to U.S. holders of Ordinary Shares or Public Warrants.</w:t>
      </w:r>
    </w:p>
    <w:p>
      <w:pPr>
        <w:spacing w:after="0" w:line="9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w:t>
      </w:r>
    </w:p>
    <w:p>
      <w:pPr>
        <w:spacing w:after="0" w:line="337"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Based on the expected composition of our gross assets and income and the manner in which we operated our business in 2024 and expect to operate our business in future years, we do not believe we were</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w:t>
      </w:r>
    </w:p>
    <w:p>
      <w:pPr>
        <w:spacing w:after="0" w:line="11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sell the Ordinary Shares offered by this prospectus at prevailing market prices, at prices related to prevailing market prices, at varying prices determined at the time of sale, at negotiated prices, or at fixed prices. We will not determine the prices at which the Selling Securityholders may sell the Ordinary Shares.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MARKET INFORMATION FOR ORDINARY SHARES AND DIVIDEND POLICY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Our Ordinary shares and Private Warrants are currently listed on the Nasdaq Global Select Market under the symbols “SHMD” and “SHMD.W,” respectively. We currently do not intend to list the Private Warrants offered hereby on any stock exchange or stock market.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we do not anticipate paying any dividends on our ordinary shares for the foreseeable future. We currently intend to retain any earnings for future operations.</w:t>
      </w:r>
    </w:p>
    <w:p>
      <w:pPr>
        <w:spacing w:after="0" w:line="93"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Under Dutch law, we may only pay dividends to the extent our shareholders’ equity (</w:t>
      </w:r>
      <w:r>
        <w:rPr>
          <w:rFonts w:ascii="Times New Roman" w:cs="Times New Roman" w:eastAsia="Times New Roman" w:hAnsi="Times New Roman"/>
          <w:sz w:val="18"/>
          <w:szCs w:val="18"/>
          <w:i w:val="1"/>
          <w:iCs w:val="1"/>
          <w:color w:val="auto"/>
        </w:rPr>
        <w:t>eigen vermogen</w:t>
      </w:r>
      <w:r>
        <w:rPr>
          <w:rFonts w:ascii="Times New Roman" w:cs="Times New Roman" w:eastAsia="Times New Roman" w:hAnsi="Times New Roman"/>
          <w:sz w:val="18"/>
          <w:szCs w:val="18"/>
          <w:color w:val="auto"/>
        </w:rPr>
        <w:t>)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1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The information in this table should be read in conjunction with the financial statements and notes thereto and other financial information included in this prospectus and any prospectus supplement and the information under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also sets out an “as adjusted” column showing the effects of certain material transactions completed in 2026 as follows: (a) the issuance of shares to XJ Harbour HK Limited completed on January 16, 2026 and the related set-off of financial liabilities to XJ Harbour HK Limited; (b) the issuance of $30 million in convertible notes; (c) the issuance of Ordinary Shares including the new Ordinary Shares, the Ordinary Shares issued to directors, employees, officers of the Company and Yorkville as well as the Ordinary Shares issued upon the conversion of the 2026 Convertible Notes; (d) issuance of which 4,958,481 Ordinary Shares against set-off of indebtedness in an aggregate amount of EUR 30.75 million owed to Anette Schmid, Christian Schmid, Schmid Grundstücke GmbH &amp; Co KG and Christine Schmid. The “as adjusted” column does not show the effects of certain other smaller transactions such as issuances of certain shares to several managers and board directors or to Yorkville under the SEPA.</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historical results do not necessarily indicate our expected results for any future periods.</w:t>
      </w:r>
    </w:p>
    <w:p>
      <w:pPr>
        <w:sectPr>
          <w:pgSz w:w="11900" w:h="16838" w:orient="portrait"/>
          <w:cols w:equalWidth="0" w:num="1">
            <w:col w:w="9879"/>
          </w:cols>
          <w:pgMar w:left="580" w:top="97" w:right="1440" w:bottom="1440" w:gutter="0" w:footer="0" w:header="0"/>
        </w:sect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23"/>
          <w:szCs w:val="23"/>
          <w:b w:val="1"/>
          <w:bCs w:val="1"/>
          <w:color w:val="auto"/>
          <w:vertAlign w:val="superscript"/>
        </w:rPr>
        <w:t>(1)</w:t>
      </w:r>
    </w:p>
    <w:p>
      <w:pPr>
        <w:spacing w:after="0" w:line="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52120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2026 Convertible Notes</w:t>
      </w:r>
      <w:r>
        <w:rPr>
          <w:rFonts w:ascii="Times New Roman" w:cs="Times New Roman" w:eastAsia="Times New Roman" w:hAnsi="Times New Roman"/>
          <w:sz w:val="23"/>
          <w:szCs w:val="23"/>
          <w:color w:val="auto"/>
          <w:vertAlign w:val="superscript"/>
        </w:rPr>
        <w:t>(2)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XJ Harbour set-off of liabilities</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Other current and non-current financial liabilities</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Set-off of liabilities on May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52120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b w:val="1"/>
          <w:bCs w:val="1"/>
          <w:color w:val="auto"/>
        </w:rPr>
        <w:t>Total financial liabilities</w:t>
      </w:r>
      <w:r>
        <w:rPr>
          <w:rFonts w:ascii="Times New Roman" w:cs="Times New Roman" w:eastAsia="Times New Roman" w:hAnsi="Times New Roman"/>
          <w:sz w:val="23"/>
          <w:szCs w:val="23"/>
          <w:b w:val="1"/>
          <w:bCs w:val="1"/>
          <w:color w:val="auto"/>
          <w:vertAlign w:val="superscript"/>
        </w:rPr>
        <w:t>(5)</w:t>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52120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Equity attributable to owners of SCHMID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XJ Harbour share issue</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2026 Convertible Notes converted</w:t>
      </w:r>
      <w:r>
        <w:rPr>
          <w:rFonts w:ascii="Times New Roman" w:cs="Times New Roman" w:eastAsia="Times New Roman" w:hAnsi="Times New Roman"/>
          <w:sz w:val="23"/>
          <w:szCs w:val="23"/>
          <w:color w:val="auto"/>
          <w:vertAlign w:val="superscript"/>
        </w:rPr>
        <w:t>(6)</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Issuance of new Ordinary Shares on May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-3175</wp:posOffset>
            </wp:positionV>
            <wp:extent cx="521208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156845</wp:posOffset>
            </wp:positionV>
            <wp:extent cx="12344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15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December 31, 2025   </w:t>
            </w:r>
            <w:r>
              <w:rPr>
                <w:rFonts w:ascii="Times New Roman" w:cs="Times New Roman" w:eastAsia="Times New Roman" w:hAnsi="Times New Roman"/>
                <w:sz w:val="28"/>
                <w:szCs w:val="28"/>
                <w:b w:val="1"/>
                <w:bCs w:val="1"/>
                <w:color w:val="auto"/>
                <w:vertAlign w:val="subscript"/>
              </w:rPr>
              <w:t>​</w:t>
            </w:r>
          </w:p>
        </w:tc>
      </w:tr>
      <w:tr>
        <w:trPr>
          <w:trHeight w:val="158"/>
        </w:trPr>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(As</w:t>
            </w:r>
          </w:p>
        </w:tc>
        <w:tc>
          <w:tcPr>
            <w:tcW w:w="60" w:type="dxa"/>
            <w:vAlign w:val="bottom"/>
          </w:tcPr>
          <w:p>
            <w:pPr>
              <w:spacing w:after="0"/>
              <w:rPr>
                <w:sz w:val="13"/>
                <w:szCs w:val="13"/>
                <w:color w:val="auto"/>
              </w:rPr>
            </w:pPr>
          </w:p>
        </w:tc>
      </w:tr>
      <w:tr>
        <w:trPr>
          <w:trHeight w:val="214"/>
        </w:trPr>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w:t>
            </w:r>
          </w:p>
        </w:tc>
        <w:tc>
          <w:tcPr>
            <w:tcW w:w="8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adjusted) </w:t>
            </w:r>
            <w:r>
              <w:rPr>
                <w:rFonts w:ascii="Times New Roman" w:cs="Times New Roman" w:eastAsia="Times New Roman" w:hAnsi="Times New Roman"/>
                <w:sz w:val="24"/>
                <w:szCs w:val="24"/>
                <w:b w:val="1"/>
                <w:bCs w:val="1"/>
                <w:color w:val="auto"/>
                <w:vertAlign w:val="subscript"/>
              </w:rPr>
              <w:t>​</w:t>
            </w:r>
          </w:p>
        </w:tc>
      </w:tr>
      <w:tr>
        <w:trPr>
          <w:trHeight w:val="20"/>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25,731​</w:t>
            </w:r>
          </w:p>
        </w:tc>
      </w:tr>
      <w:tr>
        <w:trPr>
          <w:trHeight w:val="243"/>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10,353​</w:t>
            </w:r>
          </w:p>
        </w:tc>
      </w:tr>
    </w:tbl>
    <w:p>
      <w:pPr>
        <w:spacing w:after="0" w:line="22" w:lineRule="exact"/>
        <w:rPr>
          <w:sz w:val="20"/>
          <w:szCs w:val="20"/>
          <w:color w:val="auto"/>
        </w:rPr>
      </w:pPr>
    </w:p>
    <w:p>
      <w:pPr>
        <w:ind w:left="160" w:hanging="113"/>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(64,267​)</w:t>
      </w:r>
    </w:p>
    <w:p>
      <w:pPr>
        <w:spacing w:after="0" w:line="63" w:lineRule="exact"/>
        <w:rPr>
          <w:rFonts w:ascii="Times New Roman" w:cs="Times New Roman" w:eastAsia="Times New Roman" w:hAnsi="Times New Roman"/>
          <w:sz w:val="18"/>
          <w:szCs w:val="18"/>
          <w:color w:val="auto"/>
        </w:rPr>
      </w:pPr>
    </w:p>
    <w:p>
      <w:pPr>
        <w:ind w:left="160" w:hanging="113"/>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158,666​​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158,666​</w:t>
      </w:r>
    </w:p>
    <w:p>
      <w:pPr>
        <w:spacing w:after="0" w:line="40" w:lineRule="exact"/>
        <w:rPr>
          <w:rFonts w:ascii="Times New Roman" w:cs="Times New Roman" w:eastAsia="Times New Roman" w:hAnsi="Times New Roman"/>
          <w:sz w:val="18"/>
          <w:szCs w:val="18"/>
          <w:color w:val="auto"/>
        </w:rPr>
      </w:pPr>
    </w:p>
    <w:p>
      <w:pPr>
        <w:ind w:left="160" w:hanging="113"/>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(30,750​)</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​​158,666​​</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74,002​</w:t>
            </w:r>
          </w:p>
        </w:tc>
      </w:t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ind w:left="160" w:hanging="113"/>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(132,744​​)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(132,744​)</w:t>
      </w:r>
    </w:p>
    <w:p>
      <w:pPr>
        <w:spacing w:after="0" w:line="58" w:lineRule="exact"/>
        <w:rPr>
          <w:rFonts w:ascii="Times New Roman" w:cs="Times New Roman" w:eastAsia="Times New Roman" w:hAnsi="Times New Roman"/>
          <w:sz w:val="18"/>
          <w:szCs w:val="18"/>
          <w:color w:val="auto"/>
        </w:rPr>
      </w:pPr>
    </w:p>
    <w:p>
      <w:pPr>
        <w:ind w:left="160" w:hanging="113"/>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64,267​</w:t>
      </w:r>
    </w:p>
    <w:p>
      <w:pPr>
        <w:spacing w:after="0" w:line="63" w:lineRule="exact"/>
        <w:rPr>
          <w:rFonts w:ascii="Times New Roman" w:cs="Times New Roman" w:eastAsia="Times New Roman" w:hAnsi="Times New Roman"/>
          <w:sz w:val="18"/>
          <w:szCs w:val="18"/>
          <w:color w:val="auto"/>
        </w:rPr>
      </w:pPr>
    </w:p>
    <w:p>
      <w:pPr>
        <w:ind w:left="160" w:hanging="113"/>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15,529​</w:t>
      </w:r>
    </w:p>
    <w:p>
      <w:pPr>
        <w:spacing w:after="0" w:line="40" w:lineRule="exact"/>
        <w:rPr>
          <w:rFonts w:ascii="Times New Roman" w:cs="Times New Roman" w:eastAsia="Times New Roman" w:hAnsi="Times New Roman"/>
          <w:sz w:val="18"/>
          <w:szCs w:val="18"/>
          <w:color w:val="auto"/>
        </w:rPr>
      </w:pPr>
    </w:p>
    <w:p>
      <w:pPr>
        <w:ind w:left="160" w:hanging="113"/>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30,750​</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 ​</w:t>
            </w: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52"/>
        </w:trPr>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​​(132,165​​)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(21,619​)</w:t>
            </w:r>
          </w:p>
        </w:tc>
      </w:tr>
    </w:tbl>
    <w:p>
      <w:pPr>
        <w:spacing w:after="0" w:line="200" w:lineRule="exact"/>
        <w:rPr>
          <w:sz w:val="20"/>
          <w:szCs w:val="20"/>
          <w:color w:val="auto"/>
        </w:rPr>
      </w:pPr>
    </w:p>
    <w:p>
      <w:pPr>
        <w:sectPr>
          <w:pgSz w:w="11900" w:h="16838" w:orient="portrait"/>
          <w:cols w:equalWidth="0" w:num="2">
            <w:col w:w="7000" w:space="720"/>
            <w:col w:w="2159"/>
          </w:cols>
          <w:pgMar w:left="580" w:top="97" w:right="1440" w:bottom="1440" w:gutter="0" w:footer="0" w:header="0"/>
          <w:type w:val="continuous"/>
        </w:sectPr>
      </w:pPr>
    </w:p>
    <w:p>
      <w:pPr>
        <w:spacing w:after="0" w:line="133" w:lineRule="exact"/>
        <w:rPr>
          <w:sz w:val="20"/>
          <w:szCs w:val="20"/>
          <w:color w:val="auto"/>
        </w:rPr>
      </w:pPr>
    </w:p>
    <w:p>
      <w:pPr>
        <w:ind w:left="1620" w:right="619" w:hanging="360"/>
        <w:spacing w:after="0" w:line="266"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(as adjusted) includes the net proceeds from the 2026 Convertible Notes with an initial principal amount of $30 million with an original issuance discount of 2%, $1.5 million in fees, shown at an exchange rate of €1 to $1.1591.</w:t>
      </w:r>
    </w:p>
    <w:p>
      <w:pPr>
        <w:spacing w:after="0" w:line="40" w:lineRule="exact"/>
        <w:rPr>
          <w:rFonts w:ascii="Times New Roman" w:cs="Times New Roman" w:eastAsia="Times New Roman" w:hAnsi="Times New Roman"/>
          <w:sz w:val="18"/>
          <w:szCs w:val="18"/>
          <w:color w:val="auto"/>
        </w:rPr>
      </w:pPr>
    </w:p>
    <w:p>
      <w:pPr>
        <w:ind w:left="1620" w:right="49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outstanding 2026 Convertible Notes with a principal amount of $12 million (outstanding as of date of this registration statement), shown at an exchange rate of €1 to $1.1591.</w:t>
      </w:r>
    </w:p>
    <w:p>
      <w:pPr>
        <w:spacing w:after="0" w:line="13" w:lineRule="exact"/>
        <w:rPr>
          <w:rFonts w:ascii="Times New Roman" w:cs="Times New Roman" w:eastAsia="Times New Roman" w:hAnsi="Times New Roman"/>
          <w:sz w:val="18"/>
          <w:szCs w:val="18"/>
          <w:color w:val="auto"/>
        </w:rPr>
      </w:pPr>
    </w:p>
    <w:p>
      <w:pPr>
        <w:ind w:left="1620" w:right="53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relates to the XJ Harbour HK Limited share liability as of December 31, 2025 which was reclassified as equity upon the issuance of shares to XJ Harbour HK Limited on January 16, 2026.</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liabilities includes other current and non-current financial liabilities.</w:t>
      </w:r>
    </w:p>
    <w:p>
      <w:pPr>
        <w:spacing w:after="0" w:line="90"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financial liabilities do not include EUR 8.6 million in lease liabilities as of December 31, 2025. In addition, they also do not include certain other liabilities which are not financial liabilities.</w:t>
      </w:r>
    </w:p>
    <w:p>
      <w:pPr>
        <w:spacing w:after="0" w:line="13"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$18 million of the $30 million of 2026 Convertible Notes that have been converted into shares as of the date of this registration statement shown at an exchange rate of €1 to $1.1591.</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BUSINESS OF SCHMID AND CERTAIN INFORMATION ABOUT SCHMID</w:t>
      </w:r>
    </w:p>
    <w:p>
      <w:pPr>
        <w:spacing w:after="0" w:line="160"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the terms “Company”, “SCHMID,” “we,” “our” or “us” as used herein refers to Gebr. Schmid GmbH and its subsidiaries.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a global supplier of equipment, software and services for various industries such as printed</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circuit board (“</w:t>
      </w:r>
      <w:r>
        <w:rPr>
          <w:rFonts w:ascii="Times New Roman" w:cs="Times New Roman" w:eastAsia="Times New Roman" w:hAnsi="Times New Roman"/>
          <w:sz w:val="18"/>
          <w:szCs w:val="18"/>
          <w:b w:val="1"/>
          <w:bCs w:val="1"/>
          <w:color w:val="auto"/>
        </w:rPr>
        <w:t>PCB</w:t>
      </w:r>
      <w:r>
        <w:rPr>
          <w:rFonts w:ascii="Times New Roman" w:cs="Times New Roman" w:eastAsia="Times New Roman" w:hAnsi="Times New Roman"/>
          <w:sz w:val="18"/>
          <w:szCs w:val="18"/>
          <w:color w:val="auto"/>
        </w:rPr>
        <w:t>”), substrate manufacturing, glass and photovoltaics with a focus on the highest end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these markets in terms of technology and performance. We are a long-established, fifth- generation family-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controlled business that was founded in 1864 in Freudenstadt, Germany as an iron foundry and has 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tradition of being at the forefront of technology. Throughout the more than 160 years of our operations, we</w:t>
      </w:r>
    </w:p>
    <w:p>
      <w:pPr>
        <w:ind w:left="1260"/>
        <w:spacing w:after="0" w:line="234" w:lineRule="auto"/>
        <w:rPr>
          <w:sz w:val="20"/>
          <w:szCs w:val="20"/>
          <w:color w:val="auto"/>
        </w:rPr>
      </w:pPr>
      <w:r>
        <w:rPr>
          <w:rFonts w:ascii="Times New Roman" w:cs="Times New Roman" w:eastAsia="Times New Roman" w:hAnsi="Times New Roman"/>
          <w:sz w:val="18"/>
          <w:szCs w:val="18"/>
          <w:color w:val="auto"/>
        </w:rPr>
        <w:t>have maintained sustainable operations by developing our products following trends on the market. We have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been developing machines for the electronics industry since the 1960s and photovoltaics solutions since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early 2000s. We focus on a modular product portfolio of machinery to use in the manufacturing of high-end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PCB equipment and semiconductor packaging devices which includes common flexible circuit fabrication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techniques such as subtractive, semi-additive processes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and modified semi additive processes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mSAP</w:t>
      </w:r>
      <w:r>
        <w:rPr>
          <w:rFonts w:ascii="Times New Roman" w:cs="Times New Roman" w:eastAsia="Times New Roman" w:hAnsi="Times New Roman"/>
          <w:sz w:val="18"/>
          <w:szCs w:val="18"/>
          <w:color w:val="auto"/>
        </w:rPr>
        <w:t>”). We are a global supplier of capital equipment, software and services for the PCB and substrate</w:t>
      </w:r>
    </w:p>
    <w:p>
      <w:pPr>
        <w:ind w:left="1260"/>
        <w:spacing w:after="0" w:line="234" w:lineRule="auto"/>
        <w:rPr>
          <w:sz w:val="20"/>
          <w:szCs w:val="20"/>
          <w:color w:val="auto"/>
        </w:rPr>
      </w:pPr>
      <w:r>
        <w:rPr>
          <w:rFonts w:ascii="Times New Roman" w:cs="Times New Roman" w:eastAsia="Times New Roman" w:hAnsi="Times New Roman"/>
          <w:sz w:val="18"/>
          <w:szCs w:val="18"/>
          <w:color w:val="auto"/>
        </w:rPr>
        <w:t>manufacturing industry. We focus on the highest end of the market in terms of technology and performance.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do not only develop production techniques and build machines ourselves; we are also extensively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working with our customers on joint research &amp; development projects for the next generation of electronics</w:t>
      </w:r>
    </w:p>
    <w:p>
      <w:pPr>
        <w:ind w:left="1260"/>
        <w:spacing w:after="0" w:line="234" w:lineRule="auto"/>
        <w:rPr>
          <w:sz w:val="20"/>
          <w:szCs w:val="20"/>
          <w:color w:val="auto"/>
        </w:rPr>
      </w:pPr>
      <w:r>
        <w:rPr>
          <w:rFonts w:ascii="Times New Roman" w:cs="Times New Roman" w:eastAsia="Times New Roman" w:hAnsi="Times New Roman"/>
          <w:sz w:val="18"/>
          <w:szCs w:val="18"/>
          <w:color w:val="auto"/>
        </w:rPr>
        <w:t>products. We produce our products in two manufacturing sites, one in Germany and one in China.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we have built an extensive service and sales network in six centers in the US, Europe, and Asia. In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to our sale and service centers and two manufacturing sites, in South Korea we also work with our</w:t>
      </w:r>
    </w:p>
    <w:p>
      <w:pPr>
        <w:ind w:left="1260"/>
        <w:spacing w:after="0" w:line="234" w:lineRule="auto"/>
        <w:rPr>
          <w:sz w:val="20"/>
          <w:szCs w:val="20"/>
          <w:color w:val="auto"/>
        </w:rPr>
      </w:pPr>
      <w:r>
        <w:rPr>
          <w:rFonts w:ascii="Times New Roman" w:cs="Times New Roman" w:eastAsia="Times New Roman" w:hAnsi="Times New Roman"/>
          <w:sz w:val="18"/>
          <w:szCs w:val="18"/>
          <w:color w:val="auto"/>
        </w:rPr>
        <w:t>partners in SCHMID Avaco Korea, Co. Ltd. which we account for using the equity method. We also provide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customer service through which we assist our customers with machinery and software upgrades, spare parts,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logistics, customer training in multiple languages, on-site management, maintenance contracts, and project</w:t>
      </w:r>
    </w:p>
    <w:p>
      <w:pPr>
        <w:ind w:left="1260"/>
        <w:spacing w:after="0"/>
        <w:rPr>
          <w:sz w:val="20"/>
          <w:szCs w:val="20"/>
          <w:color w:val="auto"/>
        </w:rPr>
      </w:pPr>
      <w:r>
        <w:rPr>
          <w:rFonts w:ascii="Times New Roman" w:cs="Times New Roman" w:eastAsia="Times New Roman" w:hAnsi="Times New Roman"/>
          <w:sz w:val="18"/>
          <w:szCs w:val="18"/>
          <w:color w:val="auto"/>
        </w:rPr>
        <w:t>management.</w:t>
      </w:r>
    </w:p>
    <w:p>
      <w:pPr>
        <w:spacing w:after="0" w:line="12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have developed and applied for patents for the embedded traces (“</w:t>
      </w:r>
      <w:r>
        <w:rPr>
          <w:rFonts w:ascii="Times New Roman" w:cs="Times New Roman" w:eastAsia="Times New Roman" w:hAnsi="Times New Roman"/>
          <w:sz w:val="18"/>
          <w:szCs w:val="18"/>
          <w:b w:val="1"/>
          <w:bCs w:val="1"/>
          <w:color w:val="auto"/>
        </w:rPr>
        <w:t>ET</w:t>
      </w:r>
      <w:r>
        <w:rPr>
          <w:rFonts w:ascii="Times New Roman" w:cs="Times New Roman" w:eastAsia="Times New Roman" w:hAnsi="Times New Roman"/>
          <w:sz w:val="18"/>
          <w:szCs w:val="18"/>
          <w:color w:val="auto"/>
        </w:rPr>
        <w:t>”),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w:t>
      </w:r>
    </w:p>
    <w:p>
      <w:pPr>
        <w:spacing w:after="0" w:line="321" w:lineRule="exact"/>
        <w:rPr>
          <w:sz w:val="20"/>
          <w:szCs w:val="20"/>
          <w:color w:val="auto"/>
        </w:rPr>
      </w:pPr>
    </w:p>
    <w:p>
      <w:pPr>
        <w:ind w:left="1260" w:right="519" w:firstLine="360"/>
        <w:spacing w:after="0" w:line="260" w:lineRule="auto"/>
        <w:rPr>
          <w:sz w:val="20"/>
          <w:szCs w:val="20"/>
          <w:color w:val="auto"/>
        </w:rPr>
      </w:pPr>
      <w:r>
        <w:rPr>
          <w:rFonts w:ascii="Times New Roman" w:cs="Times New Roman" w:eastAsia="Times New Roman" w:hAnsi="Times New Roman"/>
          <w:sz w:val="18"/>
          <w:szCs w:val="18"/>
          <w:color w:val="auto"/>
        </w:rPr>
        <w:t>Our customers include large, global original equipment manufacturer (“</w:t>
      </w:r>
      <w:r>
        <w:rPr>
          <w:rFonts w:ascii="Times New Roman" w:cs="Times New Roman" w:eastAsia="Times New Roman" w:hAnsi="Times New Roman"/>
          <w:sz w:val="18"/>
          <w:szCs w:val="18"/>
          <w:b w:val="1"/>
          <w:bCs w:val="1"/>
          <w:color w:val="auto"/>
        </w:rPr>
        <w:t>OEM</w:t>
      </w:r>
      <w:r>
        <w:rPr>
          <w:rFonts w:ascii="Times New Roman" w:cs="Times New Roman" w:eastAsia="Times New Roman" w:hAnsi="Times New Roman"/>
          <w:sz w:val="18"/>
          <w:szCs w:val="18"/>
          <w:color w:val="auto"/>
        </w:rPr>
        <w:t>”) from the semiconductor, consumer electronics industry, space and defense electronics and companies that are part of the supply chain of such global companies.</w:t>
      </w:r>
    </w:p>
    <w:p>
      <w:pPr>
        <w:spacing w:after="0" w:line="10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 -generation technologies, often as part of a collaborative process with our customers. In addition, we work with universities and leading research institutes such as the Fraunhofer Institute for Solar Energy Systems.</w:t>
      </w:r>
    </w:p>
    <w:p>
      <w:pPr>
        <w:spacing w:after="0" w:line="121" w:lineRule="exact"/>
        <w:rPr>
          <w:sz w:val="20"/>
          <w:szCs w:val="20"/>
          <w:color w:val="auto"/>
        </w:rPr>
      </w:pPr>
    </w:p>
    <w:p>
      <w:pPr>
        <w:ind w:left="1260" w:right="759" w:firstLine="360"/>
        <w:spacing w:after="0" w:line="254" w:lineRule="auto"/>
        <w:rPr>
          <w:sz w:val="20"/>
          <w:szCs w:val="20"/>
          <w:color w:val="auto"/>
        </w:rPr>
      </w:pPr>
      <w:r>
        <w:rPr>
          <w:rFonts w:ascii="Times New Roman" w:cs="Times New Roman" w:eastAsia="Times New Roman" w:hAnsi="Times New Roman"/>
          <w:sz w:val="18"/>
          <w:szCs w:val="18"/>
          <w:color w:val="auto"/>
        </w:rPr>
        <w:t>We expect to continue to invest in the future focusing on three primary areas: (i) growth for ET and glass substrate projects, which have higher working capital needs compared to other technologies; and</w:t>
      </w:r>
    </w:p>
    <w:p>
      <w:pPr>
        <w:ind w:left="1540" w:hanging="280"/>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automation solutions, such as the next generation of fully automatic factories.</w:t>
      </w:r>
    </w:p>
    <w:p>
      <w:pPr>
        <w:spacing w:after="0" w:line="380"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Operations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w:t>
      </w:r>
    </w:p>
    <w:p>
      <w:pPr>
        <w:spacing w:after="0" w:line="122"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w:t>
      </w:r>
    </w:p>
    <w:p>
      <w:pPr>
        <w:spacing w:after="0" w:line="111" w:lineRule="exact"/>
        <w:rPr>
          <w:sz w:val="20"/>
          <w:szCs w:val="20"/>
          <w:color w:val="auto"/>
        </w:rPr>
      </w:pPr>
    </w:p>
    <w:p>
      <w:pPr>
        <w:ind w:left="1260" w:right="839" w:firstLine="360"/>
        <w:spacing w:after="0" w:line="268" w:lineRule="auto"/>
        <w:rPr>
          <w:sz w:val="20"/>
          <w:szCs w:val="20"/>
          <w:color w:val="auto"/>
        </w:rPr>
      </w:pPr>
      <w:r>
        <w:rPr>
          <w:rFonts w:ascii="Times New Roman" w:cs="Times New Roman" w:eastAsia="Times New Roman" w:hAnsi="Times New Roman"/>
          <w:sz w:val="18"/>
          <w:szCs w:val="18"/>
          <w:color w:val="auto"/>
        </w:rPr>
        <w:t>The following table shows our revenue by country (based on customer location) for the fiscal year 2025:</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w:t>
            </w:r>
          </w:p>
        </w:tc>
        <w:tc>
          <w:tcPr>
            <w:tcW w:w="120" w:type="dxa"/>
            <w:vAlign w:val="bottom"/>
          </w:tcPr>
          <w:p>
            <w:pPr>
              <w:spacing w:after="0"/>
              <w:rPr>
                <w:sz w:val="24"/>
                <w:szCs w:val="2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r>
      <w:tr>
        <w:trPr>
          <w:trHeight w:val="20"/>
        </w:trPr>
        <w:tc>
          <w:tcPr>
            <w:tcW w:w="6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14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​​25,702​​ ​​16,480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5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​​19,770​​ ​​22,207​</w:t>
            </w:r>
          </w:p>
        </w:tc>
      </w:tr>
      <w:tr>
        <w:trPr>
          <w:trHeight w:val="25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4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4,154​​ ​​ 3,819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EMEA w/o Germany</w:t>
            </w:r>
          </w:p>
        </w:tc>
        <w:tc>
          <w:tcPr>
            <w:tcW w:w="1500" w:type="dxa"/>
            <w:vAlign w:val="bottom"/>
            <w:gridSpan w:val="7"/>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9,841</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​12,728</w:t>
            </w:r>
            <w:r>
              <w:rPr>
                <w:rFonts w:ascii="Times New Roman" w:cs="Times New Roman" w:eastAsia="Times New Roman" w:hAnsi="Times New Roman"/>
                <w:sz w:val="31"/>
                <w:szCs w:val="31"/>
                <w:color w:val="auto"/>
                <w:vertAlign w:val="subscript"/>
              </w:rPr>
              <w:t>​</w:t>
            </w: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Asia w/o China</w:t>
            </w:r>
          </w:p>
        </w:tc>
        <w:tc>
          <w:tcPr>
            <w:tcW w:w="14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7,477​​ ​​ 5,551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62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49</w:t>
            </w:r>
            <w:r>
              <w:rPr>
                <w:rFonts w:ascii="Times New Roman" w:cs="Times New Roman" w:eastAsia="Times New Roman" w:hAnsi="Times New Roman"/>
                <w:sz w:val="31"/>
                <w:szCs w:val="31"/>
                <w:color w:val="auto"/>
                <w:vertAlign w:val="subscript"/>
              </w:rPr>
              <w:t>​</w:t>
            </w: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gridSpan w:val="6"/>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b w:val="1"/>
                <w:bCs w:val="1"/>
                <w:color w:val="auto"/>
              </w:rPr>
              <w:t>​66,945</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b w:val="1"/>
                <w:bCs w:val="1"/>
                <w:color w:val="auto"/>
              </w:rPr>
              <w:t>​60,836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316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-530860</wp:posOffset>
            </wp:positionV>
            <wp:extent cx="44316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-1199515</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-1199515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Electronics</w:t>
      </w:r>
    </w:p>
    <w:p>
      <w:pPr>
        <w:spacing w:after="0" w:line="162" w:lineRule="exact"/>
        <w:rPr>
          <w:sz w:val="20"/>
          <w:szCs w:val="20"/>
          <w:color w:val="auto"/>
        </w:rPr>
      </w:pPr>
    </w:p>
    <w:p>
      <w:pPr>
        <w:jc w:val="both"/>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w:t>
      </w:r>
    </w:p>
    <w:p>
      <w:pPr>
        <w:spacing w:after="0" w:line="105"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graphic provides an overview of our key product lines and the processes where our machines are used (our machines are used in the process steps marked dark blue):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80010</wp:posOffset>
            </wp:positionV>
            <wp:extent cx="4732020" cy="2811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3202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0" w:right="7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Infinity C+ Line are vertical spin-process machines for developing, flash-etching and surface treatment.</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Infinity V+ Line are machines for a vertical inline process for developing, etching and stripping applications.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Infinity P+ Line are machines for high-end single panel electroplating tools.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CMP is a full format chemical mechanical polishing equipment for leveling copper.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PlasmaLine are vertical inline and cluster plasma etching and sputtering machines.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InfinityLine A+ is used for automation of process equipment for fully automatic loading and unloading.</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Infinity H+ Line are machines for a horizontal inline processing for multiple processes and applications.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equipment includes various special equipment for horizontal inline processing and software solutions for such equipment.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Customers in Electronics</w:t>
      </w:r>
    </w:p>
    <w:p>
      <w:pPr>
        <w:spacing w:after="0" w:line="162"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w:t>
      </w:r>
    </w:p>
    <w:p>
      <w:pPr>
        <w:spacing w:after="0" w:line="32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 -quality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w:t>
      </w:r>
    </w:p>
    <w:p>
      <w:pPr>
        <w:spacing w:after="0" w:line="124"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ET Process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 μm.</w:t>
      </w:r>
    </w:p>
    <w:p>
      <w:pPr>
        <w:spacing w:after="0" w:line="11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goals and maintaining a resilient supply chain.</w:t>
      </w:r>
    </w:p>
    <w:p>
      <w:pPr>
        <w:spacing w:after="0" w:line="114"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We provide a specialized equipment portfolio that allows our customers to produce embedded traces. This specialized equipment allows our customers to produce high-end- 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use of ET technology can (i) increase production yields with reduced facility requirements,</w:t>
      </w:r>
    </w:p>
    <w:p>
      <w:pPr>
        <w:spacing w:after="0" w:line="16" w:lineRule="exact"/>
        <w:rPr>
          <w:sz w:val="20"/>
          <w:szCs w:val="20"/>
          <w:color w:val="auto"/>
        </w:rPr>
      </w:pPr>
    </w:p>
    <w:p>
      <w:pPr>
        <w:ind w:left="1540" w:hanging="280"/>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new 3D packaging solutions that cover ratification intelligence and photonic applications, and</w:t>
      </w:r>
    </w:p>
    <w:p>
      <w:pPr>
        <w:spacing w:after="0" w:line="380" w:lineRule="exact"/>
        <w:rPr>
          <w:rFonts w:ascii="Times New Roman" w:cs="Times New Roman" w:eastAsia="Times New Roman" w:hAnsi="Times New Roman"/>
          <w:sz w:val="18"/>
          <w:szCs w:val="18"/>
          <w:color w:val="auto"/>
        </w:rPr>
      </w:pPr>
    </w:p>
    <w:p>
      <w:pPr>
        <w:ind w:left="5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high-performance materials. The embedding concepts allow for implementation of chips directly inside the substrates. These advantages allow higher performance final applications such as those being demanded in AI, high-end consumer electronics, and certain autonomous driving applications.</w:t>
      </w:r>
    </w:p>
    <w:p>
      <w:pPr>
        <w:spacing w:after="0" w:line="121"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After Sales Services</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Through our five service centers located around the world, we focus on offering worldwide customer-oriented services, including on-site management, remote maintenance and diagnosis, customer training and project management at our customers’ facilities.</w:t>
      </w:r>
    </w:p>
    <w:p>
      <w:pPr>
        <w:spacing w:after="0" w:line="95"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w:t>
      </w:r>
    </w:p>
    <w:p>
      <w:pPr>
        <w:spacing w:after="0" w:line="124"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w:t>
      </w:r>
    </w:p>
    <w:p>
      <w:pPr>
        <w:spacing w:after="0" w:line="68" w:lineRule="exact"/>
        <w:rPr>
          <w:sz w:val="20"/>
          <w:szCs w:val="20"/>
          <w:color w:val="auto"/>
        </w:rPr>
      </w:pPr>
    </w:p>
    <w:p>
      <w:pPr>
        <w:ind w:left="1800" w:right="439" w:hanging="180"/>
        <w:spacing w:after="0" w:line="254"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w:t>
      </w:r>
    </w:p>
    <w:p>
      <w:pPr>
        <w:spacing w:after="0" w:line="299" w:lineRule="exact"/>
        <w:rPr>
          <w:rFonts w:ascii="Times New Roman" w:cs="Times New Roman" w:eastAsia="Times New Roman" w:hAnsi="Times New Roman"/>
          <w:sz w:val="18"/>
          <w:szCs w:val="18"/>
          <w:color w:val="auto"/>
        </w:rPr>
      </w:pPr>
    </w:p>
    <w:p>
      <w:pPr>
        <w:ind w:left="1800" w:right="699" w:hanging="180"/>
        <w:spacing w:after="0" w:line="263"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18" w:lineRule="exact"/>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w:t>
      </w:r>
    </w:p>
    <w:p>
      <w:pPr>
        <w:spacing w:after="0" w:line="90"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w:t>
      </w:r>
    </w:p>
    <w:p>
      <w:pPr>
        <w:spacing w:after="0" w:line="295"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w:t>
      </w:r>
    </w:p>
    <w:p>
      <w:pPr>
        <w:spacing w:after="0" w:line="113"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Procurement</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w:t>
      </w:r>
    </w:p>
    <w:p>
      <w:pPr>
        <w:spacing w:after="0" w:line="127"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purchase local and imported parts, but also commodities. We have long-standing relationships with our most trusted suppliers and employ specified and diligent processes for qualifying new suppliers.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58" w:lineRule="exact"/>
        <w:rPr>
          <w:sz w:val="20"/>
          <w:szCs w:val="20"/>
          <w:color w:val="auto"/>
        </w:rPr>
      </w:pPr>
    </w:p>
    <w:p>
      <w:pPr>
        <w:ind w:left="1260" w:right="459" w:firstLine="360"/>
        <w:spacing w:after="0" w:line="262" w:lineRule="auto"/>
        <w:rPr>
          <w:sz w:val="20"/>
          <w:szCs w:val="20"/>
          <w:color w:val="auto"/>
        </w:rPr>
      </w:pPr>
      <w:r>
        <w:rPr>
          <w:rFonts w:ascii="Times New Roman" w:cs="Times New Roman" w:eastAsia="Times New Roman" w:hAnsi="Times New Roman"/>
          <w:sz w:val="18"/>
          <w:szCs w:val="18"/>
          <w:color w:val="auto"/>
        </w:rPr>
        <w:t>Our research and development (“</w:t>
      </w:r>
      <w:r>
        <w:rPr>
          <w:rFonts w:ascii="Times New Roman" w:cs="Times New Roman" w:eastAsia="Times New Roman" w:hAnsi="Times New Roman"/>
          <w:sz w:val="18"/>
          <w:szCs w:val="18"/>
          <w:b w:val="1"/>
          <w:bCs w:val="1"/>
          <w:color w:val="auto"/>
        </w:rPr>
        <w:t>R&amp;D</w:t>
      </w:r>
      <w:r>
        <w:rPr>
          <w:rFonts w:ascii="Times New Roman" w:cs="Times New Roman" w:eastAsia="Times New Roman" w:hAnsi="Times New Roman"/>
          <w:sz w:val="18"/>
          <w:szCs w:val="18"/>
          <w:color w:val="auto"/>
        </w:rPr>
        <w:t>”)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w:t>
      </w:r>
    </w:p>
    <w:p>
      <w:pPr>
        <w:spacing w:after="0" w:line="113"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As part of our basic research activities, we collaborate with customers, strategic partners and leading research institutions worldwide in the electronics, photovoltaics and energy storage sectors.</w:t>
      </w:r>
    </w:p>
    <w:p>
      <w:pPr>
        <w:spacing w:after="0" w:line="50" w:lineRule="exact"/>
        <w:rPr>
          <w:sz w:val="20"/>
          <w:szCs w:val="20"/>
          <w:color w:val="auto"/>
        </w:rPr>
      </w:pPr>
    </w:p>
    <w:p>
      <w:pPr>
        <w:ind w:left="1800" w:right="439" w:hanging="180"/>
        <w:spacing w:after="0" w:line="254"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Electronics. </w:t>
      </w:r>
      <w:r>
        <w:rPr>
          <w:rFonts w:ascii="Times New Roman" w:cs="Times New Roman" w:eastAsia="Times New Roman" w:hAnsi="Times New Roman"/>
          <w:sz w:val="18"/>
          <w:szCs w:val="18"/>
          <w:color w:val="auto"/>
        </w:rPr>
        <w:t>Our R&amp;D efforts in the electronics market focus on advancing applications for the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ET process, conducting customer sampling, and supporting product optimization. We also continue to enhance equipment capabilities to meet next-generation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w:t>
      </w:r>
    </w:p>
    <w:p>
      <w:pPr>
        <w:spacing w:after="0" w:line="77" w:lineRule="exact"/>
        <w:rPr>
          <w:rFonts w:ascii="Times New Roman" w:cs="Times New Roman" w:eastAsia="Times New Roman" w:hAnsi="Times New Roman"/>
          <w:sz w:val="18"/>
          <w:szCs w:val="18"/>
          <w:color w:val="auto"/>
        </w:rPr>
      </w:pPr>
    </w:p>
    <w:p>
      <w:pPr>
        <w:ind w:left="1800" w:right="599" w:hanging="180"/>
        <w:spacing w:after="0" w:line="28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Photovoltaics. </w:t>
      </w:r>
      <w:r>
        <w:rPr>
          <w:rFonts w:ascii="Times New Roman" w:cs="Times New Roman" w:eastAsia="Times New Roman" w:hAnsi="Times New Roman"/>
          <w:sz w:val="18"/>
          <w:szCs w:val="18"/>
          <w:color w:val="auto"/>
        </w:rPr>
        <w:t>In photovoltaics, our R&amp;D activities relate primarily to the enhancement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expansion of the next generation of our InfinityLine systems for alkaline structuring and polishing.</w:t>
      </w:r>
    </w:p>
    <w:p>
      <w:pPr>
        <w:spacing w:after="0" w:line="9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employ more than 150 scientists, researchers and engineers globally, working across multiple laboratories equipped with advanced technologies and research infrastructure, more than 30 of which wok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w:t>
      </w:r>
    </w:p>
    <w:p>
      <w:pPr>
        <w:spacing w:after="0" w:line="106"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w:t>
      </w:r>
    </w:p>
    <w:p>
      <w:pPr>
        <w:spacing w:after="0" w:line="12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have also developed additional revenue opportunities through paid R&amp;D engagements. We expect licensing revenue to increase over time as our installed base expands.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2025, we had 734 employees. The biggest departments are production, engineering, sales and procurement. We have not experienced any work stoppages, slowdowns or other serious labor problems that have materially impeded our business operations.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Health, Safety and Environmental</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 </w:t>
      </w:r>
      <w:r>
        <w:rPr>
          <w:rFonts w:ascii="Times New Roman" w:cs="Times New Roman" w:eastAsia="Times New Roman" w:hAnsi="Times New Roman"/>
          <w:sz w:val="18"/>
          <w:szCs w:val="18"/>
          <w:i w:val="1"/>
          <w:iCs w:val="1"/>
          <w:color w:val="auto"/>
        </w:rPr>
        <w:t>(Lieferkettensorgfaltspflichtengesetz</w:t>
      </w:r>
      <w:r>
        <w:rPr>
          <w:rFonts w:ascii="Times New Roman" w:cs="Times New Roman" w:eastAsia="Times New Roman" w:hAnsi="Times New Roman"/>
          <w:sz w:val="18"/>
          <w:szCs w:val="18"/>
          <w:color w:val="auto"/>
        </w:rPr>
        <w:t>), we have nevertheless implemented a Code of Conduct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suppliers that aims to ensure that working conditions in our supply chain are safe and suitable.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general course of business, we sometimes face legal proceedings and claims against us.</w:t>
      </w:r>
    </w:p>
    <w:p>
      <w:pPr>
        <w:spacing w:after="0" w:line="15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subsidiary SCHMID China Ltd. (“</w:t>
      </w:r>
      <w:r>
        <w:rPr>
          <w:rFonts w:ascii="Times New Roman" w:cs="Times New Roman" w:eastAsia="Times New Roman" w:hAnsi="Times New Roman"/>
          <w:sz w:val="18"/>
          <w:szCs w:val="18"/>
          <w:b w:val="1"/>
          <w:bCs w:val="1"/>
          <w:color w:val="auto"/>
        </w:rPr>
        <w:t>SCL</w:t>
      </w:r>
      <w:r>
        <w:rPr>
          <w:rFonts w:ascii="Times New Roman" w:cs="Times New Roman" w:eastAsia="Times New Roman" w:hAnsi="Times New Roman"/>
          <w:sz w:val="18"/>
          <w:szCs w:val="18"/>
          <w:color w:val="auto"/>
        </w:rPr>
        <w:t>”)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w:t>
      </w:r>
    </w:p>
    <w:p>
      <w:pPr>
        <w:spacing w:after="0" w:line="119"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On February 13, 2025, Gebr. SCHMID GmbH announced that it has filed a lawsuit against Shenzhen China Science &amp; Technology Co., Ltd. (“</w:t>
      </w:r>
      <w:r>
        <w:rPr>
          <w:rFonts w:ascii="Times New Roman" w:cs="Times New Roman" w:eastAsia="Times New Roman" w:hAnsi="Times New Roman"/>
          <w:sz w:val="18"/>
          <w:szCs w:val="18"/>
          <w:b w:val="1"/>
          <w:bCs w:val="1"/>
          <w:color w:val="auto"/>
        </w:rPr>
        <w:t>China SC</w:t>
      </w:r>
      <w:r>
        <w:rPr>
          <w:rFonts w:ascii="Times New Roman" w:cs="Times New Roman" w:eastAsia="Times New Roman" w:hAnsi="Times New Roman"/>
          <w:sz w:val="18"/>
          <w:szCs w:val="18"/>
          <w:color w:val="auto"/>
        </w:rPr>
        <w:t>”) over allegations of trademark infringement and unauthorized copying of proprietary technology. The lawsuit involves, in particular, a claim for injunctive relieve against China SC for use of the SCHMID Group’s intellectual property and for compensation.</w:t>
      </w:r>
    </w:p>
    <w:p>
      <w:pPr>
        <w:spacing w:after="0" w:line="9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On July 17, 2025, Validus Broker Dealer Investment Management Company LLC (“</w:t>
      </w:r>
      <w:r>
        <w:rPr>
          <w:rFonts w:ascii="Times New Roman" w:cs="Times New Roman" w:eastAsia="Times New Roman" w:hAnsi="Times New Roman"/>
          <w:sz w:val="18"/>
          <w:szCs w:val="18"/>
          <w:b w:val="1"/>
          <w:bCs w:val="1"/>
          <w:color w:val="auto"/>
        </w:rPr>
        <w:t>Validus Broker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filed a civil action against SCHMID in the United States District Court for the Southern District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62"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following diagram depicts our organizational structure as of the date of this annual report (including the material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88265</wp:posOffset>
            </wp:positionV>
            <wp:extent cx="4208780" cy="41402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08780"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a list of SCHMID’s subsidiaries see Exhibit 8.1 “</w:t>
      </w:r>
      <w:r>
        <w:rPr>
          <w:rFonts w:ascii="Times New Roman" w:cs="Times New Roman" w:eastAsia="Times New Roman" w:hAnsi="Times New Roman"/>
          <w:sz w:val="18"/>
          <w:szCs w:val="18"/>
          <w:i w:val="1"/>
          <w:iCs w:val="1"/>
          <w:color w:val="auto"/>
        </w:rPr>
        <w:t>List of Subsidiaries of SCHMID N.V.</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w:t>
      </w:r>
    </w:p>
    <w:p>
      <w:pPr>
        <w:spacing w:after="0" w:line="33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New China Manufacturing Campus</w:t>
      </w:r>
    </w:p>
    <w:p>
      <w:pPr>
        <w:spacing w:after="0" w:line="160"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p>
    <w:p>
      <w:pPr>
        <w:spacing w:after="0" w:line="343"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p>
    <w:p>
      <w:pPr>
        <w:spacing w:after="0" w:line="323"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Construction is expected to commence following completion of the final land transfer and permitting process and the conclusion of a final, binding agreement. SCHMID currently expects to begin operations at the new facility approximately mid-2027.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which have affected our previous performance in the periods for which financial information is presented in this registration statement. These factors include: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Market growth in our key PCB market and Advanced Packaging Solutions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increased customer base and new applications. Due to positive feedback from our customers, we expect to receive orders for our ET technology as well as for our TGV Etching system in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Orders from our Core Customers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Trends affecting the Demand for our Customers’ End Products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w:t>
      </w:r>
    </w:p>
    <w:p>
      <w:pPr>
        <w:spacing w:after="0" w:line="69" w:lineRule="exact"/>
        <w:rPr>
          <w:sz w:val="20"/>
          <w:szCs w:val="20"/>
          <w:color w:val="auto"/>
        </w:rPr>
      </w:pPr>
    </w:p>
    <w:p>
      <w:pPr>
        <w:ind w:left="1800" w:right="479" w:hanging="180"/>
        <w:spacing w:after="0" w:line="25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w:t>
      </w:r>
    </w:p>
    <w:p>
      <w:pPr>
        <w:spacing w:after="0" w:line="65"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Macroeconomic and Geopolitical Factors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62" w:lineRule="exact"/>
        <w:rPr>
          <w:sz w:val="20"/>
          <w:szCs w:val="20"/>
          <w:color w:val="auto"/>
        </w:rPr>
      </w:pPr>
    </w:p>
    <w:p>
      <w:pPr>
        <w:ind w:left="1260" w:right="1439" w:firstLine="360"/>
        <w:spacing w:after="0" w:line="266" w:lineRule="auto"/>
        <w:rPr>
          <w:sz w:val="20"/>
          <w:szCs w:val="20"/>
          <w:color w:val="auto"/>
        </w:rPr>
      </w:pPr>
      <w:r>
        <w:rPr>
          <w:rFonts w:ascii="Times New Roman" w:cs="Times New Roman" w:eastAsia="Times New Roman" w:hAnsi="Times New Roman"/>
          <w:sz w:val="18"/>
          <w:szCs w:val="18"/>
          <w:color w:val="auto"/>
        </w:rPr>
        <w:t>SCHMID has prepared IFRS financial statements and segment reporting. See note 6 of the Consolidated Financial Statements.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Components of Operating Results:</w:t>
      </w:r>
    </w:p>
    <w:p>
      <w:pPr>
        <w:spacing w:after="0" w:line="14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sets forth certain components of our consolidated statements of profit and loss and certain factors that impact those items: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We generate revenues from contracts with customers across all major geographic areas from two operational segments: (i) 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62" w:lineRule="exact"/>
        <w:rPr>
          <w:sz w:val="20"/>
          <w:szCs w:val="20"/>
          <w:color w:val="auto"/>
        </w:rPr>
      </w:pPr>
    </w:p>
    <w:p>
      <w:pPr>
        <w:jc w:val="both"/>
        <w:ind w:left="1260" w:right="1500" w:firstLine="360"/>
        <w:spacing w:after="0" w:line="258" w:lineRule="auto"/>
        <w:rPr>
          <w:sz w:val="20"/>
          <w:szCs w:val="20"/>
          <w:color w:val="auto"/>
        </w:rPr>
      </w:pPr>
      <w:r>
        <w:rPr>
          <w:rFonts w:ascii="Times New Roman" w:cs="Times New Roman" w:eastAsia="Times New Roman" w:hAnsi="Times New Roman"/>
          <w:sz w:val="18"/>
          <w:szCs w:val="18"/>
          <w:color w:val="auto"/>
        </w:rPr>
        <w:t>Our cost of sales includes personnel expenses, material expenses, depreciation and amortization, and certain other expenses such as costs for outward freight, production-related short-term leases, and facility costs.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w:t>
      </w:r>
    </w:p>
    <w:p>
      <w:pPr>
        <w:spacing w:after="0" w:line="162" w:lineRule="exact"/>
        <w:rPr>
          <w:sz w:val="20"/>
          <w:szCs w:val="20"/>
          <w:color w:val="auto"/>
        </w:rPr>
      </w:pPr>
    </w:p>
    <w:p>
      <w:pPr>
        <w:ind w:left="1260" w:right="1460" w:firstLine="360"/>
        <w:spacing w:after="0" w:line="246" w:lineRule="auto"/>
        <w:rPr>
          <w:sz w:val="20"/>
          <w:szCs w:val="20"/>
          <w:color w:val="auto"/>
        </w:rPr>
      </w:pPr>
      <w:r>
        <w:rPr>
          <w:rFonts w:ascii="Times New Roman" w:cs="Times New Roman" w:eastAsia="Times New Roman" w:hAnsi="Times New Roman"/>
          <w:sz w:val="18"/>
          <w:szCs w:val="18"/>
          <w:color w:val="auto"/>
        </w:rPr>
        <w:t>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Administration Expenses:</w:t>
      </w:r>
    </w:p>
    <w:p>
      <w:pPr>
        <w:spacing w:after="0" w:line="162" w:lineRule="exact"/>
        <w:rPr>
          <w:sz w:val="20"/>
          <w:szCs w:val="20"/>
          <w:color w:val="auto"/>
        </w:rPr>
      </w:pPr>
    </w:p>
    <w:p>
      <w:pPr>
        <w:ind w:left="1260" w:right="1260" w:firstLine="360"/>
        <w:spacing w:after="0" w:line="250" w:lineRule="auto"/>
        <w:rPr>
          <w:sz w:val="20"/>
          <w:szCs w:val="20"/>
          <w:color w:val="auto"/>
        </w:rPr>
      </w:pPr>
      <w:r>
        <w:rPr>
          <w:rFonts w:ascii="Times New Roman" w:cs="Times New Roman" w:eastAsia="Times New Roman" w:hAnsi="Times New Roman"/>
          <w:sz w:val="18"/>
          <w:szCs w:val="18"/>
          <w:color w:val="auto"/>
        </w:rPr>
        <w:t>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62" w:lineRule="exact"/>
        <w:rPr>
          <w:sz w:val="20"/>
          <w:szCs w:val="20"/>
          <w:color w:val="auto"/>
        </w:rPr>
      </w:pPr>
    </w:p>
    <w:p>
      <w:pPr>
        <w:ind w:left="1260" w:right="1260" w:firstLine="360"/>
        <w:spacing w:after="0" w:line="246" w:lineRule="auto"/>
        <w:rPr>
          <w:sz w:val="20"/>
          <w:szCs w:val="20"/>
          <w:color w:val="auto"/>
        </w:rPr>
      </w:pPr>
      <w:r>
        <w:rPr>
          <w:rFonts w:ascii="Times New Roman" w:cs="Times New Roman" w:eastAsia="Times New Roman" w:hAnsi="Times New Roman"/>
          <w:sz w:val="18"/>
          <w:szCs w:val="18"/>
          <w:color w:val="auto"/>
        </w:rPr>
        <w:t>Research and development is an important factor for our sustainable and long -term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48" w:lineRule="exact"/>
        <w:rPr>
          <w:sz w:val="20"/>
          <w:szCs w:val="20"/>
          <w:color w:val="auto"/>
        </w:rPr>
      </w:pPr>
    </w:p>
    <w:p>
      <w:pPr>
        <w:ind w:left="1260" w:right="1540" w:firstLine="360"/>
        <w:spacing w:after="0" w:line="282" w:lineRule="auto"/>
        <w:rPr>
          <w:sz w:val="20"/>
          <w:szCs w:val="20"/>
          <w:color w:val="auto"/>
        </w:rPr>
      </w:pPr>
      <w:r>
        <w:rPr>
          <w:rFonts w:ascii="Times New Roman" w:cs="Times New Roman" w:eastAsia="Times New Roman" w:hAnsi="Times New Roman"/>
          <w:sz w:val="18"/>
          <w:szCs w:val="18"/>
          <w:color w:val="auto"/>
        </w:rPr>
        <w:t>Other income principally consists of foreign currency gains and other miscellaneous income such as government grants.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48" w:lineRule="exact"/>
        <w:rPr>
          <w:sz w:val="20"/>
          <w:szCs w:val="20"/>
          <w:color w:val="auto"/>
        </w:rPr>
      </w:pPr>
    </w:p>
    <w:p>
      <w:pPr>
        <w:ind w:left="1260" w:right="1300" w:firstLine="360"/>
        <w:spacing w:after="0" w:line="282" w:lineRule="auto"/>
        <w:rPr>
          <w:sz w:val="20"/>
          <w:szCs w:val="20"/>
          <w:color w:val="auto"/>
        </w:rPr>
      </w:pPr>
      <w:r>
        <w:rPr>
          <w:rFonts w:ascii="Times New Roman" w:cs="Times New Roman" w:eastAsia="Times New Roman" w:hAnsi="Times New Roman"/>
          <w:sz w:val="18"/>
          <w:szCs w:val="18"/>
          <w:color w:val="auto"/>
        </w:rPr>
        <w:t>Other expenses include foreign currency losses, other taxes, disposal of assets, and miscellaneous other items. Miscellaneous other items mainly include banking fees and other service charges.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results of operations for the year ended December 31, 2025 and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126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24"/>
                <w:szCs w:val="24"/>
                <w:color w:val="auto"/>
              </w:rPr>
            </w:pPr>
          </w:p>
        </w:tc>
        <w:tc>
          <w:tcPr>
            <w:tcW w:w="2700" w:type="dxa"/>
            <w:vAlign w:val="bottom"/>
            <w:gridSpan w:val="4"/>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w w:val="92"/>
              </w:rPr>
              <w:t xml:space="preserve">Year Ended December 31 </w:t>
            </w:r>
            <w:r>
              <w:rPr>
                <w:rFonts w:ascii="Times New Roman" w:cs="Times New Roman" w:eastAsia="Times New Roman" w:hAnsi="Times New Roman"/>
                <w:sz w:val="28"/>
                <w:szCs w:val="28"/>
                <w:b w:val="1"/>
                <w:bCs w:val="1"/>
                <w:color w:val="auto"/>
                <w:w w:val="92"/>
                <w:vertAlign w:val="subscript"/>
              </w:rPr>
              <w:t>​</w:t>
            </w:r>
          </w:p>
        </w:tc>
      </w:tr>
      <w:tr>
        <w:trPr>
          <w:trHeight w:val="210"/>
        </w:trPr>
        <w:tc>
          <w:tcPr>
            <w:tcW w:w="1260" w:type="dxa"/>
            <w:vAlign w:val="bottom"/>
          </w:tcPr>
          <w:p>
            <w:pPr>
              <w:spacing w:after="0"/>
              <w:rPr>
                <w:sz w:val="18"/>
                <w:szCs w:val="18"/>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CCEEFF"/>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Pr>
          <w:p>
            <w:pPr>
              <w:jc w:val="right"/>
              <w:ind w:right="11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12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66,945</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60,836</w:t>
            </w:r>
          </w:p>
        </w:tc>
        <w:tc>
          <w:tcPr>
            <w:tcW w:w="1300" w:type="dxa"/>
            <w:vAlign w:val="bottom"/>
            <w:tcBorders>
              <w:left w:val="single" w:sz="8" w:color="CCEEFF"/>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800" w:type="dxa"/>
            <w:vAlign w:val="bottom"/>
          </w:tcPr>
          <w:p>
            <w:pPr>
              <w:spacing w:after="0"/>
              <w:rPr>
                <w:sz w:val="23"/>
                <w:szCs w:val="2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​(50,928)​​ ​ ​(48,791)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0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16,017</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12,044</w:t>
            </w:r>
          </w:p>
        </w:tc>
        <w:tc>
          <w:tcPr>
            <w:tcW w:w="1300" w:type="dxa"/>
            <w:vAlign w:val="bottom"/>
            <w:tcBorders>
              <w:left w:val="single" w:sz="8" w:color="CCEEFF"/>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2800" w:type="dxa"/>
            <w:vAlign w:val="bottom"/>
          </w:tcPr>
          <w:p>
            <w:pPr>
              <w:spacing w:after="0"/>
              <w:rPr>
                <w:sz w:val="19"/>
                <w:szCs w:val="19"/>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(11,999)​​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(12,895)</w:t>
            </w: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administration expenses</w:t>
            </w:r>
          </w:p>
        </w:tc>
        <w:tc>
          <w:tcPr>
            <w:tcW w:w="280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(11,404)​​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(11,792)</w:t>
            </w:r>
          </w:p>
        </w:tc>
        <w:tc>
          <w:tcPr>
            <w:tcW w:w="1300" w:type="dxa"/>
            <w:vAlign w:val="bottom"/>
            <w:tcBorders>
              <w:left w:val="single" w:sz="8" w:color="CCEEFF"/>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5"/>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(2,781)​​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(3,974)</w:t>
            </w: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80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12,217</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1300" w:type="dxa"/>
            <w:vAlign w:val="bottom"/>
            <w:tcBorders>
              <w:left w:val="single" w:sz="8" w:color="CCEEFF"/>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800" w:type="dxa"/>
            <w:vAlign w:val="bottom"/>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2700" w:type="dxa"/>
            <w:vAlign w:val="bottom"/>
            <w:gridSpan w:val="4"/>
          </w:tcPr>
          <w:p>
            <w:pPr>
              <w:jc w:val="right"/>
              <w:ind w:right="1112"/>
              <w:spacing w:after="0"/>
              <w:rPr>
                <w:sz w:val="20"/>
                <w:szCs w:val="20"/>
                <w:color w:val="auto"/>
              </w:rPr>
            </w:pPr>
            <w:r>
              <w:rPr>
                <w:rFonts w:ascii="Times New Roman" w:cs="Times New Roman" w:eastAsia="Times New Roman" w:hAnsi="Times New Roman"/>
                <w:sz w:val="18"/>
                <w:szCs w:val="18"/>
                <w:color w:val="auto"/>
              </w:rPr>
              <w:t xml:space="preserve">(607)​​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(2,564)</w:t>
            </w: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expenses</w:t>
            </w:r>
          </w:p>
        </w:tc>
        <w:tc>
          <w:tcPr>
            <w:tcW w:w="2800" w:type="dxa"/>
            <w:vAlign w:val="bottom"/>
            <w:shd w:val="clear" w:color="auto" w:fill="CCEEFF"/>
          </w:tcPr>
          <w:p>
            <w:pPr>
              <w:spacing w:after="0"/>
              <w:rPr>
                <w:sz w:val="21"/>
                <w:szCs w:val="21"/>
                <w:color w:val="auto"/>
              </w:rPr>
            </w:pP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(71,630)</w:t>
            </w:r>
          </w:p>
        </w:tc>
        <w:tc>
          <w:tcPr>
            <w:tcW w:w="1300" w:type="dxa"/>
            <w:vAlign w:val="bottom"/>
            <w:tcBorders>
              <w:left w:val="single" w:sz="8" w:color="CCEEFF"/>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Reversal on impairment on financial assets</w:t>
            </w:r>
          </w:p>
        </w:tc>
        <w:tc>
          <w:tcPr>
            <w:tcW w:w="2800" w:type="dxa"/>
            <w:vAlign w:val="bottom"/>
          </w:tcPr>
          <w:p>
            <w:pPr>
              <w:spacing w:after="0"/>
              <w:rPr>
                <w:sz w:val="23"/>
                <w:szCs w:val="2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gridSpan w:val="2"/>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0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2800" w:type="dxa"/>
            <w:vAlign w:val="bottom"/>
            <w:shd w:val="clear" w:color="auto" w:fill="CCEEFF"/>
          </w:tcPr>
          <w:p>
            <w:pPr>
              <w:spacing w:after="0"/>
              <w:rPr>
                <w:sz w:val="21"/>
                <w:szCs w:val="21"/>
                <w:color w:val="auto"/>
              </w:rPr>
            </w:pPr>
          </w:p>
        </w:tc>
        <w:tc>
          <w:tcPr>
            <w:tcW w:w="3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​(81,772)</w:t>
            </w:r>
          </w:p>
        </w:tc>
        <w:tc>
          <w:tcPr>
            <w:tcW w:w="1300" w:type="dxa"/>
            <w:vAlign w:val="bottom"/>
            <w:tcBorders>
              <w:left w:val="single" w:sz="8" w:color="CCEEFF"/>
            </w:tcBorders>
          </w:tcPr>
          <w:p>
            <w:pPr>
              <w:jc w:val="right"/>
              <w:ind w:right="111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08"/>
        </w:trPr>
        <w:tc>
          <w:tcPr>
            <w:tcW w:w="1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0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74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-831215</wp:posOffset>
            </wp:positionV>
            <wp:extent cx="5212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-1928495</wp:posOffset>
            </wp:positionV>
            <wp:extent cx="34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-2099945</wp:posOffset>
            </wp:positionV>
            <wp:extent cx="52120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-2416810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-2416810</wp:posOffset>
            </wp:positionV>
            <wp:extent cx="137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1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xml:space="preserve">Year Ended December 31 </w:t>
            </w:r>
            <w:r>
              <w:rPr>
                <w:rFonts w:ascii="Times New Roman" w:cs="Times New Roman" w:eastAsia="Times New Roman" w:hAnsi="Times New Roman"/>
                <w:sz w:val="28"/>
                <w:szCs w:val="28"/>
                <w:b w:val="1"/>
                <w:bCs w:val="1"/>
                <w:color w:val="auto"/>
                <w:w w:val="96"/>
                <w:vertAlign w:val="subscript"/>
              </w:rPr>
              <w:t>​</w:t>
            </w: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16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2025   </w:t>
            </w:r>
            <w:r>
              <w:rPr>
                <w:rFonts w:ascii="Times New Roman" w:cs="Times New Roman" w:eastAsia="Times New Roman" w:hAnsi="Times New Roman"/>
                <w:sz w:val="24"/>
                <w:szCs w:val="24"/>
                <w:b w:val="1"/>
                <w:bCs w:val="1"/>
                <w:color w:val="auto"/>
                <w:vertAlign w:val="subscript"/>
              </w:rPr>
              <w:t>​ ​</w:t>
            </w:r>
          </w:p>
        </w:tc>
        <w:tc>
          <w:tcPr>
            <w:tcW w:w="58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2024   </w:t>
            </w:r>
            <w:r>
              <w:rPr>
                <w:rFonts w:ascii="Times New Roman" w:cs="Times New Roman" w:eastAsia="Times New Roman" w:hAnsi="Times New Roman"/>
                <w:sz w:val="24"/>
                <w:szCs w:val="24"/>
                <w:b w:val="1"/>
                <w:bCs w:val="1"/>
                <w:color w:val="auto"/>
                <w:vertAlign w:val="subscript"/>
              </w:rPr>
              <w:t>​</w:t>
            </w:r>
          </w:p>
        </w:tc>
      </w:tr>
      <w:tr>
        <w:trPr>
          <w:trHeight w:val="20"/>
        </w:trPr>
        <w:tc>
          <w:tcPr>
            <w:tcW w:w="6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66 ​​ ​ </w:t>
            </w: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 ​(72,244)​​ ​ ​ (5,712)</w:t>
            </w:r>
            <w:r>
              <w:rPr>
                <w:rFonts w:ascii="Times New Roman" w:cs="Times New Roman" w:eastAsia="Times New Roman" w:hAnsi="Times New Roman"/>
                <w:sz w:val="18"/>
                <w:szCs w:val="18"/>
                <w:b w:val="1"/>
                <w:bCs w:val="1"/>
                <w:color w:val="auto"/>
              </w:rPr>
              <w:t>​</w:t>
            </w: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result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​(72,178)​​ ​ ​ (3,824)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 of profit (loss) in joint ventures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(406)​​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​(71,141)​​ ​ ​(85,596)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 ​​ ​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1,492 </w:t>
            </w:r>
            <w:r>
              <w:rPr>
                <w:rFonts w:ascii="Times New Roman" w:cs="Times New Roman" w:eastAsia="Times New Roman" w:hAnsi="Times New Roman"/>
                <w:sz w:val="18"/>
                <w:szCs w:val="18"/>
                <w:b w:val="1"/>
                <w:bCs w:val="1"/>
                <w:color w:val="auto"/>
              </w:rPr>
              <w:t>​</w:t>
            </w:r>
          </w:p>
        </w:tc>
      </w:tr>
      <w:tr>
        <w:trPr>
          <w:trHeight w:val="20"/>
        </w:trPr>
        <w:tc>
          <w:tcPr>
            <w:tcW w:w="6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for the period</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right w:val="single" w:sz="8" w:color="CCEEFF"/>
            </w:tcBorders>
            <w:gridSpan w:val="6"/>
            <w:shd w:val="clear" w:color="auto" w:fill="CCEEFF"/>
          </w:tcPr>
          <w:p>
            <w:pPr>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color w:val="auto"/>
              </w:rPr>
              <w:t>​(71,100)</w:t>
            </w:r>
            <w:r>
              <w:rPr>
                <w:rFonts w:ascii="Times New Roman" w:cs="Times New Roman" w:eastAsia="Times New Roman" w:hAnsi="Times New Roman"/>
                <w:sz w:val="25"/>
                <w:szCs w:val="25"/>
                <w:b w:val="1"/>
                <w:bCs w:val="1"/>
                <w:color w:val="auto"/>
                <w:vertAlign w:val="subscript"/>
              </w:rPr>
              <w:t>​​ ​ ​</w:t>
            </w:r>
            <w:r>
              <w:rPr>
                <w:rFonts w:ascii="Times New Roman" w:cs="Times New Roman" w:eastAsia="Times New Roman" w:hAnsi="Times New Roman"/>
                <w:sz w:val="14"/>
                <w:szCs w:val="14"/>
                <w:b w:val="1"/>
                <w:bCs w:val="1"/>
                <w:color w:val="auto"/>
              </w:rPr>
              <w:t>​(84,104)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-196850</wp:posOffset>
            </wp:positionV>
            <wp:extent cx="52120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-831215</wp:posOffset>
            </wp:positionV>
            <wp:extent cx="5212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-1148080</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-1148080</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Our revenues increased from € 60.8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 intake in particular in the first half, caused by global trade frictions and uncertainetty about tariffs. Orders started to come back strongly during Q2 of the year with revenues rebouncing in Q3 2025.</w:t>
      </w:r>
    </w:p>
    <w:p>
      <w:pPr>
        <w:spacing w:after="0" w:line="114"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w:t>
      </w:r>
    </w:p>
    <w:p>
      <w:pPr>
        <w:spacing w:after="0" w:line="323"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services revenue increased from €3.9 million in the year ended December 31, 2024 to €4.1 million in the year ended December 31, 2025.</w:t>
      </w:r>
    </w:p>
    <w:p>
      <w:pPr>
        <w:spacing w:after="0" w:line="81"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w:t>
      </w:r>
    </w:p>
    <w:p>
      <w:pPr>
        <w:spacing w:after="0" w:line="209"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6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r>
      <w:tr>
        <w:trPr>
          <w:trHeight w:val="20"/>
        </w:trPr>
        <w:tc>
          <w:tcPr>
            <w:tcW w:w="6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8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25,702​​</w:t>
            </w:r>
          </w:p>
        </w:tc>
        <w:tc>
          <w:tcPr>
            <w:tcW w:w="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16,480​</w:t>
            </w:r>
          </w:p>
        </w:tc>
        <w:tc>
          <w:tcPr>
            <w:tcW w:w="40" w:type="dxa"/>
            <w:vAlign w:val="bottom"/>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19,770​​</w:t>
            </w: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22,207​</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4,154​​</w:t>
            </w:r>
          </w:p>
        </w:tc>
        <w:tc>
          <w:tcPr>
            <w:tcW w:w="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3,819​</w:t>
            </w:r>
          </w:p>
        </w:tc>
        <w:tc>
          <w:tcPr>
            <w:tcW w:w="40" w:type="dxa"/>
            <w:vAlign w:val="bottom"/>
          </w:tcPr>
          <w:p>
            <w:pPr>
              <w:spacing w:after="0"/>
              <w:rPr>
                <w:sz w:val="18"/>
                <w:szCs w:val="18"/>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EMEA w/o Germany</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9,841​​</w:t>
            </w: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​​12,728​</w:t>
            </w: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Asia w/o China</w:t>
            </w:r>
          </w:p>
        </w:tc>
        <w:tc>
          <w:tcPr>
            <w:tcW w:w="8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7,477​​</w:t>
            </w:r>
          </w:p>
        </w:tc>
        <w:tc>
          <w:tcPr>
            <w:tcW w:w="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5,551​</w:t>
            </w:r>
          </w:p>
        </w:tc>
        <w:tc>
          <w:tcPr>
            <w:tcW w:w="40" w:type="dxa"/>
            <w:vAlign w:val="bottom"/>
          </w:tcPr>
          <w:p>
            <w:pPr>
              <w:spacing w:after="0"/>
              <w:rPr>
                <w:sz w:val="18"/>
                <w:szCs w:val="18"/>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60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​​66,945​​</w:t>
            </w:r>
          </w:p>
        </w:tc>
        <w:tc>
          <w:tcPr>
            <w:tcW w:w="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​​60,836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-162560</wp:posOffset>
            </wp:positionV>
            <wp:extent cx="44316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-462280</wp:posOffset>
            </wp:positionV>
            <wp:extent cx="44316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-1036320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-1036320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On December 31, 2025, our order backlog for machine sales amounted to € 50.9 million, and the order backlog for spare parts and services amounted to €1.3 million. Order backlog is expected to be realized within 12 months.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Our cost of sales increased from €48.8 million in the year ended December 31, 2024 to €50.9 million in the year ended December 31, 2025. This was mainly attributable to an increase in material expenses.</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Our gross profit increased from €12.0 million in the year ended December 31, 2024 to €16.0 million in the year ended December 31, 2025. As a result, our gross profit margin increased from 19.8% in the year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99"/>
        <w:spacing w:after="0" w:line="282" w:lineRule="auto"/>
        <w:rPr>
          <w:sz w:val="20"/>
          <w:szCs w:val="20"/>
          <w:color w:val="auto"/>
        </w:rPr>
      </w:pPr>
      <w:r>
        <w:rPr>
          <w:rFonts w:ascii="Times New Roman" w:cs="Times New Roman" w:eastAsia="Times New Roman" w:hAnsi="Times New Roman"/>
          <w:sz w:val="18"/>
          <w:szCs w:val="18"/>
          <w:color w:val="auto"/>
        </w:rPr>
        <w:t>ended December 31, 2024 to 24.0% in the year ended December 31, 2025. This was mainly attributable to higher revenue growth than cost of sales increase.</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Selling</w:t>
      </w:r>
    </w:p>
    <w:p>
      <w:pPr>
        <w:spacing w:after="0" w:line="162"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Selling expenses decreased from €13.0 million in the year ended December 31, 2024 to €12.0 million in the year ended December 31, 2025. This was mainly attributable to a significant decrease in the amount of sales commissions paid out.</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Administration</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from €4.0 million during the year ended December 31, 2024 to €2.8 million in the year ended December 31, 2025. The personnel expenses were the most significant contributor to the decrease.</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2"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Other expenses decreased to €0.6 million in 2025 from €2.6 million in 2024, primarily due to a decrease in foreign currency losses from €2.3 million in 2024 to €0.4 million in 2025.</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Listing Expenses</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The Company incurred listing expenses totaling € 71.6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Operating Profit (Loss)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Company incurred an operating loss of € 81.8 million in the year ended December 31, 2024 and a profit of € 1.4 million in the year ended December 31, 2025. The majority of the loss in 2024 was principally due to the €71.6 million share listing expense in that year as a result of the de-SPAC.</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Our financial result increased from a net expense of €3.8 million for the year ended December 31, 2024, to a net expense of € 72.2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62"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Income tax expense was €0.04 million in 2025, compared to an income tax benefit of €1.5 million in 2024. The change reflects differences in the recognition of deferred income tax effects and the absence of comparable tax benefits recognized in the prior year.</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Non-IFRS Financial Information</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p>
    <w:p>
      <w:pPr>
        <w:spacing w:after="0" w:line="336"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Adjusted EBITDA reconciled to our net income (loss) for the period, the closest IFRS measure for each period presented:</w:t>
      </w:r>
    </w:p>
    <w:tbl>
      <w:tblPr>
        <w:tblLayout w:type="fixed"/>
        <w:tblInd w:w="1620" w:type="dxa"/>
        <w:tblCellMar>
          <w:top w:w="0" w:type="dxa"/>
          <w:left w:w="0" w:type="dxa"/>
          <w:bottom w:w="0" w:type="dxa"/>
          <w:right w:w="0" w:type="dxa"/>
        </w:tblCellMar>
      </w:tblPr>
      <w:tr>
        <w:trPr>
          <w:trHeight w:val="365"/>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16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Year ended December 31, </w:t>
            </w:r>
            <w:r>
              <w:rPr>
                <w:rFonts w:ascii="Times New Roman" w:cs="Times New Roman" w:eastAsia="Times New Roman" w:hAnsi="Times New Roman"/>
                <w:sz w:val="28"/>
                <w:szCs w:val="28"/>
                <w:b w:val="1"/>
                <w:bCs w:val="1"/>
                <w:color w:val="auto"/>
                <w:vertAlign w:val="subscript"/>
              </w:rPr>
              <w:t>​</w:t>
            </w:r>
          </w:p>
        </w:tc>
      </w:tr>
      <w:tr>
        <w:trPr>
          <w:trHeight w:val="236"/>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gridSpan w:val="2"/>
          </w:tcPr>
          <w:p>
            <w:pPr>
              <w:spacing w:after="0"/>
              <w:rPr>
                <w:sz w:val="20"/>
                <w:szCs w:val="20"/>
                <w:color w:val="auto"/>
              </w:rPr>
            </w:pPr>
          </w:p>
        </w:tc>
        <w:tc>
          <w:tcPr>
            <w:tcW w:w="48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for the period</w:t>
            </w: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​(71,100)​​ ​ ​(84,104)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8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1,492 </w:t>
            </w:r>
            <w:r>
              <w:rPr>
                <w:rFonts w:ascii="Times New Roman" w:cs="Times New Roman" w:eastAsia="Times New Roman" w:hAnsi="Times New Roman"/>
                <w:sz w:val="18"/>
                <w:szCs w:val="18"/>
                <w:b w:val="1"/>
                <w:bCs w:val="1"/>
                <w:color w:val="auto"/>
              </w:rPr>
              <w:t>​</w:t>
            </w:r>
          </w:p>
        </w:tc>
      </w:tr>
      <w:tr>
        <w:trPr>
          <w:trHeight w:val="25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result</w:t>
            </w: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72,178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3,824</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108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7,315 </w:t>
            </w:r>
            <w:r>
              <w:rPr>
                <w:rFonts w:ascii="Times New Roman" w:cs="Times New Roman" w:eastAsia="Times New Roman" w:hAnsi="Times New Roman"/>
                <w:sz w:val="18"/>
                <w:szCs w:val="18"/>
                <w:b w:val="1"/>
                <w:bCs w:val="1"/>
                <w:color w:val="auto"/>
              </w:rPr>
              <w:t>​</w:t>
            </w:r>
          </w:p>
        </w:tc>
      </w:tr>
      <w:tr>
        <w:trPr>
          <w:trHeight w:val="29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profit (loss) in equity method investees</w:t>
            </w: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20" w:type="dxa"/>
            <w:vAlign w:val="bottom"/>
            <w:gridSpan w:val="2"/>
            <w:shd w:val="clear" w:color="auto" w:fill="CCEEFF"/>
          </w:tcPr>
          <w:p>
            <w:pPr>
              <w:jc w:val="right"/>
              <w:ind w:righ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1"/>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Adjusted EBITDA</w:t>
            </w:r>
          </w:p>
        </w:tc>
        <w:tc>
          <w:tcPr>
            <w:tcW w:w="108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6,267</w:t>
            </w:r>
          </w:p>
        </w:tc>
        <w:tc>
          <w:tcPr>
            <w:tcW w:w="980" w:type="dxa"/>
            <w:vAlign w:val="bottom"/>
            <w:gridSpan w:val="5"/>
          </w:tcPr>
          <w:p>
            <w:pPr>
              <w:jc w:val="right"/>
              <w:spacing w:after="0" w:line="379" w:lineRule="exact"/>
              <w:rPr>
                <w:sz w:val="20"/>
                <w:szCs w:val="20"/>
                <w:color w:val="auto"/>
              </w:rPr>
            </w:pPr>
            <w:r>
              <w:rPr>
                <w:rFonts w:ascii="Times New Roman" w:cs="Times New Roman" w:eastAsia="Times New Roman" w:hAnsi="Times New Roman"/>
                <w:sz w:val="35"/>
                <w:szCs w:val="35"/>
                <w:b w:val="1"/>
                <w:bCs w:val="1"/>
                <w:color w:val="auto"/>
                <w:vertAlign w:val="subscript"/>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(74,457)</w:t>
            </w:r>
            <w:r>
              <w:rPr>
                <w:rFonts w:ascii="Times New Roman" w:cs="Times New Roman" w:eastAsia="Times New Roman" w:hAnsi="Times New Roman"/>
                <w:sz w:val="35"/>
                <w:szCs w:val="35"/>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-1277620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See note 6 of our financial statements included elsewhere in this registration statement.</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Operational and Funding Requirements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principally finance our operations through cash generated from the sale of machines, spare parts and services. We also have relied on debt and related-party financing. As of December 31, 2025, and 2024, cash and cash equivalents were €1.6 million and €3.8 million, respectively.</w:t>
      </w:r>
    </w:p>
    <w:p>
      <w:pPr>
        <w:spacing w:after="0" w:line="9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a debt-for-equity set-off with XJ Harbour that became effective on January 16, 2026 following (i)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and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See also “</w:t>
      </w:r>
      <w:r>
        <w:rPr>
          <w:rFonts w:ascii="Times New Roman" w:cs="Times New Roman" w:eastAsia="Times New Roman" w:hAnsi="Times New Roman"/>
          <w:sz w:val="18"/>
          <w:szCs w:val="18"/>
          <w:i w:val="1"/>
          <w:iCs w:val="1"/>
          <w:color w:val="auto"/>
        </w:rPr>
        <w:t>Item 10.C Material Contracts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beginning of June 2026. Management has implemented almost all of its €4 million annual cost-savings program in Germany, primarily focusing on overhead costs.</w:t>
      </w:r>
    </w:p>
    <w:p>
      <w:pPr>
        <w:spacing w:after="0" w:line="9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w:t>
      </w:r>
    </w:p>
    <w:p>
      <w:pPr>
        <w:spacing w:after="0" w:line="12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At December 31, 2025, current financial liabilities totaled €87.1 million and non-current financial liabilities totaled €71.5 million. Trade and related party payables totaled €38.1 million, and current contract 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shareholders are due at the end of 2027, and the loan from related parties, provided by SCHMID Grundstücke GmbH &amp; Co. KG, is due at the end of 2026; in each case, the term is automatically extended by a further year if the contract is not terminated six months before expiry. The loans from shareholders and loans from related parties are expected to be mostly converted to equity by the end of June 2026.</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period presented (in € thousands):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62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Year Ended December 31, </w:t>
            </w:r>
            <w:r>
              <w:rPr>
                <w:rFonts w:ascii="Times New Roman" w:cs="Times New Roman" w:eastAsia="Times New Roman" w:hAnsi="Times New Roman"/>
                <w:sz w:val="28"/>
                <w:szCs w:val="28"/>
                <w:b w:val="1"/>
                <w:bCs w:val="1"/>
                <w:color w:val="auto"/>
                <w:w w:val="99"/>
                <w:vertAlign w:val="subscript"/>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w:t>
            </w:r>
          </w:p>
        </w:tc>
        <w:tc>
          <w:tcPr>
            <w:tcW w:w="1080" w:type="dxa"/>
            <w:vAlign w:val="bottom"/>
            <w:vMerge w:val="restart"/>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1,250</w:t>
            </w:r>
          </w:p>
        </w:tc>
        <w:tc>
          <w:tcPr>
            <w:tcW w:w="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(2,578)</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(6,227) ​​</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(4,054)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2,923</w:t>
            </w:r>
          </w:p>
        </w:tc>
        <w:tc>
          <w:tcPr>
            <w:tcW w:w="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3,959</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5"/>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 xml:space="preserve">​(2,055) </w:t>
            </w:r>
            <w:r>
              <w:rPr>
                <w:rFonts w:ascii="Times New Roman" w:cs="Times New Roman" w:eastAsia="Times New Roman" w:hAnsi="Times New Roman"/>
                <w:sz w:val="25"/>
                <w:szCs w:val="25"/>
                <w:b w:val="1"/>
                <w:bCs w:val="1"/>
                <w:color w:val="auto"/>
                <w:vertAlign w:val="subscript"/>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4"/>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4"/>
                <w:szCs w:val="14"/>
                <w:b w:val="1"/>
                <w:bCs w:val="1"/>
                <w:color w:val="auto"/>
              </w:rPr>
              <w:t>​(2,673)</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7491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-770890</wp:posOffset>
            </wp:positionV>
            <wp:extent cx="43116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pacing w:after="0" w:line="191" w:lineRule="exact"/>
        <w:rPr>
          <w:sz w:val="20"/>
          <w:szCs w:val="20"/>
          <w:color w:val="auto"/>
        </w:rPr>
      </w:pPr>
    </w:p>
    <w:p>
      <w:pPr>
        <w:jc w:val="both"/>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w:t>
      </w:r>
    </w:p>
    <w:p>
      <w:pPr>
        <w:spacing w:after="0" w:line="11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net cash used in investing activities amounted to €6.2 million, compared to €4.1 million of net cash used in investing activities in the year ended December 31, 2024. The increase in net cash outflows was primarily attributable to higher purchases of intangible assets and property, plant and equipment, partially offset by limited proceeds from disposals of financial assets.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amounted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€2.9 million, compared to €4.0 million for the year ended December 31, 2024. Financing cash inflows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 primarily reflected proceeds from debt financing, partially offset by repayments of borrowings, lease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payments, and interest paid.</w:t>
      </w:r>
    </w:p>
    <w:p>
      <w:pPr>
        <w:spacing w:after="0" w:line="126"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As a result of the foregoing, cash and cash equivalents decreased by €2.1 million during 2025, compared to a decrease of €2.7 million during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fund our operations primarily through operating activities and through debt and equity financing arrangements. During 2025 and subsequent to year-end, the Company entered into certain financing arrangements, notably including senior convertible notes and a Standby Equity Purchase Agreement.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Company may issue equity securities or enter into additional debt arrangements in the future, subject to market conditions, contractual obligations and other factors.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the Schmid Group did not have any off-balance sheet arrangements as defined in Item 303(a)(4)(ii) of Regulation S-K.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Outlook and Trend Information</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 primarily driven by the global surge in AI-server boards, which require highly demanding HDI and ultra-high layer-count PCB architectures. As of March 31, 2026, our total recorded order intake was €13.6 million and generated revenues were €18.2 million for the first quarter. The first quarter has historically been the weakest quarter of the year. On June 16, 2026, we announced a combined order intake of more than €26 million between mid-May 2026 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Order intake and order book figures relate exclusively to orders for equipment and do not include orders associated with services or spare parts.</w:t>
      </w:r>
    </w:p>
    <w:p>
      <w:pPr>
        <w:spacing w:after="0" w:line="33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 w:cs="Times New Roman" w:eastAsia="Times New Roman" w:hAnsi="Times New Roman"/>
          <w:sz w:val="18"/>
          <w:szCs w:val="18"/>
          <w:i w:val="1"/>
          <w:iCs w:val="1"/>
          <w:color w:val="auto"/>
        </w:rPr>
        <w:t>Kurzarbeit</w:t>
      </w:r>
      <w:r>
        <w:rPr>
          <w:rFonts w:ascii="Times New Roman" w:cs="Times New Roman" w:eastAsia="Times New Roman" w:hAnsi="Times New Roman"/>
          <w:sz w:val="18"/>
          <w:szCs w:val="18"/>
          <w:color w:val="auto"/>
        </w:rPr>
        <w:t>) and SCHMID expects to reach an annual run-rate of cost savings of more than € 4 million based on current estimates. Limited one-off costs of around €0.5 million are to be expected. Additionally SCHMID is implementing measures to reduce its listing-related expenses in 2026, with further reductions expected in 2027.</w:t>
      </w:r>
    </w:p>
    <w:p>
      <w:pPr>
        <w:spacing w:after="0" w:line="121"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Based on current visibility and business momentum especially in China, SCHMID reaffirms its full-year 2026 guidance. The Company continues to expect revenues exceeding €100 million, an Adjusted EBITDA margin significantly exceeding 12% and order intake of approximately €114 million for the fiscal year 2026. Our forecast for our order intake is based on three reinforcing growth factors that position SCHMID in its growing global target market:</w:t>
      </w:r>
    </w:p>
    <w:p>
      <w:pPr>
        <w:spacing w:after="0" w:line="75" w:lineRule="exact"/>
        <w:rPr>
          <w:sz w:val="20"/>
          <w:szCs w:val="20"/>
          <w:color w:val="auto"/>
        </w:rPr>
      </w:pPr>
    </w:p>
    <w:p>
      <w:pPr>
        <w:ind w:left="1800" w:right="599" w:hanging="180"/>
        <w:spacing w:after="0" w:line="261"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continued expansion of Advanced Packaging, IC-Substrate and HDI-PCB capacity across Asia is driving sustained demand for SCHMID’s production equipment. Key customers in Taiwan, Japan, Korea and China are executing multi-year investment programs, and SCHMID is deeply embedded in these roadmaps with its next-generation InfinityLine platforms.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1"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SCHMID’s strengthened product portfolio has increased our order intake and our outlook for further orders. The launch of our new InfinityLine C+, InfinityLine L+ and InfinityLine</w:t>
      </w:r>
    </w:p>
    <w:p>
      <w:pPr>
        <w:ind w:left="180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or losses or profit shares or losses for the upcoming financial year. Additionally, information that is currently not available to the Company could have a potentially unpredictable and potentially significant impact on its future IFRS financial results.</w:t>
      </w:r>
    </w:p>
    <w:p>
      <w:pPr>
        <w:spacing w:after="0" w:line="336"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 presented and are reviewed on an ongoing basis. Actual results may differ from these estimates under different assumptions and conditions and may materially affect the financial results or the financial position reported in future periods.</w:t>
      </w:r>
    </w:p>
    <w:p>
      <w:pPr>
        <w:spacing w:after="0" w:line="33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For more information on critical accounting estimates, see the notes of the Company’s consolidated financial statements, which are included in our financial statements included elsewhere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162" w:lineRule="exact"/>
        <w:rPr>
          <w:sz w:val="20"/>
          <w:szCs w:val="20"/>
          <w:color w:val="auto"/>
        </w:rPr>
      </w:pPr>
    </w:p>
    <w:p>
      <w:pPr>
        <w:ind w:left="1260" w:right="300" w:firstLine="360"/>
        <w:spacing w:after="0" w:line="282" w:lineRule="auto"/>
        <w:rPr>
          <w:sz w:val="20"/>
          <w:szCs w:val="20"/>
          <w:color w:val="auto"/>
        </w:rPr>
      </w:pPr>
      <w:r>
        <w:rPr>
          <w:rFonts w:ascii="Times New Roman" w:cs="Times New Roman" w:eastAsia="Times New Roman" w:hAnsi="Times New Roman"/>
          <w:sz w:val="18"/>
          <w:szCs w:val="18"/>
          <w:color w:val="auto"/>
        </w:rPr>
        <w:t>The information about SCHMID’s management is based on the provisions of SCHMID’s Articles of Association, which is included as an exhibit to this prospectus.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lists the names and positions of those individuals are SCHMID’s directors and executive officers.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8"/>
        </w:trPr>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Borders>
              <w:top w:val="single" w:sz="8" w:color="auto"/>
            </w:tcBorders>
          </w:tcPr>
          <w:p>
            <w:pPr>
              <w:spacing w:after="0"/>
              <w:rPr>
                <w:sz w:val="18"/>
                <w:szCs w:val="18"/>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Christian Schmid</w:t>
            </w:r>
          </w:p>
        </w:tc>
        <w:tc>
          <w:tcPr>
            <w:tcW w:w="420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Executive Officer</w:t>
            </w:r>
          </w:p>
        </w:tc>
      </w:tr>
      <w:tr>
        <w:trPr>
          <w:trHeight w:val="25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Arthur Schuetz</w:t>
            </w:r>
          </w:p>
        </w:tc>
        <w:tc>
          <w:tcPr>
            <w:tcW w:w="1980" w:type="dxa"/>
            <w:vAlign w:val="bottom"/>
            <w:gridSpan w:val="2"/>
          </w:tcPr>
          <w:p>
            <w:pPr>
              <w:spacing w:after="0" w:line="252"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220" w:type="dxa"/>
            <w:vAlign w:val="bottom"/>
          </w:tcPr>
          <w:p>
            <w:pPr>
              <w:spacing w:after="0"/>
              <w:rPr>
                <w:sz w:val="21"/>
                <w:szCs w:val="21"/>
                <w:color w:val="auto"/>
              </w:rPr>
            </w:pPr>
          </w:p>
        </w:tc>
      </w:tr>
      <w:tr>
        <w:trPr>
          <w:trHeight w:val="261"/>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SCHMID Board</w:t>
            </w: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220" w:type="dxa"/>
            <w:vAlign w:val="bottom"/>
          </w:tcPr>
          <w:p>
            <w:pPr>
              <w:spacing w:after="0"/>
              <w:rPr>
                <w:sz w:val="22"/>
                <w:szCs w:val="22"/>
                <w:color w:val="auto"/>
              </w:rPr>
            </w:pP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Prof. Dr. Sir Ralf Speth</w:t>
            </w:r>
          </w:p>
        </w:tc>
        <w:tc>
          <w:tcPr>
            <w:tcW w:w="420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Chairman, Non-executive Director (independent)</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Christian Schmid</w:t>
            </w:r>
          </w:p>
        </w:tc>
        <w:tc>
          <w:tcPr>
            <w:tcW w:w="19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Executive Director</w:t>
            </w:r>
          </w:p>
        </w:tc>
        <w:tc>
          <w:tcPr>
            <w:tcW w:w="2220" w:type="dxa"/>
            <w:vAlign w:val="bottom"/>
          </w:tcPr>
          <w:p>
            <w:pPr>
              <w:spacing w:after="0"/>
              <w:rPr>
                <w:sz w:val="23"/>
                <w:szCs w:val="23"/>
                <w:color w:val="auto"/>
              </w:rPr>
            </w:pP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Anette Schmid</w:t>
            </w:r>
          </w:p>
        </w:tc>
        <w:tc>
          <w:tcPr>
            <w:tcW w:w="420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Non-executive Director</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Dr. Stefan Berger</w:t>
            </w:r>
          </w:p>
        </w:tc>
        <w:tc>
          <w:tcPr>
            <w:tcW w:w="420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Non-executive Director (independent)</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Boo-Keun Yoon</w:t>
            </w:r>
          </w:p>
        </w:tc>
        <w:tc>
          <w:tcPr>
            <w:tcW w:w="420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Non-executive Director (independent)</w:t>
            </w:r>
          </w:p>
        </w:tc>
      </w:tr>
      <w:tr>
        <w:trPr>
          <w:trHeight w:val="45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Dr. Annedore Streyl</w:t>
            </w:r>
          </w:p>
        </w:tc>
        <w:tc>
          <w:tcPr>
            <w:tcW w:w="420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Non-executive Director (independent)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6"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Board of the Schmid Group consists of six members.</w:t>
      </w:r>
    </w:p>
    <w:p>
      <w:pPr>
        <w:spacing w:after="0" w:line="12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business address for each of the directors and executive officers of the Company is Robert-Bosch-Str. 32-36, 72250 Freudenstadt, Germany.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Schmid </w:t>
      </w:r>
      <w:r>
        <w:rPr>
          <w:rFonts w:ascii="Times New Roman" w:cs="Times New Roman" w:eastAsia="Times New Roman" w:hAnsi="Times New Roman"/>
          <w:sz w:val="18"/>
          <w:szCs w:val="18"/>
          <w:color w:val="auto"/>
        </w:rPr>
        <w:t>is serving as the Company’s Chief Executive Officer and Executive Director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board. 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 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w:t>
      </w:r>
    </w:p>
    <w:p>
      <w:pPr>
        <w:spacing w:after="0" w:line="124"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Arthur Schuetz </w:t>
      </w:r>
      <w:r>
        <w:rPr>
          <w:rFonts w:ascii="Times New Roman" w:cs="Times New Roman" w:eastAsia="Times New Roman" w:hAnsi="Times New Roman"/>
          <w:sz w:val="18"/>
          <w:szCs w:val="18"/>
          <w:color w:val="auto"/>
        </w:rPr>
        <w:t>serves as the Company’s Chief Financial Officer. He was appointed as of January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Mr. Schütz obtained a Masters degree in economics from the University of Bonn and spent time at Hitotsubashi University Tokyo and University of Freiburg. He has over 20 years of experience in finance and banking. Mr. Schütz started in investment banking at Flemings in London, and worked at JP Morgan for about ten years, followed by Morgan Stanley for about twelve years. At Morgan Stanley he transferred to</w:t>
      </w:r>
    </w:p>
    <w:p>
      <w:pPr>
        <w:sectPr>
          <w:pgSz w:w="11900" w:h="16838" w:orient="portrait"/>
          <w:cols w:equalWidth="0" w:num="1">
            <w:col w:w="9879"/>
          </w:cols>
          <w:pgMar w:left="580" w:top="97" w:right="1440" w:bottom="1440" w:gutter="0" w:footer="0" w:header="0"/>
          <w:type w:val="continuous"/>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the 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for the biography of Christian Schmid.</w:t>
      </w:r>
    </w:p>
    <w:p>
      <w:pPr>
        <w:spacing w:after="0" w:line="14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Anette Schmid </w:t>
      </w:r>
      <w:r>
        <w:rPr>
          <w:rFonts w:ascii="Times New Roman" w:cs="Times New Roman" w:eastAsia="Times New Roman" w:hAnsi="Times New Roman"/>
          <w:sz w:val="18"/>
          <w:szCs w:val="18"/>
          <w:color w:val="auto"/>
        </w:rPr>
        <w:t>is a director of the Company’s board. Ms. Schmid has over 25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for Schmid. Her main 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 Systems GmbH and others. Further, she worked at Gebr. Schmid GmbH in SAP activities in controlling and sub-project management in SAP system implementation, controlling and logistics from 1996 to 1998. In addition to her share in Gebr. Schmid GmbH, Anette Schmid is co- owner of Schmid Grundstücke GmbH &amp; Co. KG and Schmid Grundstücksverwaltung GmbH since 2015. Anette Schmid has a bachelor’s degree in business administration.</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Prof. Dr. Sir Ralf Speth </w:t>
      </w:r>
      <w:r>
        <w:rPr>
          <w:rFonts w:ascii="Times New Roman" w:cs="Times New Roman" w:eastAsia="Times New Roman" w:hAnsi="Times New Roman"/>
          <w:sz w:val="18"/>
          <w:szCs w:val="18"/>
          <w:color w:val="auto"/>
        </w:rPr>
        <w:t>serves as the Chairman of Board of SCHMID. Prof. Dr. Sir Ralf Speth has over</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40 years of operating, M&amp;A and financing experience in the automotive and transportation-related sector.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Prof. Dr. Sir Ralf Speth is considered to be an industry thought leader on the global need for energy</w:t>
      </w:r>
    </w:p>
    <w:p>
      <w:pPr>
        <w:ind w:left="1260"/>
        <w:spacing w:after="0" w:line="235" w:lineRule="auto"/>
        <w:rPr>
          <w:sz w:val="20"/>
          <w:szCs w:val="20"/>
          <w:color w:val="auto"/>
        </w:rPr>
      </w:pPr>
      <w:r>
        <w:rPr>
          <w:rFonts w:ascii="Times New Roman" w:cs="Times New Roman" w:eastAsia="Times New Roman" w:hAnsi="Times New Roman"/>
          <w:sz w:val="18"/>
          <w:szCs w:val="18"/>
          <w:color w:val="auto"/>
        </w:rPr>
        <w:t>transition and the technologies which will transform our energy infrastructure, most notably as it relates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hydrogen power and autonomous driving technologies. Since September 2020, Prof. Sir Ralf Speth has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served as a non-executive director and the vice-chairman of the board of Jaguar Land Rover Automotive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PLC, a British multinational automotive subsidiary of Tata Motors and a manufacturer of luxury vehicles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sport utility vehicles, and, as of October 2016, a member of the Board of Directors of Tata Sons,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principal holding company of more than 100 operating companies with a combined revenue of more than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$100 billion. Prof. Dr. Sir Ralf Speth has also been a professor at the University of Warwick since 2014. As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March 2022, he serves as director of Swiss E, Mobility Group AG (SEMG). Prof. Dr. Sir Ralf Speth also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serves as director of the Norton Motorcycle Company, a position he has held since March 2022. As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January 2021, Prof. Dr. Sir Ralf Speth serves as a strategic advisor to Bladon Micro Turbine Limited, 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designer, developer and manufacturer of micro turbine gensets to serve the telecommunication market.</w:t>
      </w:r>
    </w:p>
    <w:p>
      <w:pPr>
        <w:spacing w:after="0" w:line="7" w:lineRule="exact"/>
        <w:rPr>
          <w:sz w:val="20"/>
          <w:szCs w:val="20"/>
          <w:color w:val="auto"/>
        </w:rPr>
      </w:pPr>
    </w:p>
    <w:p>
      <w:pPr>
        <w:ind w:left="1260" w:right="899"/>
        <w:spacing w:after="0"/>
        <w:rPr>
          <w:sz w:val="20"/>
          <w:szCs w:val="20"/>
          <w:color w:val="auto"/>
        </w:rPr>
      </w:pPr>
      <w:r>
        <w:rPr>
          <w:rFonts w:ascii="Times New Roman" w:cs="Times New Roman" w:eastAsia="Times New Roman" w:hAnsi="Times New Roman"/>
          <w:sz w:val="18"/>
          <w:szCs w:val="18"/>
          <w:color w:val="auto"/>
        </w:rPr>
        <w:t>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w:t>
      </w:r>
    </w:p>
    <w:p>
      <w:pPr>
        <w:ind w:left="1260" w:right="459"/>
        <w:spacing w:after="0"/>
        <w:rPr>
          <w:sz w:val="20"/>
          <w:szCs w:val="20"/>
          <w:color w:val="auto"/>
        </w:rPr>
      </w:pPr>
      <w:r>
        <w:rPr>
          <w:rFonts w:ascii="Times New Roman" w:cs="Times New Roman" w:eastAsia="Times New Roman" w:hAnsi="Times New Roman"/>
          <w:sz w:val="18"/>
          <w:szCs w:val="18"/>
          <w:color w:val="auto"/>
        </w:rPr>
        <w:t>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 Warsaw; The Institution of Engineering and Technology, IET. Gold Medal, 2011; The Outstanding Industrialist, 2013; and Trophée d’Or, Logistique Européenne, Elancourt, France.</w:t>
      </w:r>
    </w:p>
    <w:p>
      <w:pPr>
        <w:spacing w:after="0" w:line="32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Stefan Berger </w:t>
      </w:r>
      <w:r>
        <w:rPr>
          <w:rFonts w:ascii="Times New Roman" w:cs="Times New Roman" w:eastAsia="Times New Roman" w:hAnsi="Times New Roman"/>
          <w:sz w:val="18"/>
          <w:szCs w:val="18"/>
          <w:color w:val="auto"/>
        </w:rPr>
        <w:t>serves as director of the Company’s board. Dr. Berger has over 15 years of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global blue-chip and family-owned companies across multiple geographies and sectors, including Automotive OEMs and Suppliers, Commodities, Healthcare, Publishing, Telecommunications, Fashion and Consumer Goods. In August 2021, he began serving on the Strategic Board of Advisors of Skyworks Aeronautics Corp., a designer and developer of high-performance gyroplanes. From October 2017 to June 2021, Dr. Berger served as Director of Electrification at Jaguar Land Rover Limited, a British</w:t>
      </w:r>
    </w:p>
    <w:p>
      <w:pPr>
        <w:ind w:left="1260"/>
        <w:spacing w:after="0" w:line="238" w:lineRule="auto"/>
        <w:rPr>
          <w:sz w:val="20"/>
          <w:szCs w:val="20"/>
          <w:color w:val="auto"/>
        </w:rPr>
      </w:pPr>
      <w:r>
        <w:rPr>
          <w:rFonts w:ascii="Times New Roman" w:cs="Times New Roman" w:eastAsia="Times New Roman" w:hAnsi="Times New Roman"/>
          <w:sz w:val="18"/>
          <w:szCs w:val="18"/>
          <w:color w:val="auto"/>
        </w:rPr>
        <w:t>multinational automotive subsidiary of Tata Motors and a manufacturer of luxury vehicles and sport utility</w:t>
      </w:r>
    </w:p>
    <w:p>
      <w:pPr>
        <w:ind w:left="1260"/>
        <w:spacing w:after="0" w:line="235" w:lineRule="auto"/>
        <w:rPr>
          <w:sz w:val="20"/>
          <w:szCs w:val="20"/>
          <w:color w:val="auto"/>
        </w:rPr>
      </w:pPr>
      <w:r>
        <w:rPr>
          <w:rFonts w:ascii="Times New Roman" w:cs="Times New Roman" w:eastAsia="Times New Roman" w:hAnsi="Times New Roman"/>
          <w:sz w:val="18"/>
          <w:szCs w:val="18"/>
          <w:color w:val="auto"/>
        </w:rPr>
        <w:t>vehicles, where he was responsible for the company’s off-board electrification activities in the field of</w:t>
      </w:r>
    </w:p>
    <w:p>
      <w:pPr>
        <w:ind w:left="1260"/>
        <w:spacing w:after="0"/>
        <w:rPr>
          <w:sz w:val="20"/>
          <w:szCs w:val="20"/>
          <w:color w:val="auto"/>
        </w:rPr>
      </w:pPr>
      <w:r>
        <w:rPr>
          <w:rFonts w:ascii="Times New Roman" w:cs="Times New Roman" w:eastAsia="Times New Roman" w:hAnsi="Times New Roman"/>
          <w:sz w:val="18"/>
          <w:szCs w:val="18"/>
          <w:color w:val="auto"/>
        </w:rPr>
        <w:t>charging services for electric vehicles and battery second life. Dr. Berger laid the foundation for Jaguar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Land Rover’s transformation to electrified vehicles by driving the electric product plan and overall strategy.</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his role he also served as a trustee on the Board of The Faraday Institution from January 2018 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2020. The Faraday Institution is part of the UK government funded $350 million Faraday Challenge,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 initiative to develop, design and manufacture world-leading batteries in the UK. Prior to Jaguar Land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Rover, from May 2016 to September 2017 and June 2013 to February 2014, Dr. Berger served as Vice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to the Chairman’s Office at Tata Sons, the principal holding company of more than 100 operating</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companies with a combined revenue of more than $100 billion. In this role, Dr. Berger worked closely with</w:t>
      </w:r>
    </w:p>
    <w:p>
      <w:pPr>
        <w:ind w:left="1260"/>
        <w:spacing w:after="0" w:line="234" w:lineRule="auto"/>
        <w:rPr>
          <w:sz w:val="20"/>
          <w:szCs w:val="20"/>
          <w:color w:val="auto"/>
        </w:rPr>
      </w:pPr>
      <w:r>
        <w:rPr>
          <w:rFonts w:ascii="Times New Roman" w:cs="Times New Roman" w:eastAsia="Times New Roman" w:hAnsi="Times New Roman"/>
          <w:sz w:val="18"/>
          <w:szCs w:val="18"/>
          <w:color w:val="auto"/>
        </w:rPr>
        <w:t>Group companies including Tata Motors and Jaguar Land Rover on the development and implementation of</w:t>
      </w:r>
    </w:p>
    <w:p>
      <w:pPr>
        <w:ind w:left="1260"/>
        <w:spacing w:after="0" w:line="235" w:lineRule="auto"/>
        <w:rPr>
          <w:sz w:val="20"/>
          <w:szCs w:val="20"/>
          <w:color w:val="auto"/>
        </w:rPr>
      </w:pPr>
      <w:r>
        <w:rPr>
          <w:rFonts w:ascii="Times New Roman" w:cs="Times New Roman" w:eastAsia="Times New Roman" w:hAnsi="Times New Roman"/>
          <w:sz w:val="18"/>
          <w:szCs w:val="18"/>
          <w:color w:val="auto"/>
        </w:rPr>
        <w:t>strategic and operational plans on behalf of the Group Chairman. Prior to his role at Tata Sons, Dr. Berger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Co-founded Visioning, the private investment and consulting office of Prof. Dr. Wolfgang Reitzle, where 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served as a Managing Director from May 2014 to March 2016. From November 2010 to May 2013</w:t>
      </w:r>
    </w:p>
    <w:p>
      <w:pPr>
        <w:ind w:left="1260" w:right="519"/>
        <w:spacing w:after="0"/>
        <w:rPr>
          <w:sz w:val="20"/>
          <w:szCs w:val="20"/>
          <w:color w:val="auto"/>
        </w:rPr>
      </w:pPr>
      <w:r>
        <w:rPr>
          <w:rFonts w:ascii="Times New Roman" w:cs="Times New Roman" w:eastAsia="Times New Roman" w:hAnsi="Times New Roman"/>
          <w:sz w:val="18"/>
          <w:szCs w:val="18"/>
          <w:color w:val="auto"/>
        </w:rPr>
        <w:t>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w:t>
      </w:r>
    </w:p>
    <w:p>
      <w:pPr>
        <w:spacing w:after="0" w:line="11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Boo-Keun Yoon </w:t>
      </w:r>
      <w:r>
        <w:rPr>
          <w:rFonts w:ascii="Times New Roman" w:cs="Times New Roman" w:eastAsia="Times New Roman" w:hAnsi="Times New Roman"/>
          <w:sz w:val="18"/>
          <w:szCs w:val="18"/>
          <w:color w:val="auto"/>
        </w:rPr>
        <w:t>serves as director of the Company’s board. Mr. Yoon holds a bachelor’s degree in</w:t>
      </w:r>
    </w:p>
    <w:p>
      <w:pPr>
        <w:spacing w:after="0" w:line="31"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electrical engineering from 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w:t>
      </w:r>
    </w:p>
    <w:p>
      <w:pPr>
        <w:spacing w:after="0" w:line="117"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Annedore Streyl </w:t>
      </w:r>
      <w:r>
        <w:rPr>
          <w:rFonts w:ascii="Times New Roman" w:cs="Times New Roman" w:eastAsia="Times New Roman" w:hAnsi="Times New Roman"/>
          <w:sz w:val="18"/>
          <w:szCs w:val="18"/>
          <w:color w:val="auto"/>
        </w:rPr>
        <w:t>serves as director of the Company’s board. She is the chair of the Board’s audit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nomination 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w:t>
      </w: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table below provides certain information regarding the diversity of the Board as of the date of this prospectus: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Board Diversity Matrix</w:t>
            </w:r>
          </w:p>
        </w:tc>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 ​</w:t>
            </w:r>
          </w:p>
        </w:tc>
        <w:tc>
          <w:tcPr>
            <w:tcW w:w="9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3280" w:type="dxa"/>
            <w:vAlign w:val="bottom"/>
          </w:tcPr>
          <w:p>
            <w:pPr>
              <w:spacing w:after="0" w:line="21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Germany</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328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Yes</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328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bscript"/>
              </w:rPr>
              <w:t>No</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3280" w:type="dxa"/>
            <w:vAlign w:val="bottom"/>
          </w:tcPr>
          <w:p>
            <w:pPr>
              <w:spacing w:after="0" w:line="252"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29"/>
                <w:szCs w:val="29"/>
                <w:color w:val="auto"/>
                <w:vertAlign w:val="subscript"/>
              </w:rPr>
              <w:t>6</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32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Female: 2</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Male: 4</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Non-Binary: 0</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spacing w:after="0" w:line="266"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6"/>
                <w:szCs w:val="16"/>
                <w:color w:val="auto"/>
              </w:rPr>
              <w:t xml:space="preserve"> Did not disclosure gender: 0</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w:t>
            </w: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 ​ 1</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0</w:t>
            </w:r>
          </w:p>
        </w:tc>
        <w:tc>
          <w:tcPr>
            <w:tcW w:w="9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3280" w:type="dxa"/>
            <w:vAlign w:val="bottom"/>
            <w:vMerge w:val="continue"/>
          </w:tcPr>
          <w:p>
            <w:pPr>
              <w:spacing w:after="0"/>
              <w:rPr>
                <w:sz w:val="23"/>
                <w:szCs w:val="23"/>
                <w:color w:val="auto"/>
              </w:rPr>
            </w:pPr>
          </w:p>
        </w:tc>
        <w:tc>
          <w:tcPr>
            <w:tcW w:w="9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0</w:t>
            </w:r>
          </w:p>
        </w:tc>
        <w:tc>
          <w:tcPr>
            <w:tcW w:w="9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Leadership Diversity</w:t>
            </w:r>
          </w:p>
        </w:tc>
        <w:tc>
          <w:tcPr>
            <w:tcW w:w="3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not made any determination on the diversity of our leadership team as of December 31,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Christian Schmid and Anette Schmid are siblings.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Board Members</w:t>
      </w:r>
    </w:p>
    <w:p>
      <w:pPr>
        <w:spacing w:after="0" w:line="148" w:lineRule="exact"/>
        <w:rPr>
          <w:sz w:val="20"/>
          <w:szCs w:val="20"/>
          <w:color w:val="auto"/>
        </w:rPr>
      </w:pPr>
    </w:p>
    <w:p>
      <w:pPr>
        <w:jc w:val="both"/>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Adoption of Clawback Policy</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Rule 10D-1 promulgated under the Exchange Act and Nasdaq Listing Rule 5608, we adopted an Incentive Compensation Recoupment Policy which is filed herewith as Exhibit 99.2.</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Arrangements with Executive Officers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Christian Schmid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Schmid’s fixed compensation as CEO of the Company was approved by resolution as pf April 30,</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2024 and includes:</w:t>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 annual fixed amount of EUR 626,373 and an annual fee of EUR 70,000;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allowances of schooling costs, travelling expenses and a company car, if requested by Mr. Schmid.</w:t>
      </w:r>
    </w:p>
    <w:p>
      <w:pPr>
        <w:spacing w:after="0" w:line="94"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Mr. Schmid’s variable compensation for 2025 was set by the Compensation Committee and included the following short-term and long-term incentive plans:</w:t>
      </w:r>
    </w:p>
    <w:p>
      <w:pPr>
        <w:spacing w:after="0" w:line="54" w:lineRule="exact"/>
        <w:rPr>
          <w:sz w:val="20"/>
          <w:szCs w:val="20"/>
          <w:color w:val="auto"/>
        </w:rPr>
      </w:pPr>
    </w:p>
    <w:p>
      <w:pPr>
        <w:ind w:left="1800" w:right="55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targets refer to one-year periods, with targets set by the Board on the Company’s EBIT, operating free cash flow and on ESG targets, with the possibility of between 0% – 200% achievement. 100% achievement entitles Mr. Schmid to additional remuneration of €500,000, while the maximum remuneration is capped at €900,000;</w:t>
      </w:r>
    </w:p>
    <w:p>
      <w:pPr>
        <w:spacing w:after="0" w:line="85"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targets refer to three-year periods, with targets set by the Board on the Company’s relative total shareholder returns, return on capital employed and on ESG targets, with the possibility of between 0% – 200% achievement. 100% achievement entitles Mr. Schmid to additional remuneration of €500,000, while the maximum remuneration is capped at €1,000,000.</w:t>
      </w:r>
    </w:p>
    <w:p>
      <w:pPr>
        <w:spacing w:after="0" w:line="9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targets set for the short-term and long-term incentive plans were not reached in 2025 and as a result no payments were made thereunder.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Arthur Schuetz Compensation</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Arthur Schuetz has been appointed as CFO in December 2025 and has served as CFO since January 1, 2026.</w:t>
      </w:r>
    </w:p>
    <w:p>
      <w:pPr>
        <w:spacing w:after="0" w:line="94"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w:t>
      </w:r>
    </w:p>
    <w:p>
      <w:pPr>
        <w:spacing w:after="0" w:line="4"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Julia Natterer Compensation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Julia Natterer served as CFO of the Company until January 1, 2026.</w:t>
      </w:r>
    </w:p>
    <w:p>
      <w:pPr>
        <w:spacing w:after="0" w:line="131" w:lineRule="exact"/>
        <w:rPr>
          <w:sz w:val="20"/>
          <w:szCs w:val="20"/>
          <w:color w:val="auto"/>
        </w:rPr>
      </w:pPr>
    </w:p>
    <w:p>
      <w:pPr>
        <w:ind w:left="1800" w:right="539" w:hanging="180"/>
        <w:spacing w:after="0" w:line="282"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fixed amount of EUR 195,612 until April 1, 2025 when it was increased to EUR 196,812, and an annual service fee of EUR 35,000;</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short-term bonus of up to 50% of the annual fixed amount, based (i) on the Company’s consolidated EBIT margin, and (ii) certain individual targets as follows: (i) EUR 4,500 for</w:t>
      </w:r>
    </w:p>
    <w:p>
      <w:pPr>
        <w:ind w:left="180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additional allowances: a company car, if requested by Ms. Julia Natterer.</w:t>
      </w:r>
    </w:p>
    <w:p>
      <w:pPr>
        <w:spacing w:after="0" w:line="15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Currently Arthur Schuetz serves as CFO of the Company and Ms. Natterer is CFO of Gebr. Schmid GmbH.</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Helmut Rauch Compensation</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Company and Helmut Rauch, the COO (employed on the level of Gebr. Schmid GmbH with no executive function at the level of SCHMID Group N.V.), agreed in 2025 that Mr. Rauch would receive shares in the Company as part of his remuneration 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Christian Schmid Service Agreements</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In April 2024, the Company entered into a services agreement with Christian Schmid. The services agreement provides for, among other things, a service fee of €70,000.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Julia Natterer Service Agreement</w:t>
      </w:r>
    </w:p>
    <w:p>
      <w:pPr>
        <w:spacing w:after="0" w:line="148"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In April 2024, the Company entered into a services agreement with Julia Natterer. The services agreement provided for, among other things, a service fee of €35,000.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Non-Executive Director Compensation</w:t>
      </w:r>
    </w:p>
    <w:p>
      <w:pPr>
        <w:spacing w:after="0" w:line="162" w:lineRule="exact"/>
        <w:rPr>
          <w:sz w:val="20"/>
          <w:szCs w:val="20"/>
          <w:color w:val="auto"/>
        </w:rPr>
      </w:pPr>
    </w:p>
    <w:p>
      <w:pPr>
        <w:ind w:left="1260" w:right="71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w:t>
      </w:r>
    </w:p>
    <w:p>
      <w:pPr>
        <w:spacing w:after="0" w:line="81"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Stefan Berger: EUR 90,000;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Ralf Speth: EUR 165,000;</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Annedore Streyl: EUR 115,000;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Boo-Keun Yoon: EUR 90,000,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Anette Schmid:</w:t>
      </w:r>
    </w:p>
    <w:p>
      <w:pPr>
        <w:spacing w:after="0" w:line="13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Anette Schmid will receive a fixed annual fee of EUR 95,000;</w:t>
      </w:r>
    </w:p>
    <w:p>
      <w:pPr>
        <w:spacing w:after="0" w:line="117" w:lineRule="exact"/>
        <w:rPr>
          <w:rFonts w:ascii="Times New Roman" w:cs="Times New Roman" w:eastAsia="Times New Roman" w:hAnsi="Times New Roman"/>
          <w:sz w:val="18"/>
          <w:szCs w:val="18"/>
          <w:color w:val="auto"/>
        </w:rPr>
      </w:pPr>
    </w:p>
    <w:p>
      <w:pPr>
        <w:ind w:left="2160" w:right="619" w:hanging="180"/>
        <w:spacing w:after="0" w:line="258" w:lineRule="auto"/>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w:t>
      </w:r>
    </w:p>
    <w:p>
      <w:pPr>
        <w:spacing w:after="0" w:line="75" w:lineRule="exact"/>
        <w:rPr>
          <w:rFonts w:ascii="Times New Roman" w:cs="Times New Roman" w:eastAsia="Times New Roman" w:hAnsi="Times New Roman"/>
          <w:sz w:val="18"/>
          <w:szCs w:val="18"/>
          <w:color w:val="auto"/>
        </w:rPr>
      </w:pPr>
    </w:p>
    <w:p>
      <w:pPr>
        <w:ind w:left="2160" w:right="479" w:hanging="180"/>
        <w:spacing w:after="0" w:line="282" w:lineRule="auto"/>
        <w:tabs>
          <w:tab w:leader="none" w:pos="21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short-term bonus of up to 50% of the annual base salary based on the Company’s consolidated EBIT margin and certain individual targets set out by the management: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520" w:right="859" w:hanging="180"/>
        <w:spacing w:after="0" w:line="266" w:lineRule="auto"/>
        <w:tabs>
          <w:tab w:leader="none" w:pos="2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Anette Schmid will receive EUR 10,000 for each percentage point of consolidated EBIT margin achieved by the Company (on a pro rata basis, i.e. if the Company’s consolidated EBIT margin is 1.5%, Ms Anette Schmid will receive EUR 15,000); and</w:t>
      </w:r>
    </w:p>
    <w:p>
      <w:pPr>
        <w:spacing w:after="0" w:line="67" w:lineRule="exact"/>
        <w:rPr>
          <w:rFonts w:ascii="Times New Roman" w:cs="Times New Roman" w:eastAsia="Times New Roman" w:hAnsi="Times New Roman"/>
          <w:sz w:val="18"/>
          <w:szCs w:val="18"/>
          <w:color w:val="auto"/>
        </w:rPr>
      </w:pPr>
    </w:p>
    <w:p>
      <w:pPr>
        <w:ind w:left="2520" w:right="439" w:hanging="180"/>
        <w:spacing w:after="0" w:line="261" w:lineRule="auto"/>
        <w:tabs>
          <w:tab w:leader="none" w:pos="2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w:t>
      </w:r>
    </w:p>
    <w:p>
      <w:pPr>
        <w:spacing w:after="0" w:line="71" w:lineRule="exact"/>
        <w:rPr>
          <w:rFonts w:ascii="Times New Roman" w:cs="Times New Roman" w:eastAsia="Times New Roman" w:hAnsi="Times New Roman"/>
          <w:sz w:val="18"/>
          <w:szCs w:val="18"/>
          <w:color w:val="auto"/>
        </w:rPr>
      </w:pPr>
    </w:p>
    <w:p>
      <w:pPr>
        <w:ind w:left="2520" w:right="499" w:hanging="180"/>
        <w:spacing w:after="0" w:line="261" w:lineRule="auto"/>
        <w:tabs>
          <w:tab w:leader="none" w:pos="25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w:t>
      </w:r>
    </w:p>
    <w:p>
      <w:pPr>
        <w:spacing w:after="0" w:line="71"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car, if requested by Ms Anette Schmid.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Home Country Compliance</w:t>
      </w:r>
    </w:p>
    <w:p>
      <w:pPr>
        <w:spacing w:after="0" w:line="14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Board Practices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162" w:lineRule="exact"/>
        <w:rPr>
          <w:sz w:val="20"/>
          <w:szCs w:val="20"/>
          <w:color w:val="auto"/>
        </w:rPr>
      </w:pPr>
    </w:p>
    <w:p>
      <w:pPr>
        <w:jc w:val="both"/>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 executive directors. The executive directors must in due time provide the non-executive directors with the information they need to carry out their duties.</w:t>
      </w:r>
    </w:p>
    <w:p>
      <w:pPr>
        <w:spacing w:after="0" w:line="114" w:lineRule="exact"/>
        <w:rPr>
          <w:sz w:val="20"/>
          <w:szCs w:val="20"/>
          <w:color w:val="auto"/>
        </w:rPr>
      </w:pPr>
    </w:p>
    <w:p>
      <w:pPr>
        <w:jc w:val="both"/>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The Board consists of one executive director and five non-executive directors. The total number of directors, including the number of executive directors and non- executive directors, may be increased or decreased pursuant to a resolution of the Board. The Board is a one-tier board.</w:t>
      </w:r>
    </w:p>
    <w:p>
      <w:pPr>
        <w:spacing w:after="0" w:line="10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w:t>
      </w:r>
    </w:p>
    <w:p>
      <w:pPr>
        <w:spacing w:after="0" w:line="32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General Meeting may at all times overrule the binding nature of each nomination by at least a two-thirds (2/3) majority of the votes cast, provided such majority represents more than half of the issued 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w:t>
      </w:r>
    </w:p>
    <w:p>
      <w:pPr>
        <w:spacing w:after="0" w:line="10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and Officer Qualifications</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Appointment Term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initial Directors have been appointed for four years.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62"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The Board has established three standing committees, including Audit Committee, Compensation Committee and Nomination and Corporate Governance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consists of Dr. Annedore Streyl, Boo-Keun Yoon and Stefan Berger. The audit committee will assist the Board in overseeing the Company’s accounting and financial reporting processes and the audits of its financial statements.</w:t>
      </w:r>
    </w:p>
    <w:p>
      <w:pPr>
        <w:spacing w:after="0" w:line="88"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the appointment, compensation, retention and oversight of the work of SCHMID’s independent registered public accounting firm. The Board has determined that</w:t>
      </w:r>
    </w:p>
    <w:p>
      <w:pPr>
        <w:ind w:left="1260" w:right="479"/>
        <w:spacing w:after="0"/>
        <w:rPr>
          <w:sz w:val="20"/>
          <w:szCs w:val="20"/>
          <w:color w:val="auto"/>
        </w:rPr>
      </w:pPr>
      <w:r>
        <w:rPr>
          <w:rFonts w:ascii="Times New Roman" w:cs="Times New Roman" w:eastAsia="Times New Roman" w:hAnsi="Times New Roman"/>
          <w:sz w:val="18"/>
          <w:szCs w:val="18"/>
          <w:color w:val="auto"/>
        </w:rPr>
        <w:t>Dr. Annedore Streyl satisfies the “independence” requirements set forth in Rule 10A- 3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w:t>
      </w:r>
    </w:p>
    <w:p>
      <w:pPr>
        <w:spacing w:after="0" w:line="120"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is governed by a charter that complies with applicable NASDAQ rules and that is posted on the Company’s website.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ind w:left="1260" w:right="83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w:t>
      </w:r>
    </w:p>
    <w:p>
      <w:pPr>
        <w:spacing w:after="0" w:line="10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is governed by a charter that complies with applicable NASDAQ rules and that is posted on the Company’s website.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Nomination Committee</w:t>
      </w:r>
    </w:p>
    <w:p>
      <w:pPr>
        <w:spacing w:after="0" w:line="16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The nomination and corporate governance committee consists of Dr. Annedore Streyl, Anette Schmid and Ralf Speth. The nomination committee assists the Board in identifying individuals qualified to become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66" w:lineRule="auto"/>
        <w:rPr>
          <w:sz w:val="20"/>
          <w:szCs w:val="20"/>
          <w:color w:val="auto"/>
        </w:rPr>
      </w:pPr>
      <w:r>
        <w:rPr>
          <w:rFonts w:ascii="Times New Roman" w:cs="Times New Roman" w:eastAsia="Times New Roman" w:hAnsi="Times New Roman"/>
          <w:sz w:val="18"/>
          <w:szCs w:val="18"/>
          <w:color w:val="auto"/>
        </w:rPr>
        <w:t>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nomination committee is governed by a charter that is posted on our website.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We have not experienced any work stoppages, and we consider our relationship with our employees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60" w:lineRule="exact"/>
        <w:rPr>
          <w:sz w:val="20"/>
          <w:szCs w:val="20"/>
          <w:color w:val="auto"/>
        </w:rPr>
      </w:pPr>
    </w:p>
    <w:p>
      <w:pPr>
        <w:ind w:left="1260" w:right="519" w:firstLine="360"/>
        <w:spacing w:after="0" w:line="270" w:lineRule="auto"/>
        <w:rPr>
          <w:sz w:val="20"/>
          <w:szCs w:val="20"/>
          <w:color w:val="auto"/>
        </w:rPr>
      </w:pPr>
      <w:r>
        <w:rPr>
          <w:rFonts w:ascii="Times New Roman" w:cs="Times New Roman" w:eastAsia="Times New Roman" w:hAnsi="Times New Roman"/>
          <w:sz w:val="18"/>
          <w:szCs w:val="18"/>
          <w:i w:val="1"/>
          <w:iCs w:val="1"/>
          <w:color w:val="auto"/>
        </w:rPr>
        <w:t>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w:t>
      </w:r>
    </w:p>
    <w:p>
      <w:pPr>
        <w:spacing w:after="0" w:line="10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i w:val="1"/>
          <w:iCs w:val="1"/>
          <w:color w:val="auto"/>
        </w:rPr>
        <w:t>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were incorporated as Pegasus Topco B.V. on February 7, 2023 as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under Dutch law. In connection with the consummation of the Business Combination, we converted into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 w:cs="Times New Roman" w:eastAsia="Times New Roman" w:hAnsi="Times New Roman"/>
          <w:sz w:val="18"/>
          <w:szCs w:val="18"/>
          <w:i w:val="1"/>
          <w:iCs w:val="1"/>
          <w:color w:val="auto"/>
        </w:rPr>
        <w:t>Kamer van Koophandel</w:t>
      </w:r>
      <w:r>
        <w:rPr>
          <w:rFonts w:ascii="Times New Roman" w:cs="Times New Roman" w:eastAsia="Times New Roman" w:hAnsi="Times New Roman"/>
          <w:sz w:val="18"/>
          <w:szCs w:val="18"/>
          <w:color w:val="auto"/>
        </w:rPr>
        <w:t>) in the Netherlands under number 89188276.</w:t>
      </w:r>
    </w:p>
    <w:p>
      <w:pPr>
        <w:spacing w:after="0" w:line="109" w:lineRule="exact"/>
        <w:rPr>
          <w:sz w:val="20"/>
          <w:szCs w:val="20"/>
          <w:color w:val="auto"/>
        </w:rPr>
      </w:pPr>
    </w:p>
    <w:p>
      <w:pPr>
        <w:jc w:val="both"/>
        <w:ind w:left="1260" w:right="959" w:firstLine="360"/>
        <w:spacing w:after="0" w:line="281" w:lineRule="auto"/>
        <w:rPr>
          <w:sz w:val="20"/>
          <w:szCs w:val="20"/>
          <w:color w:val="auto"/>
        </w:rPr>
      </w:pPr>
      <w:r>
        <w:rPr>
          <w:rFonts w:ascii="Times New Roman" w:cs="Times New Roman" w:eastAsia="Times New Roman" w:hAnsi="Times New Roman"/>
          <w:sz w:val="18"/>
          <w:szCs w:val="18"/>
          <w:color w:val="auto"/>
        </w:rPr>
        <w:t>Our ordinary shares are subject to, and have been created under, Dutch law. Set forth below is a summary of relevant information concerning the material provisions of the articles of association and applicable Dutch law.</w:t>
      </w:r>
    </w:p>
    <w:p>
      <w:pPr>
        <w:spacing w:after="0" w:line="94" w:lineRule="exact"/>
        <w:rPr>
          <w:sz w:val="20"/>
          <w:szCs w:val="20"/>
          <w:color w:val="auto"/>
        </w:rPr>
      </w:pPr>
    </w:p>
    <w:p>
      <w:pPr>
        <w:jc w:val="both"/>
        <w:ind w:left="1260" w:right="679" w:firstLine="360"/>
        <w:spacing w:after="0" w:line="300" w:lineRule="auto"/>
        <w:rPr>
          <w:sz w:val="20"/>
          <w:szCs w:val="20"/>
          <w:color w:val="auto"/>
        </w:rPr>
      </w:pPr>
      <w:r>
        <w:rPr>
          <w:rFonts w:ascii="Times New Roman" w:cs="Times New Roman" w:eastAsia="Times New Roman" w:hAnsi="Times New Roman"/>
          <w:sz w:val="18"/>
          <w:szCs w:val="18"/>
          <w:color w:val="auto"/>
        </w:rPr>
        <w:t>Schmid is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Schmid has a one-tier board structure, which consists of six members, one executive director and five non- executive directors.</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The Schmid Group Articles of Association provide for an authorized share capital amounting to €0.01.</w:t>
      </w:r>
    </w:p>
    <w:p>
      <w:pPr>
        <w:spacing w:after="0" w:line="109"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issued share capital of the Company amounts to €649,857.26, divided into 64,985,726 ordinary shares. The authorized share capital of the Company amounts to €1,686,250.00.</w:t>
      </w:r>
    </w:p>
    <w:p>
      <w:pPr>
        <w:spacing w:after="0" w:line="94"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As of the Closing Date, none of the Schmid Group Shares were held by Schmid in treasury. All issued and outstanding Schmid Group Shares are held in registered form. No share certificates may be issued.</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Issued and Outstanding Share Capital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issued and outstanding share capital as of the date of this registration statement consisted of:</w:t>
      </w:r>
    </w:p>
    <w:p>
      <w:pPr>
        <w:spacing w:after="0" w:line="15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64,985,726 Ordinary Shares (including 5,000,000 earn-out shares, which have been issued but have not vested and are subject to cancellation)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Loan, 2026 Convertible Notes, Warrants, 2025 Options and 2026 Warrants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have several outstanding instruments that may be converted, including 2025 Convertible Loan, 2026 Convertible Notes, Warrants, 2025 Options and 2026 Warrants, or exercised for cash or, with respect to certain instruments, on a cashless basis. The shares to be issued in relation to these instruments from time to time by us would amount to an aggregate of up to 54,052,203.</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 Loan Facility with Black Forest Special Situations I</w:t>
      </w:r>
    </w:p>
    <w:p>
      <w:pPr>
        <w:spacing w:after="0" w:line="16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w:t>
      </w:r>
    </w:p>
    <w:p>
      <w:pPr>
        <w:spacing w:after="0" w:line="106"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second tranche of up to €7,500,000 was set to be drawn down early in 2026, but was not utilized due to the Company issuing USD 30 million in convertible notes (see below).</w:t>
      </w:r>
    </w:p>
    <w:p>
      <w:pPr>
        <w:spacing w:after="0" w:line="9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Options Agreement with Black Forest Special Situations I</w:t>
      </w:r>
    </w:p>
    <w:p>
      <w:pPr>
        <w:spacing w:after="0" w:line="16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USD 30 Million 7.00% Senior Convertible Note due 2028 (the 2026 Convertible Notes)</w:t>
      </w:r>
    </w:p>
    <w:p>
      <w:pPr>
        <w:spacing w:after="0" w:line="14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accounts managed by Linden. The notes were issued at 98% of principal amount pursuant an indenture and are to be funded in two tranches: (i) $15.0 million were funded on January 21, 2026 and (ii) 15.0 million were funded following the initial effectiveness of this registration statement covering the resale of the underlying shares in relation to the notes on March 5, 2026.</w:t>
      </w:r>
    </w:p>
    <w:p>
      <w:pPr>
        <w:spacing w:after="0" w:line="337"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Warrants issued in connection with the 2026 Convertible Notes (the 2026 Warrants)</w:t>
      </w:r>
    </w:p>
    <w:p>
      <w:pPr>
        <w:spacing w:after="0" w:line="16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issuance of the notes, the Company also issued warrants to the investor to purchase shares of the Company in an amount determined by reference to the principal amount of the notes. The warrants are exercisable until December 15, 2028, at an exercise price equal to the lower of the applicable fixed premium conversion prices under the notes, exercisable for cash or, at the Company’s election, on a cashless basis. In relation to the first $15.0 million tranche, a total of 1,554,404 warrants at a USD 9.65 exercise price (subject to customary anti -dilution adjustments). Once the second $15.0 million tranche is paid out, the number of warrants will be calculated by dividing $ 15.0 million by the lower of the $9.65 and a fixed premium conversion price (which is 125% of the closing price of the Company’s shares on the date of the effectiveness of the registration statement covering the underlying shares) with the exercise price being also set as the lower of $9.65 or the fixed premium conversion price.</w:t>
      </w:r>
    </w:p>
    <w:p>
      <w:pPr>
        <w:spacing w:after="0" w:line="118"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execution of this investment agreement, the Company also entered into a registration rights agreement to file a registration statement covering the resale of the shares issuable upon conversion of the notes and exercise of the warrants. The Company’s obligations under the notes are guaranteed by its German operating subsidiary, Gebr. Schmid GmbH, subject to applicable German law limitations. The investment agreement and the provisions of the notes and warrants contain customary affirmative and negative covenants, issuer call provisions, change of control protections, mandatory redemption events, and events of default customary for transactions of this type.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execution of the investment agreement, the Company also undertook to hold a shareholders’ meeting authorizing the issuance of the maximum number of underlying shares in relation to the 2026 Warrants and the 2026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2026 Convertible Notes, the Company may also ask shareholders to reauthorize the general 20% authorized capital for other issuances of new Ordinary Shares.</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Warrants in relation to the 2024 Business Combination</w:t>
      </w:r>
    </w:p>
    <w:p>
      <w:pPr>
        <w:spacing w:after="0" w:line="158"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color w:val="auto"/>
        </w:rPr>
        <w:t>For a description of the Public Warrants and Private Warrants, see “</w:t>
      </w:r>
      <w:r>
        <w:rPr>
          <w:rFonts w:ascii="Times New Roman" w:cs="Times New Roman" w:eastAsia="Times New Roman" w:hAnsi="Times New Roman"/>
          <w:sz w:val="18"/>
          <w:szCs w:val="18"/>
          <w:i w:val="1"/>
          <w:iCs w:val="1"/>
          <w:color w:val="auto"/>
        </w:rPr>
        <w:t>Description of Securities —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Securities — Private Warrants</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Authorization of Issuance of Shares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Under Dutch law, shares are issued and rights to subscribe for shares are granted pursuant to a resolution of the General Meeting. The articles of association provide that Shares may be issued pursuant to</w:t>
      </w:r>
    </w:p>
    <w:p>
      <w:pPr>
        <w:ind w:left="1260" w:right="419"/>
        <w:spacing w:after="0" w:line="242" w:lineRule="auto"/>
        <w:tabs>
          <w:tab w:leader="none" w:pos="148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by the General Meeting or (ii) a resolution of the Board, if and insofar as the General Meeting has designated this authority to the Board for a period not exceeding five (5) years. 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w:t>
      </w:r>
    </w:p>
    <w:p>
      <w:pPr>
        <w:spacing w:after="0" w:line="327"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Currently, following the extraordinary shareholders meeting held on December 31, 2025 the Board is authorized to</w:t>
      </w:r>
    </w:p>
    <w:p>
      <w:pPr>
        <w:spacing w:after="0" w:line="95" w:lineRule="exact"/>
        <w:rPr>
          <w:sz w:val="20"/>
          <w:szCs w:val="20"/>
          <w:color w:val="auto"/>
        </w:rPr>
      </w:pPr>
    </w:p>
    <w:p>
      <w:pPr>
        <w:ind w:left="1980" w:right="459" w:hanging="360"/>
        <w:spacing w:after="0" w:line="266"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up to 21,000,000 Ordinary Shares in the Company’s capital in relation to the exercise of warrants and (ii) restrict or exclude pre-emptive rights of existing shareholders in connection with such issuances, in each case for a period of five (5) years (the “</w:t>
      </w:r>
      <w:r>
        <w:rPr>
          <w:rFonts w:ascii="Times New Roman" w:cs="Times New Roman" w:eastAsia="Times New Roman" w:hAnsi="Times New Roman"/>
          <w:sz w:val="18"/>
          <w:szCs w:val="18"/>
          <w:b w:val="1"/>
          <w:bCs w:val="1"/>
          <w:color w:val="auto"/>
        </w:rPr>
        <w:t>Warrants Assumption Delegation”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 w:cs="Times New Roman" w:eastAsia="Times New Roman" w:hAnsi="Times New Roman"/>
          <w:sz w:val="18"/>
          <w:szCs w:val="18"/>
          <w:b w:val="1"/>
          <w:bCs w:val="1"/>
          <w:color w:val="auto"/>
        </w:rPr>
        <w:t>Employee Delegation”</w:t>
      </w:r>
      <w:r>
        <w:rPr>
          <w:rFonts w:ascii="Times New Roman" w:cs="Times New Roman" w:eastAsia="Times New Roman" w:hAnsi="Times New Roman"/>
          <w:sz w:val="18"/>
          <w:szCs w:val="18"/>
          <w:color w:val="auto"/>
        </w:rPr>
        <w:t>); and</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hanging="360"/>
        <w:spacing w:after="0" w:line="258"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 w:cs="Times New Roman" w:eastAsia="Times New Roman" w:hAnsi="Times New Roman"/>
          <w:sz w:val="18"/>
          <w:szCs w:val="18"/>
          <w:b w:val="1"/>
          <w:bCs w:val="1"/>
          <w:color w:val="auto"/>
        </w:rPr>
        <w:t>General Delegation”</w:t>
      </w:r>
      <w:r>
        <w:rPr>
          <w:rFonts w:ascii="Times New Roman" w:cs="Times New Roman" w:eastAsia="Times New Roman" w:hAnsi="Times New Roman"/>
          <w:sz w:val="18"/>
          <w:szCs w:val="18"/>
          <w:color w:val="auto"/>
        </w:rPr>
        <w:t>), with effect from Closing.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of Shares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Under Dutch law, transfers of Shares (other than in book-entry form) require a written deed of transfer and, unless Schmid is a party to the deed of transfer, an acknowledgement by or proper service upon Schmid to be effective.</w:t>
      </w:r>
    </w:p>
    <w:p>
      <w:pPr>
        <w:spacing w:after="0" w:line="10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the revocation thereof, must be made public as required by law and be made available for inspection at our office and the Dutch trade register. The Board adopted such a resolution effective as of the closing of the Business Combination.</w:t>
      </w:r>
    </w:p>
    <w:p>
      <w:pPr>
        <w:spacing w:after="0" w:line="114"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Form of Shares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articles of association, Shares are registered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Purchase and Repurchase of Shares</w:t>
      </w:r>
    </w:p>
    <w:p>
      <w:pPr>
        <w:spacing w:after="0" w:line="148" w:lineRule="exact"/>
        <w:rPr>
          <w:sz w:val="20"/>
          <w:szCs w:val="20"/>
          <w:color w:val="auto"/>
        </w:rPr>
      </w:pPr>
    </w:p>
    <w:p>
      <w:pPr>
        <w:ind w:left="1260" w:right="679" w:firstLine="360"/>
        <w:spacing w:after="0" w:line="264" w:lineRule="auto"/>
        <w:rPr>
          <w:sz w:val="20"/>
          <w:szCs w:val="20"/>
          <w:color w:val="auto"/>
        </w:rPr>
      </w:pPr>
      <w:r>
        <w:rPr>
          <w:rFonts w:ascii="Times New Roman" w:cs="Times New Roman" w:eastAsia="Times New Roman" w:hAnsi="Times New Roman"/>
          <w:sz w:val="18"/>
          <w:szCs w:val="18"/>
          <w:color w:val="auto"/>
        </w:rPr>
        <w:t>Under Dutch law, Schmid may not subscribe for newly issued Shares. Schmid may acquire Shares, subject to applicable provisions and restrictions of Dutch law and the articles of association, to the extent that:</w:t>
      </w:r>
    </w:p>
    <w:p>
      <w:pPr>
        <w:spacing w:after="0" w:line="274"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are fully paid-up;</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capital, reduced by the acquisition price of the Shares, is not less than the sum of the issued and paid-up capital and the reserves to be maintained pursuant to Dutch law or the articles of association;</w:t>
      </w:r>
    </w:p>
    <w:p>
      <w:pPr>
        <w:spacing w:after="0" w:line="54"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transaction contemplated, at least one Share remains outstanding and is not held by Schmid; and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Other than Shares acquired gratuitously (</w:t>
      </w:r>
      <w:r>
        <w:rPr>
          <w:rFonts w:ascii="Times New Roman" w:cs="Times New Roman" w:eastAsia="Times New Roman" w:hAnsi="Times New Roman"/>
          <w:sz w:val="18"/>
          <w:szCs w:val="18"/>
          <w:i w:val="1"/>
          <w:iCs w:val="1"/>
          <w:color w:val="auto"/>
        </w:rPr>
        <w:t>om niet</w:t>
      </w:r>
      <w:r>
        <w:rPr>
          <w:rFonts w:ascii="Times New Roman" w:cs="Times New Roman" w:eastAsia="Times New Roman" w:hAnsi="Times New Roman"/>
          <w:sz w:val="18"/>
          <w:szCs w:val="18"/>
          <w:color w:val="auto"/>
        </w:rPr>
        <w:t>) or under universal title of succession (</w:t>
      </w:r>
      <w:r>
        <w:rPr>
          <w:rFonts w:ascii="Times New Roman" w:cs="Times New Roman" w:eastAsia="Times New Roman" w:hAnsi="Times New Roman"/>
          <w:sz w:val="18"/>
          <w:szCs w:val="18"/>
          <w:i w:val="1"/>
          <w:iCs w:val="1"/>
          <w:color w:val="auto"/>
        </w:rPr>
        <w:t>onder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algemene titel</w:t>
      </w:r>
      <w:r>
        <w:rPr>
          <w:rFonts w:ascii="Times New Roman" w:cs="Times New Roman" w:eastAsia="Times New Roman" w:hAnsi="Times New Roman"/>
          <w:sz w:val="18"/>
          <w:szCs w:val="18"/>
          <w:color w:val="auto"/>
        </w:rPr>
        <w:t>) (e.g., through a merger or demerger) under statutory Dutch or other law, Schmid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w:t>
      </w:r>
    </w:p>
    <w:p>
      <w:pPr>
        <w:spacing w:after="0" w:line="2" w:lineRule="exact"/>
        <w:rPr>
          <w:sz w:val="20"/>
          <w:szCs w:val="20"/>
          <w:color w:val="auto"/>
        </w:rPr>
      </w:pPr>
    </w:p>
    <w:p>
      <w:pPr>
        <w:ind w:left="1260" w:right="839"/>
        <w:spacing w:after="0" w:line="258" w:lineRule="auto"/>
        <w:tabs>
          <w:tab w:leader="none" w:pos="15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(excluding expenses) not less than the nominal value of the shares and not higher than the opening price on NASDAQ on the day of repurchase plus ten percent (10%).</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Capital Reduction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General Meeting may resolve to reduce our issued share capital by (i) cancelling Shares or</w:t>
      </w:r>
    </w:p>
    <w:p>
      <w:pPr>
        <w:spacing w:after="0" w:line="16" w:lineRule="exact"/>
        <w:rPr>
          <w:sz w:val="20"/>
          <w:szCs w:val="20"/>
          <w:color w:val="auto"/>
        </w:rPr>
      </w:pPr>
    </w:p>
    <w:p>
      <w:pPr>
        <w:ind w:left="1260" w:right="579"/>
        <w:spacing w:after="0"/>
        <w:tabs>
          <w:tab w:leader="none" w:pos="15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the capital requires a majority of at least two-thirds of the votes cast, if less than half of the issued capital is represented at the General Meeting.</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Meetings and Voting Rights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w:t>
      </w:r>
    </w:p>
    <w:p>
      <w:pPr>
        <w:spacing w:after="0" w:line="10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w:t>
      </w:r>
    </w:p>
    <w:p>
      <w:pPr>
        <w:spacing w:after="0" w:line="325"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w:t>
      </w:r>
    </w:p>
    <w:p>
      <w:pPr>
        <w:spacing w:after="0" w:line="11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General Meeting is convened by a notice, which includes an agenda stating the items to be</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discussed and the location and time of the General Meeting. For the annual General Meeting, the agenda will generally include, among other things, the management 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w:t>
      </w: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to the DCGC, the Board may invoke a statutory cooling-off period up to a maximum of</w:t>
      </w:r>
    </w:p>
    <w:p>
      <w:pPr>
        <w:spacing w:after="0" w:line="27"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 xml:space="preserve">250 days ( </w:t>
      </w:r>
      <w:r>
        <w:rPr>
          <w:rFonts w:ascii="Times New Roman" w:cs="Times New Roman" w:eastAsia="Times New Roman" w:hAnsi="Times New Roman"/>
          <w:sz w:val="18"/>
          <w:szCs w:val="18"/>
          <w:i w:val="1"/>
          <w:iCs w:val="1"/>
          <w:color w:val="auto"/>
        </w:rPr>
        <w:t>wettelijke bedenktijd</w:t>
      </w:r>
      <w:r>
        <w:rPr>
          <w:rFonts w:ascii="Times New Roman" w:cs="Times New Roman" w:eastAsia="Times New Roman" w:hAnsi="Times New Roman"/>
          <w:sz w:val="18"/>
          <w:szCs w:val="18"/>
          <w:color w:val="auto"/>
        </w:rPr>
        <w:t>) as set out in the Dutch Civil Code. For the Company, the statutory cooling-off period will apply in case:</w:t>
      </w:r>
    </w:p>
    <w:p>
      <w:pPr>
        <w:spacing w:after="0" w:line="72" w:lineRule="exact"/>
        <w:rPr>
          <w:sz w:val="20"/>
          <w:szCs w:val="20"/>
          <w:color w:val="auto"/>
        </w:rPr>
      </w:pPr>
    </w:p>
    <w:p>
      <w:pPr>
        <w:ind w:left="1800" w:right="63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requesting the Board to have the General Meeting consider a proposal for the appointment, suspension or dismissal of one or more directors, or a proposal for the amendment of one or more provisions in the articles of association relating thereto; or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offer for shares in the capital of the Company is announced or made without the bidder and the Company having been reached agreement about the offer; and</w:t>
      </w:r>
    </w:p>
    <w:p>
      <w:pPr>
        <w:spacing w:after="0" w:line="40"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the Board also considers the relevant situation to be substantially contrary to the interests of the Company and its affiliated enterprises.</w:t>
      </w:r>
    </w:p>
    <w:p>
      <w:pPr>
        <w:spacing w:after="0" w:line="9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If the Board invokes such cooling-off period, this causes the powers of the General Meeting to appoint, suspend or dismiss directors (and to amend the articles of association in this respect) being suspended.</w:t>
      </w:r>
    </w:p>
    <w:p>
      <w:pPr>
        <w:spacing w:after="0" w:line="9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 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cooling-off period has a maximum term of 250 days, calculated from:</w:t>
      </w:r>
    </w:p>
    <w:p>
      <w:pPr>
        <w:spacing w:after="0" w:line="104" w:lineRule="exact"/>
        <w:rPr>
          <w:sz w:val="20"/>
          <w:szCs w:val="20"/>
          <w:color w:val="auto"/>
        </w:rPr>
      </w:pPr>
    </w:p>
    <w:p>
      <w:pPr>
        <w:ind w:left="1800" w:right="47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after the latest date on which shareholders may request an item to be placed on the agenda of the next General Meeting (which is 60 days before the day of the meeting);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after the day on which the public offer is made; or</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the court in preliminary relief proceedings has granted authority to shareholders holding at least 10% of the issued share capital to convoke a General Meeting.</w:t>
      </w:r>
    </w:p>
    <w:p>
      <w:pPr>
        <w:spacing w:after="0" w:line="94"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All shareholders who solely or jointly hold 3% of the issued share capital may request the Enterprise Chamber of the Court of Appeal in Amsterdam (</w:t>
      </w:r>
      <w:r>
        <w:rPr>
          <w:rFonts w:ascii="Times New Roman" w:cs="Times New Roman" w:eastAsia="Times New Roman" w:hAnsi="Times New Roman"/>
          <w:sz w:val="18"/>
          <w:szCs w:val="18"/>
          <w:i w:val="1"/>
          <w:iCs w:val="1"/>
          <w:color w:val="auto"/>
        </w:rPr>
        <w:t>Ondernemingskamer van het Gerechtshof te Amsterdam</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“Enterprise Chamber”) to terminate the cooling-off period. The Enterprise Chamber must rule in favor of the request if the shareholders can demonstrate that:</w:t>
      </w:r>
    </w:p>
    <w:p>
      <w:pPr>
        <w:spacing w:after="0" w:line="54" w:lineRule="exact"/>
        <w:rPr>
          <w:sz w:val="20"/>
          <w:szCs w:val="20"/>
          <w:color w:val="auto"/>
        </w:rPr>
      </w:pPr>
    </w:p>
    <w:p>
      <w:pPr>
        <w:jc w:val="both"/>
        <w:ind w:left="1800" w:right="55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cannot reasonably believe that a continuation of the cooling-off period would contribute to careful policy-making; and</w:t>
      </w:r>
    </w:p>
    <w:p>
      <w:pPr>
        <w:spacing w:after="0" w:line="53"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w:t>
      </w:r>
    </w:p>
    <w:p>
      <w:pPr>
        <w:spacing w:after="0" w:line="95"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w:t>
      </w:r>
    </w:p>
    <w:p>
      <w:pPr>
        <w:spacing w:after="0" w:line="110"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Holders of registered shares may further be provided notice of the meeting in writing at their addresses as stated in our shareholders’ register.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articles of association and Dutch law, the Board may determine a record date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registratiedatum</w:t>
      </w:r>
      <w:r>
        <w:rPr>
          <w:rFonts w:ascii="Times New Roman" w:cs="Times New Roman" w:eastAsia="Times New Roman" w:hAnsi="Times New Roman"/>
          <w:sz w:val="18"/>
          <w:szCs w:val="18"/>
          <w:color w:val="auto"/>
        </w:rPr>
        <w:t>) of 28 calendar days prior to a General Meeting to establish which shareholders and others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 meeting rights are entitled to attend and, if applicable, vote at the General Meeting. The record date, if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and the manner in which shareholders can register and exercise their rights will be set out in the notice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General Meeting.</w:t>
      </w:r>
    </w:p>
    <w:p>
      <w:pPr>
        <w:spacing w:after="0" w:line="139"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accordance with Dutch law and the articles of association, and in each case without prejudice to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Voting Cap (as defined hereinafter) being applicable to any shareholder:</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each Ordinary Share confers the right to cast 1 vote in a General Meeting.</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w:t>
      </w:r>
    </w:p>
    <w:p>
      <w:pPr>
        <w:spacing w:after="0" w:line="106"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Voting rights may be exercised by shareholders or by a duly appointed proxy holder (the written proxy being acceptable to the chairman of the General Meeting) of a shareholder, which proxy holder does not need to be a shareholder.</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Under the articles of association, blank votes (votes where no choice has been made) and invalid votes shall not be counted as votes cast.</w:t>
      </w:r>
    </w:p>
    <w:p>
      <w:pPr>
        <w:spacing w:after="0" w:line="9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w:t>
      </w:r>
    </w:p>
    <w:p>
      <w:pPr>
        <w:spacing w:after="0" w:line="99" w:lineRule="exact"/>
        <w:rPr>
          <w:sz w:val="20"/>
          <w:szCs w:val="20"/>
          <w:color w:val="auto"/>
        </w:rPr>
      </w:pPr>
    </w:p>
    <w:p>
      <w:pPr>
        <w:ind w:left="1980" w:right="519" w:hanging="360"/>
        <w:spacing w:after="0" w:line="261"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w:t>
      </w:r>
    </w:p>
    <w:p>
      <w:pPr>
        <w:spacing w:after="0" w:line="85"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 subsections j, n, s, aa, bb, dd, mm or nn;</w:t>
      </w:r>
    </w:p>
    <w:p>
      <w:pPr>
        <w:spacing w:after="0" w:line="130"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 paragraph 2 or paragraph 3, to the extent it concerns a change of the nominal value of the Shares;</w:t>
      </w:r>
    </w:p>
    <w:p>
      <w:pPr>
        <w:spacing w:after="0" w:line="6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4A;</w:t>
      </w:r>
    </w:p>
    <w:p>
      <w:pPr>
        <w:spacing w:after="0" w:line="13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7 paragraph 1 or paragraph 2;</w:t>
      </w:r>
    </w:p>
    <w:p>
      <w:pPr>
        <w:spacing w:after="0" w:line="13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16 paragraph 10, paragraph 11 or paragraph 12;</w:t>
      </w:r>
    </w:p>
    <w:p>
      <w:pPr>
        <w:spacing w:after="0" w:line="13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22 paragraph 5;</w:t>
      </w:r>
    </w:p>
    <w:p>
      <w:pPr>
        <w:spacing w:after="0" w:line="13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26 paragraph 4; and</w:t>
      </w:r>
    </w:p>
    <w:p>
      <w:pPr>
        <w:spacing w:after="0" w:line="171" w:lineRule="exact"/>
        <w:rPr>
          <w:rFonts w:ascii="Times New Roman" w:cs="Times New Roman" w:eastAsia="Times New Roman" w:hAnsi="Times New Roman"/>
          <w:sz w:val="18"/>
          <w:szCs w:val="18"/>
          <w:color w:val="auto"/>
        </w:rPr>
      </w:pPr>
    </w:p>
    <w:p>
      <w:pPr>
        <w:ind w:left="1980" w:right="459" w:hanging="360"/>
        <w:spacing w:after="0" w:line="261"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of Articles of Association — Merger, Demerger and Dissolution</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Squeeze Out</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shareholder who for its own account (or together with its group companies) holds at least 95% of our issued share capital may institute proceedings against the other shareholders jointly for the transfer of 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shall give written notice of the date and place of payment and the price to the holders of the shares to be acquired whose addresses are known to the majority shareholder.</w:t>
      </w:r>
    </w:p>
    <w:p>
      <w:pPr>
        <w:spacing w:after="0" w:line="340" w:lineRule="exact"/>
        <w:rPr>
          <w:sz w:val="20"/>
          <w:szCs w:val="20"/>
          <w:color w:val="auto"/>
        </w:rPr>
      </w:pPr>
    </w:p>
    <w:p>
      <w:pPr>
        <w:jc w:val="both"/>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Unless the addresses of all minority shareholders are known to the majority shareholder acquiring the shares, the majority shareholder is required to publish the same in a newspaper with a national circulation.</w:t>
      </w:r>
    </w:p>
    <w:p>
      <w:pPr>
        <w:spacing w:after="0" w:line="79"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color w:val="auto"/>
        </w:rPr>
        <w:t>Any sale or transfer of all of our assets (see “</w:t>
      </w:r>
      <w:r>
        <w:rPr>
          <w:rFonts w:ascii="Times New Roman" w:cs="Times New Roman" w:eastAsia="Times New Roman" w:hAnsi="Times New Roman"/>
          <w:sz w:val="18"/>
          <w:szCs w:val="18"/>
          <w:i w:val="1"/>
          <w:iCs w:val="1"/>
          <w:color w:val="auto"/>
        </w:rPr>
        <w:t>Certain Other Major Transactions</w:t>
      </w:r>
      <w:r>
        <w:rPr>
          <w:rFonts w:ascii="Times New Roman" w:cs="Times New Roman" w:eastAsia="Times New Roman" w:hAnsi="Times New Roman"/>
          <w:sz w:val="18"/>
          <w:szCs w:val="18"/>
          <w:color w:val="auto"/>
        </w:rPr>
        <w:t>” below) and our dissolution or liquidation is subject to approval by a majority of the votes cast in our General Meeting (see “</w:t>
      </w:r>
      <w:r>
        <w:rPr>
          <w:rFonts w:ascii="Times New Roman" w:cs="Times New Roman" w:eastAsia="Times New Roman" w:hAnsi="Times New Roman"/>
          <w:sz w:val="18"/>
          <w:szCs w:val="18"/>
          <w:i w:val="1"/>
          <w:iCs w:val="1"/>
          <w:color w:val="auto"/>
        </w:rPr>
        <w:t>Amendment of Articles of Association — Merger, Demerger and Dissolution”</w:t>
      </w:r>
      <w:r>
        <w:rPr>
          <w:rFonts w:ascii="Times New Roman" w:cs="Times New Roman" w:eastAsia="Times New Roman" w:hAnsi="Times New Roman"/>
          <w:sz w:val="18"/>
          <w:szCs w:val="18"/>
          <w:color w:val="auto"/>
        </w:rPr>
        <w:t xml:space="preserve"> above).</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Other Major Transactions</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articles of association and Dutch law provide that resolutions of the Board concerning a material change in our identity, character or business are subject to the approval of the General Meeting. Such changes include:</w:t>
      </w:r>
    </w:p>
    <w:p>
      <w:pPr>
        <w:spacing w:after="0" w:line="68"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all or materially all of our business/enterprise to a third party;</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will give notice of each General Meeting by publication on our website and, to the extent required by applicable law, in a Dutch daily newspaper with national distribution, and in any other manner that we</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may be required to follow to comply with Dutch law and applicable stock exchange and SEC requirements. Holders of registered shares may further be provided notice of the meeting in writing at their addresses as stated in our shareholders’ register.</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w:t>
      </w:r>
    </w:p>
    <w:p>
      <w:pPr>
        <w:spacing w:after="0" w:line="110"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 w:cs="Times New Roman" w:eastAsia="Times New Roman" w:hAnsi="Times New Roman"/>
          <w:sz w:val="18"/>
          <w:szCs w:val="18"/>
          <w:i w:val="1"/>
          <w:iCs w:val="1"/>
          <w:color w:val="auto"/>
        </w:rPr>
        <w:t>verjaring</w:t>
      </w:r>
      <w:r>
        <w:rPr>
          <w:rFonts w:ascii="Times New Roman" w:cs="Times New Roman" w:eastAsia="Times New Roman" w:hAnsi="Times New Roman"/>
          <w:sz w:val="18"/>
          <w:szCs w:val="18"/>
          <w:color w:val="auto"/>
        </w:rPr>
        <w:t>). We do not anticipate paying any dividends on Shares for the foreseeable future. See the section entitled “</w:t>
      </w:r>
      <w:r>
        <w:rPr>
          <w:rFonts w:ascii="Times New Roman" w:cs="Times New Roman" w:eastAsia="Times New Roman" w:hAnsi="Times New Roman"/>
          <w:sz w:val="18"/>
          <w:szCs w:val="18"/>
          <w:i w:val="1"/>
          <w:iCs w:val="1"/>
          <w:color w:val="auto"/>
        </w:rPr>
        <w:t>Dividend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Policy</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Controls and other Provisions relating to non-Dutch Shareholders</w:t>
      </w:r>
    </w:p>
    <w:p>
      <w:pPr>
        <w:spacing w:after="0" w:line="16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Under Dutch law, subject to the 1977 Sanction Act (</w:t>
      </w:r>
      <w:r>
        <w:rPr>
          <w:rFonts w:ascii="Times New Roman" w:cs="Times New Roman" w:eastAsia="Times New Roman" w:hAnsi="Times New Roman"/>
          <w:sz w:val="18"/>
          <w:szCs w:val="18"/>
          <w:i w:val="1"/>
          <w:iCs w:val="1"/>
          <w:color w:val="auto"/>
        </w:rPr>
        <w:t>Sanctiewet 1977</w:t>
      </w:r>
      <w:r>
        <w:rPr>
          <w:rFonts w:ascii="Times New Roman" w:cs="Times New Roman" w:eastAsia="Times New Roman" w:hAnsi="Times New Roman"/>
          <w:sz w:val="18"/>
          <w:szCs w:val="18"/>
          <w:color w:val="auto"/>
        </w:rPr>
        <w:t>)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date of this registration statement, there were 11,250,000 Public Warrants outstanding.</w:t>
      </w:r>
    </w:p>
    <w:p>
      <w:pPr>
        <w:spacing w:after="0" w:line="158"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w:t>
      </w:r>
    </w:p>
    <w:p>
      <w:pPr>
        <w:spacing w:after="0" w:line="11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w:t>
      </w:r>
    </w:p>
    <w:p>
      <w:pPr>
        <w:spacing w:after="0" w:line="327"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w:t>
      </w:r>
    </w:p>
    <w:p>
      <w:pPr>
        <w:spacing w:after="0" w:line="4" w:lineRule="exact"/>
        <w:rPr>
          <w:sz w:val="20"/>
          <w:szCs w:val="20"/>
          <w:color w:val="auto"/>
        </w:rPr>
      </w:pPr>
    </w:p>
    <w:p>
      <w:pPr>
        <w:ind w:left="1260" w:right="939"/>
        <w:spacing w:after="0" w:line="260" w:lineRule="auto"/>
        <w:rPr>
          <w:sz w:val="20"/>
          <w:szCs w:val="20"/>
          <w:color w:val="auto"/>
        </w:rPr>
      </w:pPr>
      <w:r>
        <w:rPr>
          <w:rFonts w:ascii="Times New Roman" w:cs="Times New Roman" w:eastAsia="Times New Roman" w:hAnsi="Times New Roman"/>
          <w:sz w:val="18"/>
          <w:szCs w:val="18"/>
          <w:color w:val="auto"/>
        </w:rPr>
        <w:t>Section 3(a)(9) of the Securities Act and, in the event we so appoint, we will not be required to file or maintain</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Redemption of Public Warrants for cash when the price per Ordinary Share equals or exceeds $18.00.</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may call the outstanding Public Warrants for redemption:</w:t>
      </w:r>
    </w:p>
    <w:p>
      <w:pPr>
        <w:spacing w:after="0" w:line="84"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Public Warrant holder; and</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for any 20 trading days within a 30-trading day period ending on the third trading day prior to the date on which notice of the redemption is given to the Public Warrant holders (the “Reference Value”) equals or exceeds $18.00 per share (subject to adjustment as described below).</w:t>
      </w:r>
    </w:p>
    <w:p>
      <w:pPr>
        <w:spacing w:after="0" w:line="11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applicable state securities laws. As a result, we may redeem the Public Warrants as set forth above even if the holders are otherwise unable to exercise the Public Warrants.</w:t>
      </w:r>
    </w:p>
    <w:p>
      <w:pPr>
        <w:spacing w:after="0" w:line="11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Public Warrant holder will be entitled to exercise his, her or its Public Warrant prior to the scheduled redemption date.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Redemption of Public Warrants for cash when the price per Ordinary Share equals or exceeds $10.00</w:t>
      </w:r>
      <w:r>
        <w:rPr>
          <w:rFonts w:ascii="Times New Roman" w:cs="Times New Roman" w:eastAsia="Times New Roman" w:hAnsi="Times New Roman"/>
          <w:sz w:val="18"/>
          <w:szCs w:val="18"/>
          <w:color w:val="auto"/>
        </w:rPr>
        <w: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may redeem the outstanding Public Warrants:</w:t>
      </w:r>
    </w:p>
    <w:p>
      <w:pPr>
        <w:spacing w:after="0" w:line="84"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Ordinary Shares (as defined below);</w:t>
      </w:r>
    </w:p>
    <w:p>
      <w:pPr>
        <w:spacing w:after="0" w:line="71"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equals or exceeds $10.00 per share (subject to adjustment as described below); and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$18.00 per share (subject to adjustment as described below), the Private Warrants must also be concurrently called for redemption on the same terms as the outstanding Public Warrants, as described above.</w:t>
      </w:r>
    </w:p>
    <w:p>
      <w:pPr>
        <w:spacing w:after="0" w:line="95"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w:t>
      </w:r>
    </w:p>
    <w:p>
      <w:pPr>
        <w:spacing w:after="0" w:line="32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share prices set forth in the column headings of the table below will be adjusted as of any date on which the number of Ordinary Shares issuable upon exercise of a Public Warrant or the exercise price of</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19"/>
        <w:spacing w:after="0" w:line="244" w:lineRule="auto"/>
        <w:rPr>
          <w:sz w:val="20"/>
          <w:szCs w:val="20"/>
          <w:color w:val="auto"/>
        </w:rPr>
      </w:pPr>
      <w:r>
        <w:rPr>
          <w:rFonts w:ascii="Times New Roman" w:cs="Times New Roman" w:eastAsia="Times New Roman" w:hAnsi="Times New Roman"/>
          <w:sz w:val="18"/>
          <w:szCs w:val="18"/>
          <w:color w:val="auto"/>
        </w:rPr>
        <w:t>the Public Warrant is adjusted as set forth under the heading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Redemption Date</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13"/>
          </w:tcPr>
          <w:p>
            <w:pPr>
              <w:ind w:left="360"/>
              <w:spacing w:after="0"/>
              <w:rPr>
                <w:sz w:val="20"/>
                <w:szCs w:val="20"/>
                <w:color w:val="auto"/>
              </w:rPr>
            </w:pPr>
            <w:r>
              <w:rPr>
                <w:rFonts w:ascii="Times New Roman" w:cs="Times New Roman" w:eastAsia="Times New Roman" w:hAnsi="Times New Roman"/>
                <w:sz w:val="14"/>
                <w:szCs w:val="14"/>
                <w:b w:val="1"/>
                <w:bCs w:val="1"/>
                <w:color w:val="auto"/>
              </w:rPr>
              <w:t>Fair Market Value of Class A Shares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 to expiration of Public Warrants)</w:t>
            </w:r>
          </w:p>
        </w:tc>
        <w:tc>
          <w:tcPr>
            <w:tcW w:w="700" w:type="dxa"/>
            <w:vAlign w:val="bottom"/>
            <w:gridSpan w:val="2"/>
          </w:tcPr>
          <w:p>
            <w:pPr>
              <w:jc w:val="center"/>
              <w:ind w:righ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≤$10.00</w:t>
            </w:r>
          </w:p>
        </w:tc>
        <w:tc>
          <w:tcPr>
            <w:tcW w:w="5000" w:type="dxa"/>
            <w:vAlign w:val="bottom"/>
            <w:gridSpan w:val="17"/>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$11.00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$12.00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$13.00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$14.00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$15.00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$16.00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$17.00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≥$18.00 </w:t>
            </w:r>
            <w:r>
              <w:rPr>
                <w:rFonts w:ascii="Times New Roman" w:cs="Times New Roman" w:eastAsia="Times New Roman" w:hAnsi="Times New Roman"/>
                <w:sz w:val="27"/>
                <w:szCs w:val="27"/>
                <w:b w:val="1"/>
                <w:bCs w:val="1"/>
                <w:color w:val="auto"/>
                <w:vertAlign w:val="subscript"/>
              </w:rPr>
              <w:t>​</w:t>
            </w:r>
          </w:p>
        </w:tc>
      </w:tr>
      <w:tr>
        <w:trPr>
          <w:trHeight w:val="20"/>
        </w:trPr>
        <w:tc>
          <w:tcPr>
            <w:tcW w:w="2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​0.261</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​​0.281​​ ​​0.297​​ ​​0.311​​ ​​0.324​​ ​​0.337​​ ​​0.348​​ ​​0.358​​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​0.257</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​​0.277​​ ​​0.294​​ ​​0.310​​ ​​0.324​​ ​​0.337​​ ​​0.348​​ ​​0.358​​ ​ ​0.361 </w:t>
            </w:r>
            <w:r>
              <w:rPr>
                <w:rFonts w:ascii="Times New Roman" w:cs="Times New Roman" w:eastAsia="Times New Roman" w:hAnsi="Times New Roman"/>
                <w:sz w:val="18"/>
                <w:szCs w:val="18"/>
                <w:b w:val="1"/>
                <w:bCs w:val="1"/>
                <w:color w:val="auto"/>
              </w:rPr>
              <w:t>​</w:t>
            </w:r>
          </w:p>
        </w:tc>
      </w:tr>
      <w:tr>
        <w:trPr>
          <w:trHeight w:val="257"/>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​0.252</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​​0.272​​ ​​0.291​​ ​​0.307​​ ​​0.322​​ ​​0.335​​ ​​0.347​​ ​​0.357​​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​0.246</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​​0.268​​ ​​0.287​​ ​​0.304​​ ​​0.320​​ ​​0.333​​ ​​0.346​​ ​​0.357​​ ​ ​0.361 </w:t>
            </w:r>
            <w:r>
              <w:rPr>
                <w:rFonts w:ascii="Times New Roman" w:cs="Times New Roman" w:eastAsia="Times New Roman" w:hAnsi="Times New Roman"/>
                <w:sz w:val="18"/>
                <w:szCs w:val="18"/>
                <w:b w:val="1"/>
                <w:bCs w:val="1"/>
                <w:color w:val="auto"/>
              </w:rPr>
              <w:t>​</w:t>
            </w:r>
          </w:p>
        </w:tc>
      </w:tr>
      <w:tr>
        <w:trPr>
          <w:trHeight w:val="257"/>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​0.241</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​​0.263​​ ​​0.283​​ ​​0.301​​ ​​0.317​​ ​​0.332​​ ​​0.344​​ ​​0.356​​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​0.235</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​​0.258​​ ​​0.279​​ ​​0.298​​ ​​0.315​​ ​​0.330​​ ​​0.343​​ ​​0.356​​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​0.228</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​​0.252​​ ​​0.274​​ ​​0.294​​ ​​0.312​​ ​​0.328​​ ​​0.342​​ ​​0.355​​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​0.221</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​​0.246​​ ​​0.269​​ ​​0.290​​ ​​0.309​​ ​​0.325​​ ​​0.340​​ ​​0.354​​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​0.213</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​​0.239​​ ​​0.263​​ ​​0.285​​ ​​0.305​​ ​​0.323​​ ​​0.339​​ ​​0.353​​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​0.205</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​​0.232​​ ​​0.257​​ ​​0.280​​ ​​0.301​​ ​​0.320​​ ​​0.337​​ ​​0.352​​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​0.196</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​​0.224​​ ​​0.250​​ ​​0.274​​ ​​0.297​​ ​​0.316​​ ​​0.335​​ ​​0.351​​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​0.185</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​​0.214​​ ​​0.242​​ ​​0.268​​ ​​0.291​​ ​​0.313​​ ​​0.332​​ ​​0.350​​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​0.173</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​​0.204​​ ​​0.233​​ ​​0.260​​ ​​0.285​​ ​​0.308​​ ​​0.329​​ ​​0.348​​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​0.161</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​​0.193​​ ​​0.223​​ ​​0.252​​ ​​0.279​​ ​​0.304​​ ​​0.326​​ ​​0.347​​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​0.146</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​​0.179​​ ​​0.211​​ ​​0.242​​ ​​0.271​​ ​​0.298​​ ​​0.322​​ ​​0.345​​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​0.130</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​​0.164​​ ​​0.197​​ ​​0.230​​ ​​0.262​​ ​​0.291​​ ​​0.317​​ ​​0.342​​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​0.111</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​​0.146​​ ​​0.181​​ ​​0.216​​ ​​0.250​​ ​​0.282​​ ​​0.312​​ ​​0.339​​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​0.090</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​​0.125​​ ​​0.162​​ ​​0.199​​ ​​0.237​​ ​​0.272​​ ​​0.305​​ ​​0.336​​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​0.065</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​​0.099​​ ​​0.137​​ ​​0.178​​ ​​0.219​​ ​​0.259​​ ​​0.296​​ ​​0.331​​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 ​ ​0.034</w:t>
            </w:r>
          </w:p>
        </w:tc>
        <w:tc>
          <w:tcPr>
            <w:tcW w:w="5000" w:type="dxa"/>
            <w:vAlign w:val="bottom"/>
            <w:gridSpan w:val="17"/>
          </w:tcPr>
          <w:p>
            <w:pPr>
              <w:jc w:val="right"/>
              <w:spacing w:after="0"/>
              <w:rPr>
                <w:sz w:val="20"/>
                <w:szCs w:val="20"/>
                <w:color w:val="auto"/>
              </w:rPr>
            </w:pPr>
            <w:r>
              <w:rPr>
                <w:rFonts w:ascii="Times New Roman" w:cs="Times New Roman" w:eastAsia="Times New Roman" w:hAnsi="Times New Roman"/>
                <w:sz w:val="18"/>
                <w:szCs w:val="18"/>
                <w:color w:val="auto"/>
              </w:rPr>
              <w:t xml:space="preserve">​​ ​​0.065​​ ​​0.104​​ ​​0.150​​ ​​0.197​​ ​​0.243​​ ​​0.286​​ ​​0.326​​ ​ ​0.361 </w:t>
            </w:r>
            <w:r>
              <w:rPr>
                <w:rFonts w:ascii="Times New Roman" w:cs="Times New Roman" w:eastAsia="Times New Roman" w:hAnsi="Times New Roman"/>
                <w:sz w:val="18"/>
                <w:szCs w:val="18"/>
                <w:b w:val="1"/>
                <w:bCs w:val="1"/>
                <w:color w:val="auto"/>
              </w:rPr>
              <w:t>​</w:t>
            </w:r>
          </w:p>
        </w:tc>
      </w:tr>
      <w:tr>
        <w:trPr>
          <w:trHeight w:val="270"/>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7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 ​  —</w:t>
            </w:r>
          </w:p>
        </w:tc>
        <w:tc>
          <w:tcPr>
            <w:tcW w:w="49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 ​​  —​​ ​​0.042​​ ​​0.115​​ ​​0.179​​ ​​0.233​​ ​​0.281​​ ​​0.323​​ ​ ​0.361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-3565525</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-3565525</wp:posOffset>
            </wp:positionV>
            <wp:extent cx="1200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-3565525</wp:posOffset>
            </wp:positionV>
            <wp:extent cx="1200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-3565525</wp:posOffset>
            </wp:positionV>
            <wp:extent cx="12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-3565525</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3637280</wp:posOffset>
            </wp:positionH>
            <wp:positionV relativeFrom="paragraph">
              <wp:posOffset>-3565525</wp:posOffset>
            </wp:positionV>
            <wp:extent cx="120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-3565525</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2865755</wp:posOffset>
            </wp:positionH>
            <wp:positionV relativeFrom="paragraph">
              <wp:posOffset>-3565525</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-3565525</wp:posOffset>
            </wp:positionV>
            <wp:extent cx="120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9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w:t>
      </w:r>
    </w:p>
    <w:p>
      <w:pPr>
        <w:spacing w:after="0" w:line="4"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w:t>
      </w: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the number of Ordinary Shares to be issued to the holder.</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16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w:t>
      </w:r>
    </w:p>
    <w:p>
      <w:pPr>
        <w:spacing w:after="0" w:line="5" w:lineRule="exact"/>
        <w:rPr>
          <w:sz w:val="20"/>
          <w:szCs w:val="20"/>
          <w:color w:val="auto"/>
        </w:rPr>
      </w:pPr>
    </w:p>
    <w:p>
      <w:pPr>
        <w:ind w:left="1260" w:right="419"/>
        <w:spacing w:after="0" w:line="238" w:lineRule="auto"/>
        <w:tabs>
          <w:tab w:leader="none" w:pos="15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ordinary share paid in such rights offering and (y) the historical fair market value. For these purposes, (1)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w:t>
      </w:r>
    </w:p>
    <w:p>
      <w:pPr>
        <w:spacing w:after="0" w:line="2" w:lineRule="exact"/>
        <w:rPr>
          <w:rFonts w:ascii="Times New Roman" w:cs="Times New Roman" w:eastAsia="Times New Roman" w:hAnsi="Times New Roman"/>
          <w:sz w:val="18"/>
          <w:szCs w:val="18"/>
          <w:color w:val="auto"/>
        </w:rPr>
      </w:pPr>
    </w:p>
    <w:p>
      <w:pPr>
        <w:jc w:val="both"/>
        <w:ind w:left="1260" w:right="45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w:t>
      </w:r>
    </w:p>
    <w:p>
      <w:pPr>
        <w:spacing w:after="0" w:line="113"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 (d) 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spacing w:after="0" w:line="12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w:t>
      </w:r>
    </w:p>
    <w:p>
      <w:pPr>
        <w:spacing w:after="0" w:line="114"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14" w:lineRule="exact"/>
        <w:rPr>
          <w:sz w:val="20"/>
          <w:szCs w:val="20"/>
          <w:color w:val="auto"/>
        </w:rPr>
      </w:pPr>
    </w:p>
    <w:p>
      <w:pPr>
        <w:ind w:left="1260" w:right="659" w:firstLine="360"/>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 -5(b)(1) under the Exchange Act) of which such maker is a part, and together with any affiliate or associate of such maker (within the meaning of Rule 12b- 2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 Scholes Warrant Value (as defined in the warrant agreement) of the warrant.</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 of Public Warrant Holders</w:t>
      </w:r>
    </w:p>
    <w:p>
      <w:pPr>
        <w:spacing w:after="0" w:line="162"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Private Warrants</w:t>
      </w:r>
    </w:p>
    <w:p>
      <w:pPr>
        <w:spacing w:after="0" w:line="160" w:lineRule="exact"/>
        <w:rPr>
          <w:sz w:val="20"/>
          <w:szCs w:val="20"/>
          <w:color w:val="auto"/>
        </w:rPr>
      </w:pPr>
    </w:p>
    <w:p>
      <w:pPr>
        <w:ind w:left="1260" w:right="799" w:firstLine="360"/>
        <w:spacing w:after="0" w:line="251" w:lineRule="auto"/>
        <w:rPr>
          <w:sz w:val="20"/>
          <w:szCs w:val="20"/>
          <w:color w:val="auto"/>
        </w:rPr>
      </w:pPr>
      <w:r>
        <w:rPr>
          <w:rFonts w:ascii="Times New Roman" w:cs="Times New Roman" w:eastAsia="Times New Roman" w:hAnsi="Times New Roman"/>
          <w:sz w:val="18"/>
          <w:szCs w:val="18"/>
          <w:color w:val="auto"/>
        </w:rPr>
        <w:t>The Private Warrants are subject to the same terms and conditions outlined above under “</w:t>
      </w:r>
      <w:r>
        <w:rPr>
          <w:rFonts w:ascii="Times New Roman" w:cs="Times New Roman" w:eastAsia="Times New Roman" w:hAnsi="Times New Roman"/>
          <w:sz w:val="18"/>
          <w:szCs w:val="18"/>
          <w:i w:val="1"/>
          <w:iCs w:val="1"/>
          <w:color w:val="auto"/>
        </w:rPr>
        <w:t>—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with the exception that the holders of the Private Warrants agreed in a private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undertaking</w:t>
      </w: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agreement dated January 29, 2024 that (a) any exercise of Private Warrants will only be on a cashless basis (with such condition being waivable by the Company, i.e. if the Company agrees the Private Warrants can be exercised in cash) and (b) once the reference price in relation to the Ordinary Shares of the Company reaches $18.00 all holders of the Private Warrants are required to exercise the Private Warrants on a cashless basis.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Disclosure Obligations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are subject to certain disclosure obligations under Dutch and U.S. law and the rules of Nasdaq. The following is a description of the general disclosure obligations of public companies under Dutch and U.S. law and the rules of Nasdaq as such laws and rules exist as of the date of this document and should not be viewed as legal advice for specific circumstances.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Financial Reporting Under Dutch Law</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Dutch Financial Reporting Supervision Act (</w:t>
      </w:r>
      <w:r>
        <w:rPr>
          <w:rFonts w:ascii="Times New Roman" w:cs="Times New Roman" w:eastAsia="Times New Roman" w:hAnsi="Times New Roman"/>
          <w:sz w:val="18"/>
          <w:szCs w:val="18"/>
          <w:i w:val="1"/>
          <w:iCs w:val="1"/>
          <w:color w:val="auto"/>
        </w:rPr>
        <w:t>Wet toezicht financiële verslaggeving</w:t>
      </w:r>
      <w:r>
        <w:rPr>
          <w:rFonts w:ascii="Times New Roman" w:cs="Times New Roman" w:eastAsia="Times New Roman" w:hAnsi="Times New Roman"/>
          <w:sz w:val="18"/>
          <w:szCs w:val="18"/>
          <w:color w:val="auto"/>
        </w:rPr>
        <w:t>, the “FRSA”)</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applies to our financial reporting. Under the FRSA, the Dutch Authority for the Financial Markets</w:t>
      </w: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Autoriteit Financiële Markten</w:t>
      </w:r>
      <w:r>
        <w:rPr>
          <w:rFonts w:ascii="Times New Roman" w:cs="Times New Roman" w:eastAsia="Times New Roman" w:hAnsi="Times New Roman"/>
          <w:sz w:val="18"/>
          <w:szCs w:val="18"/>
          <w:color w:val="auto"/>
        </w:rPr>
        <w:t>, the “AFM”) supervises the application of financial reporting standards by,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among others, companies whose corporate seats are in the Netherlands and whose securities are listed on a</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regulated market within the EU or on an equivalent third (non-EU) country market. As our corporate seat is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Netherlands and our Ordinary Shares are listed on Nasdaq, the FRSA will be applicable to the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w:t>
      </w:r>
    </w:p>
    <w:p>
      <w:pPr>
        <w:spacing w:after="0" w:line="126" w:lineRule="exact"/>
        <w:rPr>
          <w:sz w:val="20"/>
          <w:szCs w:val="20"/>
          <w:color w:val="auto"/>
        </w:rPr>
      </w:pPr>
    </w:p>
    <w:p>
      <w:pPr>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w:t>
      </w:r>
    </w:p>
    <w:p>
      <w:pPr>
        <w:ind w:left="1260" w:right="479"/>
        <w:spacing w:after="0" w:line="241" w:lineRule="auto"/>
        <w:tabs>
          <w:tab w:leader="none" w:pos="154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Periodic Reporting Under U.S. Securities Law</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 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Nasdaq Rules</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Insider Trading and Market Manipulation Laws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Dutch and U.S. law each contain rules intended to prevent insider trading and market manipulation. The following is a general description of those laws as such laws exist as of the date of this document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Netherlands</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On July 3, 2016, the Regulation (EU) No 596/2014 of the European Parliament and of the Council of April 16, 2014 (the “MAR”) replaced all of the Dutch market abuse rules. It could be that in future the Ordinary Shares will be traded on certain open markets ( </w:t>
      </w:r>
      <w:r>
        <w:rPr>
          <w:rFonts w:ascii="Times New Roman" w:cs="Times New Roman" w:eastAsia="Times New Roman" w:hAnsi="Times New Roman"/>
          <w:sz w:val="18"/>
          <w:szCs w:val="18"/>
          <w:i w:val="1"/>
          <w:iCs w:val="1"/>
          <w:color w:val="auto"/>
        </w:rPr>
        <w:t>Freiverkehr</w:t>
      </w:r>
      <w:r>
        <w:rPr>
          <w:rFonts w:ascii="Times New Roman" w:cs="Times New Roman" w:eastAsia="Times New Roman" w:hAnsi="Times New Roman"/>
          <w:sz w:val="18"/>
          <w:szCs w:val="18"/>
          <w:color w:val="auto"/>
        </w:rPr>
        <w:t>) in Germany (being a member state of the EU). The trading of these Ordinary Shares on certain open markets (</w:t>
      </w:r>
      <w:r>
        <w:rPr>
          <w:rFonts w:ascii="Times New Roman" w:cs="Times New Roman" w:eastAsia="Times New Roman" w:hAnsi="Times New Roman"/>
          <w:sz w:val="18"/>
          <w:szCs w:val="18"/>
          <w:i w:val="1"/>
          <w:iCs w:val="1"/>
          <w:color w:val="auto"/>
        </w:rPr>
        <w:t>Freiverkehr</w:t>
      </w:r>
      <w:r>
        <w:rPr>
          <w:rFonts w:ascii="Times New Roman" w:cs="Times New Roman" w:eastAsia="Times New Roman" w:hAnsi="Times New Roman"/>
          <w:sz w:val="18"/>
          <w:szCs w:val="18"/>
          <w:color w:val="auto"/>
        </w:rPr>
        <w:t>) in Germany can be implemented without our approval. These open markets in Germany are qualified as multilateral trading facilities (“MTFs”) or organized trading facilities (“OTFs”) within the scope of the MAR.</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 w:cs="Times New Roman" w:eastAsia="Times New Roman" w:hAnsi="Times New Roman"/>
          <w:sz w:val="18"/>
          <w:szCs w:val="18"/>
          <w:i w:val="1"/>
          <w:iCs w:val="1"/>
          <w:color w:val="auto"/>
        </w:rPr>
        <w:t>Freiverkehr</w:t>
      </w:r>
      <w:r>
        <w:rPr>
          <w:rFonts w:ascii="Times New Roman" w:cs="Times New Roman" w:eastAsia="Times New Roman" w:hAnsi="Times New Roman"/>
          <w:sz w:val="18"/>
          <w:szCs w:val="18"/>
          <w:color w:val="auto"/>
        </w:rPr>
        <w:t>) in Germany.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United States securities laws generally prohibit any person from trading in a security while in possession of material, non-public information or assisting someone who is engaged in doing the same. The insider trading laws cover not only those who trade 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w:t>
      </w:r>
    </w:p>
    <w:p>
      <w:pPr>
        <w:spacing w:after="0" w:line="12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We have identified those persons working for us who could have access to inside information on a</w:t>
      </w:r>
    </w:p>
    <w:p>
      <w:pPr>
        <w:spacing w:after="0" w:line="16" w:lineRule="exact"/>
        <w:rPr>
          <w:sz w:val="20"/>
          <w:szCs w:val="20"/>
          <w:color w:val="auto"/>
        </w:rPr>
      </w:pPr>
    </w:p>
    <w:p>
      <w:pPr>
        <w:jc w:val="both"/>
        <w:ind w:left="1260" w:right="459"/>
        <w:spacing w:after="0" w:line="246" w:lineRule="auto"/>
        <w:rPr>
          <w:sz w:val="20"/>
          <w:szCs w:val="20"/>
          <w:color w:val="auto"/>
        </w:rPr>
      </w:pPr>
      <w:r>
        <w:rPr>
          <w:rFonts w:ascii="Times New Roman" w:cs="Times New Roman" w:eastAsia="Times New Roman" w:hAnsi="Times New Roman"/>
          <w:sz w:val="18"/>
          <w:szCs w:val="18"/>
          <w:color w:val="auto"/>
        </w:rPr>
        <w:t>regular or incidental basis and have informed such persons of the prohibitions on insider trading and market manipulation imposed by U.S. laws, including the sanctions that can be imposed in the event of a violation of those rules.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Disclosure and Reporting Obligations of Directors, Officers and Shareholders of Schmid</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DCGC</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DCGC is based on a “comply or explain” principle. Accordingly, we are required to disclose in our management report publicly filed in the Netherlands whether or not we are complying with the various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66" w:lineRule="auto"/>
        <w:rPr>
          <w:sz w:val="20"/>
          <w:szCs w:val="20"/>
          <w:color w:val="auto"/>
        </w:rPr>
      </w:pPr>
      <w:r>
        <w:rPr>
          <w:rFonts w:ascii="Times New Roman" w:cs="Times New Roman" w:eastAsia="Times New Roman" w:hAnsi="Times New Roman"/>
          <w:sz w:val="18"/>
          <w:szCs w:val="18"/>
          <w:color w:val="auto"/>
        </w:rPr>
        <w:t>provisions of the DCGC. If we do not comply with one or more of those provisions (e.g., because of a conflicting Nasdaq requirement or U.S. market practice), we are required to explain the reasons for such non-compliance.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Dutch Civil Code</w:t>
      </w:r>
    </w:p>
    <w:p>
      <w:pPr>
        <w:spacing w:after="0" w:line="16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The Dutch Civil Code provides for certain disclosure obligations in our annual accounts. Information on directors’ remuneration and rights to acquire Shares must be disclosed in our annual accounts.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Warrant Agent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w:t>
      </w:r>
    </w:p>
    <w:p>
      <w:pPr>
        <w:spacing w:after="0" w:line="99"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w:t>
      </w:r>
    </w:p>
    <w:p>
      <w:pPr>
        <w:spacing w:after="0" w:line="85"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ordinary shares then outstanding; or</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ordinary shares during the four calendar weeks preceding the filing of a notice on Form 144 with respect to the sale.</w:t>
      </w:r>
    </w:p>
    <w:p>
      <w:pPr>
        <w:spacing w:after="0" w:line="81" w:lineRule="exact"/>
        <w:rPr>
          <w:sz w:val="20"/>
          <w:szCs w:val="20"/>
          <w:color w:val="auto"/>
        </w:rPr>
      </w:pPr>
    </w:p>
    <w:p>
      <w:pPr>
        <w:ind w:left="1260" w:right="113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the Use of Rule 144 by Shell Companies or Former Shell Companies</w:t>
      </w:r>
    </w:p>
    <w:p>
      <w:pPr>
        <w:spacing w:after="0" w:line="162" w:lineRule="exact"/>
        <w:rPr>
          <w:sz w:val="20"/>
          <w:szCs w:val="20"/>
          <w:color w:val="auto"/>
        </w:rPr>
      </w:pPr>
    </w:p>
    <w:p>
      <w:pPr>
        <w:ind w:left="1260" w:right="85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5"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44"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and</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3"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62"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See also Note 37 of our consolidated financial statements included elsewhere in this prospectus for a description of certain transactions with related parties required to be disclosed under IFRS.</w:t>
      </w:r>
    </w:p>
    <w:p>
      <w:pPr>
        <w:spacing w:after="0" w:line="94"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Christian Schmid and Anette Schmid are holders of private warrants and are major shareholders of the Company, see “</w:t>
      </w:r>
      <w:r>
        <w:rPr>
          <w:rFonts w:ascii="Times New Roman" w:cs="Times New Roman" w:eastAsia="Times New Roman" w:hAnsi="Times New Roman"/>
          <w:sz w:val="18"/>
          <w:szCs w:val="18"/>
          <w:i w:val="1"/>
          <w:iCs w:val="1"/>
          <w:color w:val="auto"/>
        </w:rPr>
        <w:t>Principal Securityholders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other members of the Board of the Company (Stefan Berger and Annedore Streyl), its CFO Arthur Schuetz, and third-party investment and advisory professionals. The first tranche consisted of €2,500,000, which were paid out to the Company on December 18, 2025. For more information see “</w:t>
      </w:r>
      <w:r>
        <w:rPr>
          <w:rFonts w:ascii="Times New Roman" w:cs="Times New Roman" w:eastAsia="Times New Roman" w:hAnsi="Times New Roman"/>
          <w:sz w:val="18"/>
          <w:szCs w:val="18"/>
          <w:i w:val="1"/>
          <w:iCs w:val="1"/>
          <w:color w:val="auto"/>
        </w:rPr>
        <w:t>Description of Securities — Share Capital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At the same time as the signing of the two-tranche term loan facility, the Company received a cash injection of €200,000 from Christiane Schmid, a related party to Anette Schmid and Christian Schmid on December 15, 2025. The agreed interest rate is 5% and the loan has a maturity of 15 months. The €200,000 were injected into the Company alongside the Company’s conclusion of the term loan facility described above.</w:t>
      </w:r>
    </w:p>
    <w:p>
      <w:pPr>
        <w:spacing w:after="0" w:line="33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For a description of our remuneration agreements with members of the Board and senior management, see the section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Shareholders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sets forth information regarding the beneficial ownership of Schmid Group Shares by:</w:t>
      </w:r>
    </w:p>
    <w:p>
      <w:pPr>
        <w:spacing w:after="0" w:line="117" w:lineRule="exact"/>
        <w:rPr>
          <w:sz w:val="20"/>
          <w:szCs w:val="20"/>
          <w:color w:val="auto"/>
        </w:rPr>
      </w:pPr>
    </w:p>
    <w:p>
      <w:pPr>
        <w:ind w:left="1800" w:right="71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ordinary shares;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5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w:t>
      </w:r>
    </w:p>
    <w:p>
      <w:pPr>
        <w:spacing w:after="0" w:line="10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w:t>
      </w:r>
    </w:p>
    <w:p>
      <w:pPr>
        <w:spacing w:after="0" w:line="10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business address of each person named below is c/o SCHMID Group., Robert-Bosch-Str. 32-36, 72250 Freudenstadt, Germany.</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June 17, 2026</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3"/>
                <w:szCs w:val="13"/>
                <w:color w:val="auto"/>
              </w:rPr>
            </w:pPr>
          </w:p>
        </w:tc>
        <w:tc>
          <w:tcPr>
            <w:tcW w:w="74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 Voting</w:t>
            </w:r>
          </w:p>
        </w:tc>
        <w:tc>
          <w:tcPr>
            <w:tcW w:w="80" w:type="dxa"/>
            <w:vAlign w:val="bottom"/>
          </w:tcPr>
          <w:p>
            <w:pPr>
              <w:spacing w:after="0"/>
              <w:rPr>
                <w:sz w:val="13"/>
                <w:szCs w:val="13"/>
                <w:color w:val="auto"/>
              </w:rPr>
            </w:pPr>
          </w:p>
        </w:tc>
        <w:tc>
          <w:tcPr>
            <w:tcW w:w="132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 Share Ownership</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Shares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gridSpan w:val="3"/>
          </w:tcPr>
          <w:p>
            <w:pPr>
              <w:ind w:left="60"/>
              <w:spacing w:after="0" w:line="227" w:lineRule="exact"/>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16"/>
                <w:szCs w:val="16"/>
                <w:b w:val="1"/>
                <w:bCs w:val="1"/>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146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(Disposition Power)</w:t>
            </w:r>
            <w:r>
              <w:rPr>
                <w:rFonts w:ascii="Times New Roman" w:cs="Times New Roman" w:eastAsia="Times New Roman" w:hAnsi="Times New Roman"/>
                <w:sz w:val="16"/>
                <w:szCs w:val="16"/>
                <w:b w:val="1"/>
                <w:bCs w:val="1"/>
                <w:color w:val="auto"/>
                <w:vertAlign w:val="superscript"/>
              </w:rPr>
              <w:t>(5)</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8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r>
              <w:rPr>
                <w:rFonts w:ascii="Times New Roman" w:cs="Times New Roman" w:eastAsia="Times New Roman" w:hAnsi="Times New Roman"/>
                <w:sz w:val="23"/>
                <w:szCs w:val="23"/>
                <w:color w:val="auto"/>
                <w:vertAlign w:val="superscript"/>
              </w:rPr>
              <w:t>(1)</w:t>
            </w:r>
          </w:p>
        </w:tc>
        <w:tc>
          <w:tcPr>
            <w:tcW w:w="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Christian Schmid</w:t>
            </w:r>
            <w:r>
              <w:rPr>
                <w:rFonts w:ascii="Times New Roman" w:cs="Times New Roman" w:eastAsia="Times New Roman" w:hAnsi="Times New Roman"/>
                <w:sz w:val="23"/>
                <w:szCs w:val="23"/>
                <w:color w:val="auto"/>
                <w:vertAlign w:val="superscript"/>
              </w:rPr>
              <w:t>(2)(3)</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16,617,337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27.70%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40" w:type="dxa"/>
            <w:vAlign w:val="bottom"/>
          </w:tcPr>
          <w:p>
            <w:pPr>
              <w:ind w:left="80"/>
              <w:spacing w:after="0" w:line="54" w:lineRule="exact"/>
              <w:rPr>
                <w:sz w:val="20"/>
                <w:szCs w:val="20"/>
                <w:color w:val="auto"/>
              </w:rPr>
            </w:pPr>
            <w:r>
              <w:rPr>
                <w:rFonts w:ascii="Times New Roman" w:cs="Times New Roman" w:eastAsia="Times New Roman" w:hAnsi="Times New Roman"/>
                <w:sz w:val="6"/>
                <w:szCs w:val="6"/>
                <w:color w:val="auto"/>
              </w:rPr>
              <w:t>​</w:t>
            </w:r>
          </w:p>
        </w:tc>
        <w:tc>
          <w:tcPr>
            <w:tcW w:w="980" w:type="dxa"/>
            <w:vAlign w:val="bottom"/>
            <w:gridSpan w:val="4"/>
          </w:tcPr>
          <w:p>
            <w:pPr>
              <w:jc w:val="right"/>
              <w:ind w:right="228"/>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7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Anette Schmid</w:t>
            </w:r>
            <w:r>
              <w:rPr>
                <w:rFonts w:ascii="Times New Roman" w:cs="Times New Roman" w:eastAsia="Times New Roman" w:hAnsi="Times New Roman"/>
                <w:sz w:val="23"/>
                <w:szCs w:val="23"/>
                <w:color w:val="auto"/>
                <w:vertAlign w:val="superscript"/>
              </w:rPr>
              <w:t>(2)(3)</w:t>
            </w:r>
          </w:p>
        </w:tc>
        <w:tc>
          <w:tcPr>
            <w:tcW w:w="22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14,740,556</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24.57%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80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color w:val="auto"/>
              </w:rPr>
              <w:t>​</w:t>
            </w:r>
          </w:p>
        </w:tc>
        <w:tc>
          <w:tcPr>
            <w:tcW w:w="980" w:type="dxa"/>
            <w:vAlign w:val="bottom"/>
            <w:gridSpan w:val="4"/>
            <w:shd w:val="clear" w:color="auto" w:fill="CCEEFF"/>
          </w:tcPr>
          <w:p>
            <w:pPr>
              <w:jc w:val="right"/>
              <w:ind w:right="228"/>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78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Prof. Sir Ralf Speth</w:t>
            </w:r>
            <w:r>
              <w:rPr>
                <w:rFonts w:ascii="Times New Roman" w:cs="Times New Roman" w:eastAsia="Times New Roman" w:hAnsi="Times New Roman"/>
                <w:sz w:val="23"/>
                <w:szCs w:val="23"/>
                <w:color w:val="auto"/>
                <w:vertAlign w:val="superscript"/>
              </w:rPr>
              <w:t>(4)</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8"/>
              </w:rPr>
              <w:t>0.31%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980" w:type="dxa"/>
            <w:vAlign w:val="bottom"/>
            <w:gridSpan w:val="4"/>
          </w:tcPr>
          <w:p>
            <w:pPr>
              <w:jc w:val="right"/>
              <w:ind w:right="228"/>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Dr. Stefan Berger</w:t>
            </w:r>
            <w:r>
              <w:rPr>
                <w:rFonts w:ascii="Times New Roman" w:cs="Times New Roman" w:eastAsia="Times New Roman" w:hAnsi="Times New Roman"/>
                <w:sz w:val="23"/>
                <w:szCs w:val="23"/>
                <w:color w:val="auto"/>
                <w:vertAlign w:val="superscript"/>
              </w:rPr>
              <w:t>(4)</w:t>
            </w:r>
          </w:p>
        </w:tc>
        <w:tc>
          <w:tcPr>
            <w:tcW w:w="22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177,084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8"/>
              </w:rPr>
              <w:t>0.30%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80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980" w:type="dxa"/>
            <w:vAlign w:val="bottom"/>
            <w:gridSpan w:val="4"/>
            <w:shd w:val="clear" w:color="auto" w:fill="CCEEFF"/>
          </w:tcPr>
          <w:p>
            <w:pPr>
              <w:jc w:val="right"/>
              <w:ind w:right="228"/>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vMerge w:val="continue"/>
            <w:shd w:val="clear" w:color="auto" w:fill="CCEEFF"/>
          </w:tcPr>
          <w:p>
            <w:pPr>
              <w:spacing w:after="0"/>
              <w:rPr>
                <w:sz w:val="4"/>
                <w:szCs w:val="4"/>
                <w:color w:val="auto"/>
              </w:rPr>
            </w:pPr>
          </w:p>
        </w:tc>
        <w:tc>
          <w:tcPr>
            <w:tcW w:w="78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Boo-Keun Yoon</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17,500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w w:val="98"/>
              </w:rPr>
              <w:t>0.03%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980" w:type="dxa"/>
            <w:vAlign w:val="bottom"/>
            <w:gridSpan w:val="4"/>
          </w:tcPr>
          <w:p>
            <w:pPr>
              <w:jc w:val="right"/>
              <w:ind w:right="228"/>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b w:val="1"/>
                <w:bCs w:val="1"/>
                <w:i w:val="1"/>
                <w:iCs w:val="1"/>
                <w:color w:val="auto"/>
              </w:rPr>
              <w:t>% and Greater Shareholders</w:t>
            </w:r>
          </w:p>
        </w:tc>
        <w:tc>
          <w:tcPr>
            <w:tcW w:w="2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4"/>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 ​​ ​</w:t>
            </w:r>
          </w:p>
        </w:tc>
        <w:tc>
          <w:tcPr>
            <w:tcW w:w="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Christian Schmid</w:t>
            </w:r>
            <w:r>
              <w:rPr>
                <w:rFonts w:ascii="Times New Roman" w:cs="Times New Roman" w:eastAsia="Times New Roman" w:hAnsi="Times New Roman"/>
                <w:sz w:val="23"/>
                <w:szCs w:val="23"/>
                <w:color w:val="auto"/>
                <w:vertAlign w:val="superscript"/>
              </w:rPr>
              <w:t>(2)(3)</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16,617,337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27.70%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40" w:type="dxa"/>
            <w:vAlign w:val="bottom"/>
          </w:tcPr>
          <w:p>
            <w:pPr>
              <w:ind w:left="80"/>
              <w:spacing w:after="0" w:line="54" w:lineRule="exact"/>
              <w:rPr>
                <w:sz w:val="20"/>
                <w:szCs w:val="20"/>
                <w:color w:val="auto"/>
              </w:rPr>
            </w:pPr>
            <w:r>
              <w:rPr>
                <w:rFonts w:ascii="Times New Roman" w:cs="Times New Roman" w:eastAsia="Times New Roman" w:hAnsi="Times New Roman"/>
                <w:sz w:val="6"/>
                <w:szCs w:val="6"/>
                <w:color w:val="auto"/>
              </w:rPr>
              <w:t>​</w:t>
            </w:r>
          </w:p>
        </w:tc>
        <w:tc>
          <w:tcPr>
            <w:tcW w:w="980" w:type="dxa"/>
            <w:vAlign w:val="bottom"/>
            <w:gridSpan w:val="4"/>
          </w:tcPr>
          <w:p>
            <w:pPr>
              <w:jc w:val="right"/>
              <w:ind w:right="228"/>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7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Anette Schmid</w:t>
            </w:r>
            <w:r>
              <w:rPr>
                <w:rFonts w:ascii="Times New Roman" w:cs="Times New Roman" w:eastAsia="Times New Roman" w:hAnsi="Times New Roman"/>
                <w:sz w:val="23"/>
                <w:szCs w:val="23"/>
                <w:color w:val="auto"/>
                <w:vertAlign w:val="superscript"/>
              </w:rPr>
              <w:t>(2)(3)</w:t>
            </w:r>
          </w:p>
        </w:tc>
        <w:tc>
          <w:tcPr>
            <w:tcW w:w="22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14,740,556</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24.57%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4800" w:type="dxa"/>
            <w:vAlign w:val="bottom"/>
            <w:shd w:val="clear" w:color="auto" w:fill="CCEEFF"/>
          </w:tcPr>
          <w:p>
            <w:pPr>
              <w:spacing w:after="0"/>
              <w:rPr>
                <w:sz w:val="4"/>
                <w:szCs w:val="4"/>
                <w:color w:val="auto"/>
              </w:rPr>
            </w:pPr>
          </w:p>
        </w:tc>
        <w:tc>
          <w:tcPr>
            <w:tcW w:w="220" w:type="dxa"/>
            <w:vAlign w:val="bottom"/>
            <w:tcBorders>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7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140" w:type="dxa"/>
            <w:vAlign w:val="bottom"/>
            <w:shd w:val="clear" w:color="auto" w:fill="CCEEFF"/>
          </w:tcPr>
          <w:p>
            <w:pPr>
              <w:ind w:left="80"/>
              <w:spacing w:after="0" w:line="54" w:lineRule="exact"/>
              <w:rPr>
                <w:sz w:val="20"/>
                <w:szCs w:val="20"/>
                <w:color w:val="auto"/>
              </w:rPr>
            </w:pPr>
            <w:r>
              <w:rPr>
                <w:rFonts w:ascii="Times New Roman" w:cs="Times New Roman" w:eastAsia="Times New Roman" w:hAnsi="Times New Roman"/>
                <w:sz w:val="6"/>
                <w:szCs w:val="6"/>
                <w:color w:val="auto"/>
              </w:rPr>
              <w:t>​</w:t>
            </w:r>
          </w:p>
        </w:tc>
        <w:tc>
          <w:tcPr>
            <w:tcW w:w="980" w:type="dxa"/>
            <w:vAlign w:val="bottom"/>
            <w:gridSpan w:val="4"/>
            <w:shd w:val="clear" w:color="auto" w:fill="CCEEFF"/>
          </w:tcPr>
          <w:p>
            <w:pPr>
              <w:jc w:val="right"/>
              <w:ind w:right="228"/>
              <w:spacing w:after="0" w:line="54" w:lineRule="exact"/>
              <w:rPr>
                <w:sz w:val="20"/>
                <w:szCs w:val="20"/>
                <w:color w:val="auto"/>
              </w:rPr>
            </w:pPr>
            <w:r>
              <w:rPr>
                <w:rFonts w:ascii="Times New Roman" w:cs="Times New Roman" w:eastAsia="Times New Roman" w:hAnsi="Times New Roman"/>
                <w:sz w:val="6"/>
                <w:szCs w:val="6"/>
                <w:color w:val="auto"/>
              </w:rPr>
              <w:t>​​ ​</w:t>
            </w:r>
          </w:p>
        </w:tc>
        <w:tc>
          <w:tcPr>
            <w:tcW w:w="240" w:type="dxa"/>
            <w:vAlign w:val="bottom"/>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color w:val="auto"/>
              </w:rPr>
              <w:t>​</w:t>
            </w:r>
          </w:p>
        </w:tc>
        <w:tc>
          <w:tcPr>
            <w:tcW w:w="78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XJ Harbour HK Limited</w:t>
            </w:r>
            <w:r>
              <w:rPr>
                <w:rFonts w:ascii="Times New Roman" w:cs="Times New Roman" w:eastAsia="Times New Roman" w:hAnsi="Times New Roman"/>
                <w:sz w:val="23"/>
                <w:szCs w:val="23"/>
                <w:color w:val="auto"/>
                <w:vertAlign w:val="superscript"/>
              </w:rPr>
              <w:t>(6)</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10,162,575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16.94%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48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228"/>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5034915</wp:posOffset>
            </wp:positionH>
            <wp:positionV relativeFrom="paragraph">
              <wp:posOffset>-1889125</wp:posOffset>
            </wp:positionV>
            <wp:extent cx="137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-1889125</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-1889125</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58" w:lineRule="exact"/>
        <w:rPr>
          <w:sz w:val="20"/>
          <w:szCs w:val="20"/>
          <w:color w:val="auto"/>
        </w:rPr>
      </w:pPr>
    </w:p>
    <w:p>
      <w:pPr>
        <w:ind w:left="1620" w:hanging="360"/>
        <w:spacing w:after="0"/>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Annedore Streyl does not own any shares as of the date of this registration statement.</w:t>
      </w:r>
    </w:p>
    <w:p>
      <w:pPr>
        <w:spacing w:after="0" w:line="76" w:lineRule="exact"/>
        <w:rPr>
          <w:rFonts w:ascii="Times New Roman" w:cs="Times New Roman" w:eastAsia="Times New Roman" w:hAnsi="Times New Roman"/>
          <w:sz w:val="18"/>
          <w:szCs w:val="18"/>
          <w:color w:val="auto"/>
        </w:rPr>
      </w:pPr>
    </w:p>
    <w:p>
      <w:pPr>
        <w:ind w:left="1620" w:right="479" w:hanging="360"/>
        <w:spacing w:after="0" w:line="253"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w:t>
      </w:r>
    </w:p>
    <w:p>
      <w:pPr>
        <w:spacing w:after="0" w:line="45" w:lineRule="exact"/>
        <w:rPr>
          <w:rFonts w:ascii="Times New Roman" w:cs="Times New Roman" w:eastAsia="Times New Roman" w:hAnsi="Times New Roman"/>
          <w:sz w:val="18"/>
          <w:szCs w:val="18"/>
          <w:color w:val="auto"/>
        </w:rPr>
      </w:pPr>
    </w:p>
    <w:p>
      <w:pPr>
        <w:ind w:left="1620" w:right="559" w:hanging="360"/>
        <w:spacing w:after="0" w:line="258"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Schmid and Anette Schmid each hold their shares and warrants in the Company through 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 w:cs="Times New Roman" w:eastAsia="Times New Roman" w:hAnsi="Times New Roman"/>
          <w:sz w:val="18"/>
          <w:szCs w:val="18"/>
          <w:i w:val="1"/>
          <w:iCs w:val="1"/>
          <w:color w:val="auto"/>
        </w:rPr>
        <w:t>Erbengemeinschaft</w:t>
      </w:r>
      <w:r>
        <w:rPr>
          <w:rFonts w:ascii="Times New Roman" w:cs="Times New Roman" w:eastAsia="Times New Roman" w:hAnsi="Times New Roman"/>
          <w:sz w:val="18"/>
          <w:szCs w:val="18"/>
          <w:color w:val="auto"/>
        </w:rPr>
        <w:t>), which has now been dissolved. They have voted their shares jointly in the past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6" w:lineRule="auto"/>
        <w:rPr>
          <w:sz w:val="20"/>
          <w:szCs w:val="20"/>
          <w:color w:val="auto"/>
        </w:rPr>
      </w:pPr>
      <w:r>
        <w:rPr>
          <w:rFonts w:ascii="Times New Roman" w:cs="Times New Roman" w:eastAsia="Times New Roman" w:hAnsi="Times New Roman"/>
          <w:sz w:val="18"/>
          <w:szCs w:val="18"/>
          <w:color w:val="auto"/>
        </w:rPr>
        <w:t>and are expected to continue to do so. Combined they hold 31,357,893 Ordinary shares and 5,000,000 non-voting earn-out shares, amounting to 52.27%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w:t>
      </w:r>
    </w:p>
    <w:p>
      <w:pPr>
        <w:spacing w:after="0" w:line="268" w:lineRule="exact"/>
        <w:rPr>
          <w:sz w:val="20"/>
          <w:szCs w:val="20"/>
          <w:color w:val="auto"/>
        </w:rPr>
      </w:pPr>
    </w:p>
    <w:p>
      <w:pPr>
        <w:ind w:left="1620" w:right="599" w:hanging="360"/>
        <w:spacing w:after="0" w:line="256"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w:t>
      </w:r>
    </w:p>
    <w:p>
      <w:pPr>
        <w:spacing w:after="0" w:line="38"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 calculation and share ownership (disposition power) calculation is based on the total number of shares outstanding on the date of this registration statement, which is 59,985,726 shares (i.e. 64,985,726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w:t>
      </w:r>
    </w:p>
    <w:p>
      <w:pPr>
        <w:spacing w:after="0" w:line="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 filed by XJ Harbour HK Limited on May 12, 2026.</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2026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w:t>
      </w:r>
    </w:p>
    <w:p>
      <w:pPr>
        <w:spacing w:after="0" w:line="11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 </w:t>
      </w:r>
      <w:r>
        <w:rPr>
          <w:rFonts w:ascii="Times New Roman" w:cs="Times New Roman" w:eastAsia="Times New Roman" w:hAnsi="Times New Roman"/>
          <w:sz w:val="18"/>
          <w:szCs w:val="18"/>
          <w:i w:val="1"/>
          <w:iCs w:val="1"/>
          <w:color w:val="auto"/>
        </w:rPr>
        <w:t>Item 10.C Material Contracts</w:t>
      </w:r>
      <w:r>
        <w:rPr>
          <w:rFonts w:ascii="Times New Roman" w:cs="Times New Roman" w:eastAsia="Times New Roman" w:hAnsi="Times New Roman"/>
          <w:sz w:val="18"/>
          <w:szCs w:val="18"/>
          <w:color w:val="auto"/>
        </w:rPr>
        <w:t>”. The 2025 share options were granted to Black Forest Special Situations I, which would own less than 5% of the outstanding capital if it were to exercise them.</w:t>
      </w:r>
    </w:p>
    <w:p>
      <w:pPr>
        <w:spacing w:after="0" w:line="10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Due to the fact that some of our shares are held by brokers and other nominees, the number of our shares held by, and the number of, beneficial holders with addresses in the U.S. is not fully ascertainable. As of May 7, 2026, according to the records of our transfer agent Continental Stock Transfer &amp; Trust Company, 37,517,426 shares were held through Cede &amp; Co, the nominee of The Depository Trust Company, in whose name all shares held in “street name” are held in the U.S. Overall, the Company is aware of the following shares being held by non-US persons: 14,937,000 shares were held by the Community of Heirs (which has since been dissolved and the shares split between Anette Schmid and Christian Schmid as set out in footnote 3 to the table above), all shares held by Christian Schmid and Anette Schmid (including 5,000,000 earn out shares) and all shares held by XJ Harbour HK Limited are held by non-US person and thus the majority of all outstanding shares are held by non-US persons. The remainder of the shares are held by a mix of U.S. and non-U.S.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jc w:val="both"/>
        <w:ind w:left="1260" w:right="839" w:firstLine="360"/>
        <w:spacing w:after="0" w:line="257" w:lineRule="auto"/>
        <w:rPr>
          <w:sz w:val="20"/>
          <w:szCs w:val="20"/>
          <w:color w:val="auto"/>
        </w:rPr>
      </w:pPr>
      <w:r>
        <w:rPr>
          <w:rFonts w:ascii="Times New Roman" w:cs="Times New Roman" w:eastAsia="Times New Roman" w:hAnsi="Times New Roman"/>
          <w:sz w:val="18"/>
          <w:szCs w:val="18"/>
          <w:color w:val="auto"/>
        </w:rPr>
        <w:t>This prospectus relates to the offer and resale by the selling securityholders of 4,958,481 Ordinary Shares that have been issued by us to on May 23, 2026 in a private placement consisting of (i) 474,496 Ordinary Shares issued to Christine Schmid, (ii) 2,190,589 Ordinary Shares issued to Anette Schmid,</w:t>
      </w:r>
    </w:p>
    <w:p>
      <w:pPr>
        <w:spacing w:after="0" w:line="1" w:lineRule="exact"/>
        <w:rPr>
          <w:sz w:val="20"/>
          <w:szCs w:val="20"/>
          <w:color w:val="auto"/>
        </w:rPr>
      </w:pPr>
    </w:p>
    <w:p>
      <w:pPr>
        <w:ind w:left="1600" w:hanging="340"/>
        <w:spacing w:after="0"/>
        <w:tabs>
          <w:tab w:leader="none" w:pos="1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1,265,322 Ordinary Shares issued to Christian Schmid and (iv) 1,028,074 Ordinary Shares issued to</w:t>
      </w:r>
    </w:p>
    <w:p>
      <w:pPr>
        <w:spacing w:after="0" w:line="9" w:lineRule="exact"/>
        <w:rPr>
          <w:rFonts w:ascii="Times New Roman" w:cs="Times New Roman" w:eastAsia="Times New Roman" w:hAnsi="Times New Roman"/>
          <w:sz w:val="18"/>
          <w:szCs w:val="18"/>
          <w:color w:val="auto"/>
        </w:rPr>
      </w:pPr>
    </w:p>
    <w:p>
      <w:pPr>
        <w:ind w:left="126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Grundstücke GmbH &amp; Co KG. When we refer to the “selling securityholders” in this prospectus, we mean the persons listed in the tables below, and the pledgees, donees, transferees, assignees, successors and others who later come to hold any of the selling securityholders’ interest in our securities after the date of this prospectus. We are registering the Ordinary Shares included in this prospectus pursuant to the provisions of the Subscription Agreements we entered into with each of the selling securityholder on April 24, 2026 in order to permit the selling securityholders to offer the shares included in this prospectus for resale from time to time.</w:t>
      </w:r>
    </w:p>
    <w:p>
      <w:pPr>
        <w:spacing w:after="0" w:line="33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securityholders and the Ordinary Shares that may be resold by each of the selling securityholders from time to time under this prospectus. This table is prepared based on information supplied to us by the selling securityholders and reflects holdings as of June 17, 2026. The number of shares in the column “</w:t>
      </w:r>
      <w:r>
        <w:rPr>
          <w:rFonts w:ascii="Times New Roman" w:cs="Times New Roman" w:eastAsia="Times New Roman" w:hAnsi="Times New Roman"/>
          <w:sz w:val="18"/>
          <w:szCs w:val="18"/>
          <w:i w:val="1"/>
          <w:iCs w:val="1"/>
          <w:color w:val="auto"/>
        </w:rPr>
        <w:t>Maximum Number of Ordinary Shares to be 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Pursuant to this Prospectus</w:t>
      </w:r>
      <w:r>
        <w:rPr>
          <w:rFonts w:ascii="Times New Roman" w:cs="Times New Roman" w:eastAsia="Times New Roman" w:hAnsi="Times New Roman"/>
          <w:sz w:val="18"/>
          <w:szCs w:val="18"/>
          <w:color w:val="auto"/>
        </w:rPr>
        <w:t>” represents all of the Ordinary Shares being offered for resale by the selling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under this prospectus. The selling securityholders may sell some, all or none of the shares being offered for resale in this offering. We do not know how long the selling securityholders will hold the shares before selling them, and we are not aware of any existing arrangements between the selling securityholders and any other stockholder, broker, dealer, underwriter or agent relating to the sale or distribution of our Ordinary Shares being offered for resale by this prospectus.</w:t>
      </w:r>
    </w:p>
    <w:p>
      <w:pPr>
        <w:spacing w:after="0" w:line="113"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Ordinary Shares. In addition, the selling securityholders may sell, transfer or otherwise dispose of, at any time and from time to time, the Ordinary Shares in transactions exempt from the registration requirements of the Securities Act after the date of this prospectus, subject to applicable law.</w:t>
      </w:r>
    </w:p>
    <w:p>
      <w:pPr>
        <w:spacing w:after="0" w:line="11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securities pursuant to this prospectus. Any prospectus supplement may add, update, substitute, or change the information contained in this prospectus, including the identity of each selling securityholder and the number of Ordinary Shares or Private Warrants registered on its behalf. A selling securityholder may sell all, some or none of such securities in this offering. See the section titled “</w:t>
      </w:r>
      <w:r>
        <w:rPr>
          <w:rFonts w:ascii="Times New Roman" w:cs="Times New Roman" w:eastAsia="Times New Roman" w:hAnsi="Times New Roman"/>
          <w:sz w:val="18"/>
          <w:szCs w:val="18"/>
          <w:i w:val="1"/>
          <w:iCs w:val="1"/>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 owned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 owned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before the Offering</w:t>
            </w:r>
          </w:p>
        </w:tc>
        <w:tc>
          <w:tcPr>
            <w:tcW w:w="6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 to be sold</w:t>
            </w: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Ordinary</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the Selling Securityholders*</w:t>
            </w:r>
          </w:p>
        </w:tc>
        <w:tc>
          <w:tcPr>
            <w:tcW w:w="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Percent </w:t>
            </w:r>
            <w:r>
              <w:rPr>
                <w:rFonts w:ascii="Times New Roman" w:cs="Times New Roman" w:eastAsia="Times New Roman" w:hAnsi="Times New Roman"/>
                <w:sz w:val="24"/>
                <w:szCs w:val="24"/>
                <w:b w:val="1"/>
                <w:bCs w:val="1"/>
                <w:color w:val="auto"/>
                <w:vertAlign w:val="subscript"/>
              </w:rPr>
              <w:t>​ ​</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 </w:t>
            </w:r>
            <w:r>
              <w:rPr>
                <w:rFonts w:ascii="Times New Roman" w:cs="Times New Roman" w:eastAsia="Times New Roman" w:hAnsi="Times New Roman"/>
                <w:sz w:val="24"/>
                <w:szCs w:val="24"/>
                <w:b w:val="1"/>
                <w:bCs w:val="1"/>
                <w:color w:val="auto"/>
                <w:vertAlign w:val="subscript"/>
              </w:rPr>
              <w:t>​ ​</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Percent</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Christine Schmid</w:t>
            </w:r>
          </w:p>
        </w:tc>
        <w:tc>
          <w:tcPr>
            <w:tcW w:w="2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474,496</w:t>
            </w:r>
          </w:p>
        </w:tc>
        <w:tc>
          <w:tcPr>
            <w:tcW w:w="840" w:type="dxa"/>
            <w:vAlign w:val="bottom"/>
            <w:tcBorders>
              <w:right w:val="single" w:sz="8" w:color="CCEEFF"/>
            </w:tcBorders>
            <w:gridSpan w:val="4"/>
            <w:shd w:val="clear" w:color="auto" w:fill="CCEEFF"/>
          </w:tcPr>
          <w:p>
            <w:pPr>
              <w:jc w:val="right"/>
              <w:ind w:right="68"/>
              <w:spacing w:after="0" w:line="196" w:lineRule="exact"/>
              <w:rPr>
                <w:sz w:val="20"/>
                <w:szCs w:val="20"/>
                <w:color w:val="auto"/>
              </w:rPr>
            </w:pPr>
            <w:r>
              <w:rPr>
                <w:rFonts w:ascii="Times New Roman" w:cs="Times New Roman" w:eastAsia="Times New Roman" w:hAnsi="Times New Roman"/>
                <w:sz w:val="18"/>
                <w:szCs w:val="18"/>
                <w:color w:val="auto"/>
              </w:rPr>
              <w:t>0.79%</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474,496</w:t>
            </w:r>
          </w:p>
        </w:tc>
        <w:tc>
          <w:tcPr>
            <w:tcW w:w="900" w:type="dxa"/>
            <w:vAlign w:val="bottom"/>
            <w:gridSpan w:val="4"/>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0.79%</w:t>
            </w:r>
          </w:p>
        </w:tc>
        <w:tc>
          <w:tcPr>
            <w:tcW w:w="600" w:type="dxa"/>
            <w:vAlign w:val="bottom"/>
            <w:tcBorders>
              <w:right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600" w:type="dxa"/>
            <w:vAlign w:val="bottom"/>
            <w:shd w:val="clear" w:color="auto" w:fill="CCEEFF"/>
          </w:tcPr>
          <w:p>
            <w:pPr>
              <w:spacing w:after="0"/>
              <w:rPr>
                <w:sz w:val="4"/>
                <w:szCs w:val="4"/>
                <w:color w:val="auto"/>
              </w:rPr>
            </w:pPr>
          </w:p>
        </w:tc>
        <w:tc>
          <w:tcPr>
            <w:tcW w:w="260" w:type="dxa"/>
            <w:vAlign w:val="bottom"/>
            <w:tcBorders>
              <w:right w:val="single" w:sz="8" w:color="CCEEFF"/>
            </w:tcBorders>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Borders>
              <w:right w:val="single" w:sz="8" w:color="CCEEFF"/>
            </w:tcBorders>
            <w:gridSpan w:val="2"/>
            <w:shd w:val="clear" w:color="auto" w:fill="CCEEFF"/>
          </w:tcPr>
          <w:p>
            <w:pPr>
              <w:jc w:val="center"/>
              <w:ind w:left="16"/>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shd w:val="clear" w:color="auto" w:fill="CCEEFF"/>
          </w:tcPr>
          <w:p>
            <w:pPr>
              <w:spacing w:after="0"/>
              <w:rPr>
                <w:sz w:val="4"/>
                <w:szCs w:val="4"/>
                <w:color w:val="auto"/>
              </w:rPr>
            </w:pPr>
          </w:p>
        </w:tc>
        <w:tc>
          <w:tcPr>
            <w:tcW w:w="6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00" w:type="dxa"/>
            <w:vAlign w:val="bottom"/>
            <w:tcBorders>
              <w:right w:val="single" w:sz="8" w:color="CCEEFF"/>
            </w:tcBorders>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2"/>
            <w:vMerge w:val="continue"/>
            <w:shd w:val="clear" w:color="auto" w:fill="CCEEFF"/>
          </w:tcPr>
          <w:p>
            <w:pPr>
              <w:spacing w:after="0"/>
              <w:rPr>
                <w:sz w:val="4"/>
                <w:szCs w:val="4"/>
                <w:color w:val="auto"/>
              </w:rPr>
            </w:pPr>
          </w:p>
        </w:tc>
        <w:tc>
          <w:tcPr>
            <w:tcW w:w="400" w:type="dxa"/>
            <w:vAlign w:val="bottom"/>
            <w:tcBorders>
              <w:right w:val="single" w:sz="8" w:color="CCEEFF"/>
            </w:tcBorders>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Anette Schmid</w:t>
            </w:r>
          </w:p>
        </w:tc>
        <w:tc>
          <w:tcPr>
            <w:tcW w:w="9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2,190,589</w:t>
            </w:r>
          </w:p>
        </w:tc>
        <w:tc>
          <w:tcPr>
            <w:tcW w:w="840" w:type="dxa"/>
            <w:vAlign w:val="bottom"/>
            <w:gridSpan w:val="4"/>
          </w:tcPr>
          <w:p>
            <w:pPr>
              <w:jc w:val="right"/>
              <w:ind w:right="68"/>
              <w:spacing w:after="0" w:line="202" w:lineRule="exact"/>
              <w:rPr>
                <w:sz w:val="20"/>
                <w:szCs w:val="20"/>
                <w:color w:val="auto"/>
              </w:rPr>
            </w:pPr>
            <w:r>
              <w:rPr>
                <w:rFonts w:ascii="Times New Roman" w:cs="Times New Roman" w:eastAsia="Times New Roman" w:hAnsi="Times New Roman"/>
                <w:sz w:val="18"/>
                <w:szCs w:val="18"/>
                <w:color w:val="auto"/>
              </w:rPr>
              <w:t>3.65%</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1"/>
              </w:rPr>
              <w:t>2,190,589</w:t>
            </w:r>
          </w:p>
        </w:tc>
        <w:tc>
          <w:tcPr>
            <w:tcW w:w="900" w:type="dxa"/>
            <w:vAlign w:val="bottom"/>
            <w:gridSpan w:val="4"/>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3.65%</w:t>
            </w:r>
          </w:p>
        </w:tc>
        <w:tc>
          <w:tcPr>
            <w:tcW w:w="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26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tcPr>
          <w:p>
            <w:pPr>
              <w:spacing w:after="0"/>
              <w:rPr>
                <w:sz w:val="4"/>
                <w:szCs w:val="4"/>
                <w:color w:val="auto"/>
              </w:rPr>
            </w:pPr>
          </w:p>
        </w:tc>
        <w:tc>
          <w:tcPr>
            <w:tcW w:w="5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gridSpan w:val="2"/>
          </w:tcPr>
          <w:p>
            <w:pPr>
              <w:jc w:val="center"/>
              <w:ind w:left="16"/>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tcPr>
          <w:p>
            <w:pPr>
              <w:spacing w:after="0"/>
              <w:rPr>
                <w:sz w:val="4"/>
                <w:szCs w:val="4"/>
                <w:color w:val="auto"/>
              </w:rPr>
            </w:pPr>
          </w:p>
        </w:tc>
        <w:tc>
          <w:tcPr>
            <w:tcW w:w="6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00" w:type="dxa"/>
            <w:vAlign w:val="bottom"/>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2"/>
            <w:vMerge w:val="continue"/>
          </w:tcPr>
          <w:p>
            <w:pPr>
              <w:spacing w:after="0"/>
              <w:rPr>
                <w:sz w:val="4"/>
                <w:szCs w:val="4"/>
                <w:color w:val="auto"/>
              </w:rPr>
            </w:pPr>
          </w:p>
        </w:tc>
        <w:tc>
          <w:tcPr>
            <w:tcW w:w="400" w:type="dxa"/>
            <w:vAlign w:val="bottom"/>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Christian Schmid</w:t>
            </w:r>
          </w:p>
        </w:tc>
        <w:tc>
          <w:tcPr>
            <w:tcW w:w="9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1,265,322</w:t>
            </w:r>
          </w:p>
        </w:tc>
        <w:tc>
          <w:tcPr>
            <w:tcW w:w="840" w:type="dxa"/>
            <w:vAlign w:val="bottom"/>
            <w:tcBorders>
              <w:right w:val="single" w:sz="8" w:color="CCEEFF"/>
            </w:tcBorders>
            <w:gridSpan w:val="4"/>
            <w:shd w:val="clear" w:color="auto" w:fill="CCEEFF"/>
          </w:tcPr>
          <w:p>
            <w:pPr>
              <w:jc w:val="right"/>
              <w:ind w:right="68"/>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1"/>
              </w:rPr>
              <w:t>1,265,322</w:t>
            </w:r>
          </w:p>
        </w:tc>
        <w:tc>
          <w:tcPr>
            <w:tcW w:w="900" w:type="dxa"/>
            <w:vAlign w:val="bottom"/>
            <w:gridSpan w:val="4"/>
            <w:shd w:val="clear" w:color="auto" w:fill="CCEEFF"/>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600" w:type="dxa"/>
            <w:vAlign w:val="bottom"/>
            <w:tcBorders>
              <w:right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600" w:type="dxa"/>
            <w:vAlign w:val="bottom"/>
            <w:shd w:val="clear" w:color="auto" w:fill="CCEEFF"/>
          </w:tcPr>
          <w:p>
            <w:pPr>
              <w:spacing w:after="0"/>
              <w:rPr>
                <w:sz w:val="4"/>
                <w:szCs w:val="4"/>
                <w:color w:val="auto"/>
              </w:rPr>
            </w:pPr>
          </w:p>
        </w:tc>
        <w:tc>
          <w:tcPr>
            <w:tcW w:w="260" w:type="dxa"/>
            <w:vAlign w:val="bottom"/>
            <w:tcBorders>
              <w:right w:val="single" w:sz="8" w:color="CCEEFF"/>
            </w:tcBorders>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shd w:val="clear" w:color="auto" w:fill="CCEEFF"/>
          </w:tcPr>
          <w:p>
            <w:pPr>
              <w:spacing w:after="0"/>
              <w:rPr>
                <w:sz w:val="4"/>
                <w:szCs w:val="4"/>
                <w:color w:val="auto"/>
              </w:rPr>
            </w:pPr>
          </w:p>
        </w:tc>
        <w:tc>
          <w:tcPr>
            <w:tcW w:w="56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Borders>
              <w:right w:val="single" w:sz="8" w:color="CCEEFF"/>
            </w:tcBorders>
            <w:gridSpan w:val="2"/>
            <w:shd w:val="clear" w:color="auto" w:fill="CCEEFF"/>
          </w:tcPr>
          <w:p>
            <w:pPr>
              <w:jc w:val="center"/>
              <w:ind w:left="16"/>
              <w:spacing w:after="0" w:line="54" w:lineRule="exact"/>
              <w:rPr>
                <w:sz w:val="20"/>
                <w:szCs w:val="20"/>
                <w:color w:val="auto"/>
              </w:rPr>
            </w:pPr>
            <w:r>
              <w:rPr>
                <w:rFonts w:ascii="Times New Roman" w:cs="Times New Roman" w:eastAsia="Times New Roman" w:hAnsi="Times New Roman"/>
                <w:sz w:val="6"/>
                <w:szCs w:val="6"/>
                <w:color w:val="auto"/>
              </w:rPr>
              <w:t>​​ ​​</w:t>
            </w:r>
          </w:p>
        </w:tc>
        <w:tc>
          <w:tcPr>
            <w:tcW w:w="680" w:type="dxa"/>
            <w:vAlign w:val="bottom"/>
            <w:shd w:val="clear" w:color="auto" w:fill="CCEEFF"/>
          </w:tcPr>
          <w:p>
            <w:pPr>
              <w:spacing w:after="0"/>
              <w:rPr>
                <w:sz w:val="4"/>
                <w:szCs w:val="4"/>
                <w:color w:val="auto"/>
              </w:rPr>
            </w:pPr>
          </w:p>
        </w:tc>
        <w:tc>
          <w:tcPr>
            <w:tcW w:w="6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600" w:type="dxa"/>
            <w:vAlign w:val="bottom"/>
            <w:tcBorders>
              <w:right w:val="single" w:sz="8" w:color="CCEEFF"/>
            </w:tcBorders>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w:t>
            </w:r>
          </w:p>
        </w:tc>
        <w:tc>
          <w:tcPr>
            <w:tcW w:w="240" w:type="dxa"/>
            <w:vAlign w:val="bottom"/>
            <w:gridSpan w:val="2"/>
            <w:vMerge w:val="continue"/>
            <w:shd w:val="clear" w:color="auto" w:fill="CCEEFF"/>
          </w:tcPr>
          <w:p>
            <w:pPr>
              <w:spacing w:after="0"/>
              <w:rPr>
                <w:sz w:val="4"/>
                <w:szCs w:val="4"/>
                <w:color w:val="auto"/>
              </w:rPr>
            </w:pPr>
          </w:p>
        </w:tc>
        <w:tc>
          <w:tcPr>
            <w:tcW w:w="400" w:type="dxa"/>
            <w:vAlign w:val="bottom"/>
            <w:tcBorders>
              <w:right w:val="single" w:sz="8" w:color="CCEEFF"/>
            </w:tcBorders>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Schmid Grundstücke GmbH &amp; Co KG</w:t>
            </w:r>
          </w:p>
        </w:tc>
        <w:tc>
          <w:tcPr>
            <w:tcW w:w="9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1,028,074</w:t>
            </w:r>
          </w:p>
        </w:tc>
        <w:tc>
          <w:tcPr>
            <w:tcW w:w="840" w:type="dxa"/>
            <w:vAlign w:val="bottom"/>
            <w:gridSpan w:val="4"/>
          </w:tcPr>
          <w:p>
            <w:pPr>
              <w:jc w:val="right"/>
              <w:ind w:right="68"/>
              <w:spacing w:after="0" w:line="202" w:lineRule="exact"/>
              <w:rPr>
                <w:sz w:val="20"/>
                <w:szCs w:val="20"/>
                <w:color w:val="auto"/>
              </w:rPr>
            </w:pPr>
            <w:r>
              <w:rPr>
                <w:rFonts w:ascii="Times New Roman" w:cs="Times New Roman" w:eastAsia="Times New Roman" w:hAnsi="Times New Roman"/>
                <w:sz w:val="18"/>
                <w:szCs w:val="18"/>
                <w:color w:val="auto"/>
              </w:rPr>
              <w:t>1.71%</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1"/>
              </w:rPr>
              <w:t>1,028,074</w:t>
            </w:r>
          </w:p>
        </w:tc>
        <w:tc>
          <w:tcPr>
            <w:tcW w:w="900" w:type="dxa"/>
            <w:vAlign w:val="bottom"/>
            <w:gridSpan w:val="4"/>
          </w:tcPr>
          <w:p>
            <w:pPr>
              <w:jc w:val="right"/>
              <w:ind w:right="8"/>
              <w:spacing w:after="0" w:line="202" w:lineRule="exact"/>
              <w:rPr>
                <w:sz w:val="20"/>
                <w:szCs w:val="20"/>
                <w:color w:val="auto"/>
              </w:rPr>
            </w:pPr>
            <w:r>
              <w:rPr>
                <w:rFonts w:ascii="Times New Roman" w:cs="Times New Roman" w:eastAsia="Times New Roman" w:hAnsi="Times New Roman"/>
                <w:sz w:val="18"/>
                <w:szCs w:val="18"/>
                <w:color w:val="auto"/>
              </w:rPr>
              <w:t>1.71%</w:t>
            </w:r>
          </w:p>
        </w:tc>
        <w:tc>
          <w:tcPr>
            <w:tcW w:w="6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360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80" w:type="dxa"/>
            <w:vAlign w:val="bottom"/>
            <w:gridSpan w:val="2"/>
          </w:tcPr>
          <w:p>
            <w:pPr>
              <w:jc w:val="center"/>
              <w:ind w:left="16"/>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continue"/>
          </w:tcPr>
          <w:p>
            <w:pPr>
              <w:spacing w:after="0"/>
              <w:rPr>
                <w:sz w:val="20"/>
                <w:szCs w:val="20"/>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-774700</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-774700</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-774700</wp:posOffset>
            </wp:positionV>
            <wp:extent cx="1714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4074795</wp:posOffset>
            </wp:positionH>
            <wp:positionV relativeFrom="paragraph">
              <wp:posOffset>-774700</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-774700</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-774700</wp:posOffset>
            </wp:positionV>
            <wp:extent cx="1289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30480</wp:posOffset>
            </wp:positionV>
            <wp:extent cx="12344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2" w:lineRule="exact"/>
        <w:rPr>
          <w:sz w:val="20"/>
          <w:szCs w:val="20"/>
          <w:color w:val="auto"/>
        </w:rPr>
      </w:pPr>
    </w:p>
    <w:p>
      <w:pPr>
        <w:ind w:left="1620" w:right="97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securityholders may directly or indirectly hold additional Ordinary Shares. For more information on shareholding see the section titled “Principal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This section describes certain material U.S. federal income tax consequences to a U.S. holder (as defined below) with respect to the ownership and disposition of the Ordinary Shares and the Public Warrants (collectively, the “</w:t>
      </w:r>
      <w:r>
        <w:rPr>
          <w:rFonts w:ascii="Times New Roman" w:cs="Times New Roman" w:eastAsia="Times New Roman" w:hAnsi="Times New Roman"/>
          <w:sz w:val="18"/>
          <w:szCs w:val="18"/>
          <w:b w:val="1"/>
          <w:bCs w:val="1"/>
          <w:color w:val="auto"/>
        </w:rPr>
        <w:t>Schmid securities</w:t>
      </w:r>
      <w:r>
        <w:rPr>
          <w:rFonts w:ascii="Times New Roman" w:cs="Times New Roman" w:eastAsia="Times New Roman" w:hAnsi="Times New Roman"/>
          <w:sz w:val="18"/>
          <w:szCs w:val="18"/>
          <w:color w:val="auto"/>
        </w:rPr>
        <w:t>”).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w:t>
      </w:r>
    </w:p>
    <w:p>
      <w:pPr>
        <w:spacing w:after="0" w:line="351"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beneficial owner of Schmid securities that is, for U.S. federal income tax purposes, (i) an individual citizen or resident of the United States, (ii) a corporation created or organized under the laws of the United States, any state thereof or the District of Columbia,</w:t>
      </w:r>
    </w:p>
    <w:p>
      <w:pPr>
        <w:jc w:val="both"/>
        <w:ind w:left="1260" w:right="439"/>
        <w:spacing w:after="0" w:line="255" w:lineRule="auto"/>
        <w:tabs>
          <w:tab w:leader="none" w:pos="15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w:t>
      </w:r>
    </w:p>
    <w:p>
      <w:pPr>
        <w:spacing w:after="0" w:line="105"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w:t>
      </w:r>
    </w:p>
    <w:p>
      <w:pPr>
        <w:spacing w:after="0" w:line="11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w:t>
      </w:r>
    </w:p>
    <w:p>
      <w:pPr>
        <w:spacing w:after="0" w:line="12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ALL HOLDERS OF SCHMID SECURITIES SHOULD CONSULT THEIR TAX ADVISORS AS TO THE PARTICULAR TAX CONSEQUENCES TO THEM RELATING TO THE OWNERSHIP OF SCHMID SECURITIES, INCLUDING THE APPLICABILITY AND EFFECT OF STATE, LOCAL, NON-U.S. AND OTHER TAX LAWS AND POSSIBLE CHANGES IN TAX LAW.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Ownership of Schmid Securities</w:t>
      </w:r>
    </w:p>
    <w:p>
      <w:pPr>
        <w:spacing w:after="0" w:line="144"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 xml:space="preserve">This discussion is subject to the discussion in “— </w:t>
      </w:r>
      <w:r>
        <w:rPr>
          <w:rFonts w:ascii="Times New Roman" w:cs="Times New Roman" w:eastAsia="Times New Roman" w:hAnsi="Times New Roman"/>
          <w:sz w:val="18"/>
          <w:szCs w:val="18"/>
          <w:b w:val="1"/>
          <w:bCs w:val="1"/>
          <w:i w:val="1"/>
          <w:iCs w:val="1"/>
          <w:color w:val="auto"/>
        </w:rPr>
        <w:t>Application of the PFIC Rules to Schmid Securities</w:t>
      </w:r>
      <w:r>
        <w:rPr>
          <w:rFonts w:ascii="Times New Roman" w:cs="Times New Roman" w:eastAsia="Times New Roman" w:hAnsi="Times New Roman"/>
          <w:sz w:val="18"/>
          <w:szCs w:val="18"/>
          <w:b w:val="1"/>
          <w:bCs w:val="1"/>
          <w:color w:val="auto"/>
        </w:rPr>
        <w:t>” below.</w:t>
      </w: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 w:cs="Times New Roman" w:eastAsia="Times New Roman" w:hAnsi="Times New Roman"/>
          <w:sz w:val="18"/>
          <w:szCs w:val="18"/>
          <w:i w:val="1"/>
          <w:iCs w:val="1"/>
          <w:color w:val="auto"/>
        </w:rPr>
        <w:t>Application of the PFIC Rules to Schmid Securities</w:t>
      </w:r>
      <w:r>
        <w:rPr>
          <w:rFonts w:ascii="Times New Roman" w:cs="Times New Roman" w:eastAsia="Times New Roman" w:hAnsi="Times New Roman"/>
          <w:sz w:val="18"/>
          <w:szCs w:val="18"/>
          <w:color w:val="auto"/>
        </w:rPr>
        <w:t>” below.</w:t>
      </w:r>
    </w:p>
    <w:p>
      <w:pPr>
        <w:spacing w:after="0" w:line="116"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Schmid Securities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 -term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Public Warrant</w:t>
      </w:r>
    </w:p>
    <w:p>
      <w:pPr>
        <w:spacing w:after="0" w:line="162"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Public Warrant, a U.S. holder generally will not recognize gain or loss upon the acquisition of an Ordinary Share on the exercise of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w:t>
      </w:r>
    </w:p>
    <w:p>
      <w:pPr>
        <w:spacing w:after="0" w:line="11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 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w:t>
      </w:r>
    </w:p>
    <w:p>
      <w:pPr>
        <w:spacing w:after="0" w:line="12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 w:cs="Times New Roman" w:eastAsia="Times New Roman" w:hAnsi="Times New Roman"/>
          <w:sz w:val="18"/>
          <w:szCs w:val="18"/>
          <w:b w:val="1"/>
          <w:bCs w:val="1"/>
          <w:color w:val="auto"/>
        </w:rPr>
        <w:t>surrendered warrants</w:t>
      </w:r>
      <w:r>
        <w:rPr>
          <w:rFonts w:ascii="Times New Roman" w:cs="Times New Roman" w:eastAsia="Times New Roman" w:hAnsi="Times New Roman"/>
          <w:sz w:val="18"/>
          <w:szCs w:val="18"/>
          <w:color w:val="auto"/>
        </w:rPr>
        <w:t>”).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w:t>
      </w:r>
    </w:p>
    <w:p>
      <w:pPr>
        <w:spacing w:after="0" w:line="330"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 w:cs="Times New Roman" w:eastAsia="Times New Roman" w:hAnsi="Times New Roman"/>
          <w:sz w:val="18"/>
          <w:szCs w:val="18"/>
          <w:i w:val="1"/>
          <w:iCs w:val="1"/>
          <w:color w:val="auto"/>
        </w:rPr>
        <w:t>Distributions on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above. Such constructive distribution generally would be subject to tax as described in the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that section in the same manner as if the U.S. holder of such warrant received a cash distribution from the Company equal to the fair market value of such increased interest.</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Application of the PFIC Rules to Schmid Securities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 non-U.S. corporation, such as the Company, will be a PFIC for U.S. federal income tax purposes in any taxable year in which, after applying relevant look -through rules with respect to the income and assets of its subsidiaries, (i) 75% or more of its gross income is passive income, and/or (ii) 50% or more of the value of its assets (generally based on the quarterly average of the value of its assets during such year) is</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4" w:lineRule="auto"/>
        <w:rPr>
          <w:sz w:val="20"/>
          <w:szCs w:val="20"/>
          <w:color w:val="auto"/>
        </w:rPr>
      </w:pPr>
      <w:r>
        <w:rPr>
          <w:rFonts w:ascii="Times New Roman" w:cs="Times New Roman" w:eastAsia="Times New Roman" w:hAnsi="Times New Roman"/>
          <w:sz w:val="18"/>
          <w:szCs w:val="18"/>
          <w:color w:val="auto"/>
        </w:rPr>
        <w:t>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w:t>
      </w:r>
    </w:p>
    <w:p>
      <w:pPr>
        <w:spacing w:after="0" w:line="11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the Company were a PFIC in any year during which a U.S. holder owns Ordinary Shares, subject to the discussion below regarding the mark-to-market (“</w:t>
      </w:r>
      <w:r>
        <w:rPr>
          <w:rFonts w:ascii="Times New Roman" w:cs="Times New Roman" w:eastAsia="Times New Roman" w:hAnsi="Times New Roman"/>
          <w:sz w:val="18"/>
          <w:szCs w:val="18"/>
          <w:b w:val="1"/>
          <w:bCs w:val="1"/>
          <w:color w:val="auto"/>
        </w:rPr>
        <w:t>MTM</w:t>
      </w:r>
      <w:r>
        <w:rPr>
          <w:rFonts w:ascii="Times New Roman" w:cs="Times New Roman" w:eastAsia="Times New Roman" w:hAnsi="Times New Roman"/>
          <w:sz w:val="18"/>
          <w:szCs w:val="18"/>
          <w:color w:val="auto"/>
        </w:rPr>
        <w:t>”) or qualified electing fund (“</w:t>
      </w:r>
      <w:r>
        <w:rPr>
          <w:rFonts w:ascii="Times New Roman" w:cs="Times New Roman" w:eastAsia="Times New Roman" w:hAnsi="Times New Roman"/>
          <w:sz w:val="18"/>
          <w:szCs w:val="18"/>
          <w:b w:val="1"/>
          <w:bCs w:val="1"/>
          <w:color w:val="auto"/>
        </w:rPr>
        <w:t>QEF</w:t>
      </w:r>
      <w:r>
        <w:rPr>
          <w:rFonts w:ascii="Times New Roman" w:cs="Times New Roman" w:eastAsia="Times New Roman" w:hAnsi="Times New Roman"/>
          <w:sz w:val="18"/>
          <w:szCs w:val="18"/>
          <w:color w:val="auto"/>
        </w:rPr>
        <w:t>”) elections, a U.S. holder generally will be subject to special rules (regardless of whether the Company continues to be a</w:t>
      </w:r>
    </w:p>
    <w:p>
      <w:pPr>
        <w:spacing w:after="0" w:line="2" w:lineRule="exact"/>
        <w:rPr>
          <w:sz w:val="20"/>
          <w:szCs w:val="20"/>
          <w:color w:val="auto"/>
        </w:rPr>
      </w:pPr>
    </w:p>
    <w:p>
      <w:pPr>
        <w:jc w:val="both"/>
        <w:ind w:left="1260" w:right="459"/>
        <w:spacing w:after="0"/>
        <w:rPr>
          <w:sz w:val="20"/>
          <w:szCs w:val="20"/>
          <w:color w:val="auto"/>
        </w:rPr>
      </w:pPr>
      <w:r>
        <w:rPr>
          <w:rFonts w:ascii="Times New Roman" w:cs="Times New Roman" w:eastAsia="Times New Roman" w:hAnsi="Times New Roman"/>
          <w:sz w:val="18"/>
          <w:szCs w:val="18"/>
          <w:color w:val="auto"/>
        </w:rPr>
        <w:t>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w:t>
      </w:r>
    </w:p>
    <w:p>
      <w:pPr>
        <w:spacing w:after="0" w:line="3" w:lineRule="exact"/>
        <w:rPr>
          <w:sz w:val="20"/>
          <w:szCs w:val="20"/>
          <w:color w:val="auto"/>
        </w:rPr>
      </w:pPr>
    </w:p>
    <w:p>
      <w:pPr>
        <w:ind w:left="1260" w:right="499"/>
        <w:spacing w:after="0" w:line="241" w:lineRule="auto"/>
        <w:tabs>
          <w:tab w:leader="none" w:pos="15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 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w:t>
      </w:r>
    </w:p>
    <w:p>
      <w:pPr>
        <w:spacing w:after="0" w:line="325" w:lineRule="exact"/>
        <w:rPr>
          <w:sz w:val="20"/>
          <w:szCs w:val="20"/>
          <w:color w:val="auto"/>
        </w:rPr>
      </w:pPr>
    </w:p>
    <w:p>
      <w:pPr>
        <w:jc w:val="both"/>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w:t>
      </w:r>
    </w:p>
    <w:p>
      <w:pPr>
        <w:spacing w:after="0" w:line="11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U.S. holders should consult their own tax advisors concerning the Company’s possible PFIC status and the consequences to them, including potential reporting requirements, if the Company were classified as a PFIC for any taxable year.</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w:t>
      </w:r>
    </w:p>
    <w:p>
      <w:pPr>
        <w:spacing w:after="0" w:line="10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U.S. holder’s U.S. federal income tax liability, and a U.S. holder may obtain a refund of</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Dutch Tax Considerations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and an investor holding Warrants is being referred to as a warrant holder (“</w:t>
      </w:r>
      <w:r>
        <w:rPr>
          <w:rFonts w:ascii="Times New Roman" w:cs="Times New Roman" w:eastAsia="Times New Roman" w:hAnsi="Times New Roman"/>
          <w:sz w:val="18"/>
          <w:szCs w:val="18"/>
          <w:b w:val="1"/>
          <w:bCs w:val="1"/>
          <w:color w:val="auto"/>
        </w:rPr>
        <w:t>Warrant Holder</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 w:cs="Times New Roman" w:eastAsia="Times New Roman" w:hAnsi="Times New Roman"/>
          <w:sz w:val="18"/>
          <w:szCs w:val="18"/>
          <w:i w:val="1"/>
          <w:iCs w:val="1"/>
          <w:color w:val="auto"/>
        </w:rPr>
        <w:t>aanmerkelijk belang</w:t>
      </w:r>
      <w:r>
        <w:rPr>
          <w:rFonts w:ascii="Times New Roman" w:cs="Times New Roman" w:eastAsia="Times New Roman" w:hAnsi="Times New Roman"/>
          <w:sz w:val="18"/>
          <w:szCs w:val="18"/>
          <w:color w:val="auto"/>
        </w:rPr>
        <w:t>) or a deemed substantial interest in Schmid.</w:t>
      </w:r>
    </w:p>
    <w:p>
      <w:pPr>
        <w:spacing w:after="0" w:line="9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 such company, or (ii) the ownership of, or certain rights over, profit participating certificates (</w:t>
      </w:r>
      <w:r>
        <w:rPr>
          <w:rFonts w:ascii="Times New Roman" w:cs="Times New Roman" w:eastAsia="Times New Roman" w:hAnsi="Times New Roman"/>
          <w:sz w:val="18"/>
          <w:szCs w:val="18"/>
          <w:i w:val="1"/>
          <w:iCs w:val="1"/>
          <w:color w:val="auto"/>
        </w:rPr>
        <w:t>winstbewijzen</w:t>
      </w:r>
      <w:r>
        <w:rPr>
          <w:rFonts w:ascii="Times New Roman" w:cs="Times New Roman" w:eastAsia="Times New Roman" w:hAnsi="Times New Roman"/>
          <w:sz w:val="18"/>
          <w:szCs w:val="18"/>
          <w:color w:val="auto"/>
        </w:rPr>
        <w:t>)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w:t>
      </w:r>
    </w:p>
    <w:p>
      <w:pPr>
        <w:spacing w:after="0" w:line="120"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This summary assumes that Schmid is not affiliated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any recipient (</w:t>
      </w:r>
      <w:r>
        <w:rPr>
          <w:rFonts w:ascii="Times New Roman" w:cs="Times New Roman" w:eastAsia="Times New Roman" w:hAnsi="Times New Roman"/>
          <w:sz w:val="18"/>
          <w:szCs w:val="18"/>
          <w:i w:val="1"/>
          <w:iCs w:val="1"/>
          <w:color w:val="auto"/>
        </w:rPr>
        <w:t>voordeelgerechtigde</w:t>
      </w:r>
      <w:r>
        <w:rPr>
          <w:rFonts w:ascii="Times New Roman" w:cs="Times New Roman" w:eastAsia="Times New Roman" w:hAnsi="Times New Roman"/>
          <w:sz w:val="18"/>
          <w:szCs w:val="18"/>
          <w:color w:val="auto"/>
        </w:rPr>
        <w:t>) of any payments under the Ordinary Shares and/or Warrants within the meaning of the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Generally speaking, an entity is regarded as ‘affiliated’ for Dutch Withholding Tax Act 2021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bronbelasting 2021</w:t>
      </w:r>
      <w:r>
        <w:rPr>
          <w:rFonts w:ascii="Times New Roman" w:cs="Times New Roman" w:eastAsia="Times New Roman" w:hAnsi="Times New Roman"/>
          <w:sz w:val="18"/>
          <w:szCs w:val="18"/>
          <w:color w:val="auto"/>
        </w:rPr>
        <w:t>) purposes, if (i) it has a qualifying interest in Schmid, (ii) Schmid has a qualifying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 w:cs="Times New Roman" w:eastAsia="Times New Roman" w:hAnsi="Times New Roman"/>
          <w:sz w:val="18"/>
          <w:szCs w:val="18"/>
          <w:i w:val="1"/>
          <w:iCs w:val="1"/>
          <w:color w:val="auto"/>
        </w:rPr>
        <w:t>samenwerkende groep</w:t>
      </w:r>
      <w:r>
        <w:rPr>
          <w:rFonts w:ascii="Times New Roman" w:cs="Times New Roman" w:eastAsia="Times New Roman" w:hAnsi="Times New Roman"/>
          <w:sz w:val="18"/>
          <w:szCs w:val="18"/>
          <w:color w:val="auto"/>
        </w:rPr>
        <w:t>), that gives the holder of such interest definite influence over the decisions of the entity in which the interest is held and allows determination of its activities.</w:t>
      </w:r>
    </w:p>
    <w:p>
      <w:pPr>
        <w:spacing w:after="0" w:line="32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w:t>
      </w:r>
    </w:p>
    <w:p>
      <w:pPr>
        <w:spacing w:after="0" w:line="12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Where the summary refers to “the Netherlands” or “Dutch” it refers only to the European part of the Kingdom of the Netherlands.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This overview assumes that Schmid shall have its place of effective management in Germany and that it is treated as a German tax resident for German tax purposes.</w:t>
      </w:r>
    </w:p>
    <w:p>
      <w:pPr>
        <w:spacing w:after="0" w:line="144"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Investors should consult their professional advisers as to the tax consequences of acquiring, holding and disposing of Ordinary Shares.</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Withholding tax</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146"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 general, Schmid must withhold Dutch dividend tax from dividends distributed on the Ordinary Shares at the rate of 15%.</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Dividends include, without limitation:</w:t>
      </w:r>
    </w:p>
    <w:p>
      <w:pPr>
        <w:spacing w:after="0" w:line="144" w:lineRule="exact"/>
        <w:rPr>
          <w:sz w:val="20"/>
          <w:szCs w:val="20"/>
          <w:color w:val="auto"/>
        </w:rPr>
      </w:pPr>
    </w:p>
    <w:p>
      <w:pPr>
        <w:ind w:left="1980" w:right="559" w:hanging="360"/>
        <w:spacing w:after="0" w:line="282" w:lineRule="auto"/>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profits (including paid-in capital not recognised for Dutch dividend tax purposes) in cash or in kind, including deemed and constructive dividends;</w:t>
      </w:r>
    </w:p>
    <w:p>
      <w:pPr>
        <w:spacing w:after="0" w:line="80"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distributions and, generally, proceeds realised upon a repurchase of Ordinary Shares by Schmid or upon the transfer of Ordinary Shares to a direct or indirect subsidiary of Schmid, in excess of the average paid-in capital recognised for Dutch dividend tax purposes;</w:t>
      </w:r>
    </w:p>
    <w:p>
      <w:pPr>
        <w:spacing w:after="0" w:line="94" w:lineRule="exact"/>
        <w:rPr>
          <w:rFonts w:ascii="Times New Roman" w:cs="Times New Roman" w:eastAsia="Times New Roman" w:hAnsi="Times New Roman"/>
          <w:sz w:val="18"/>
          <w:szCs w:val="18"/>
          <w:color w:val="auto"/>
        </w:rPr>
      </w:pPr>
    </w:p>
    <w:p>
      <w:pPr>
        <w:ind w:left="1980" w:right="639" w:hanging="360"/>
        <w:spacing w:after="0" w:line="266" w:lineRule="auto"/>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 value of Ordinary Shares issued to a shareholder or any increase in the par value of Ordinary Shares, except to the extent such (increase in the) par value is contributed to or funded out of the Schmid’s paid-in capital recognised for Dutch dividend tax purposes;</w:t>
      </w:r>
    </w:p>
    <w:p>
      <w:pPr>
        <w:spacing w:after="0" w:line="108" w:lineRule="exact"/>
        <w:rPr>
          <w:rFonts w:ascii="Times New Roman" w:cs="Times New Roman" w:eastAsia="Times New Roman" w:hAnsi="Times New Roman"/>
          <w:sz w:val="18"/>
          <w:szCs w:val="18"/>
          <w:color w:val="auto"/>
        </w:rPr>
      </w:pPr>
    </w:p>
    <w:p>
      <w:pPr>
        <w:ind w:left="1980" w:right="579" w:hanging="360"/>
        <w:spacing w:after="0" w:line="258" w:lineRule="auto"/>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repayments of paid-in capital recognised for Dutch dividend tax purposes up to the amount of Schmid’s profits (</w:t>
      </w:r>
      <w:r>
        <w:rPr>
          <w:rFonts w:ascii="Times New Roman" w:cs="Times New Roman" w:eastAsia="Times New Roman" w:hAnsi="Times New Roman"/>
          <w:sz w:val="18"/>
          <w:szCs w:val="18"/>
          <w:i w:val="1"/>
          <w:iCs w:val="1"/>
          <w:color w:val="auto"/>
        </w:rPr>
        <w:t>zuivere winst</w:t>
      </w:r>
      <w:r>
        <w:rPr>
          <w:rFonts w:ascii="Times New Roman" w:cs="Times New Roman" w:eastAsia="Times New Roman" w:hAnsi="Times New Roman"/>
          <w:sz w:val="18"/>
          <w:szCs w:val="18"/>
          <w:color w:val="auto"/>
        </w:rPr>
        <w:t>) unless Schmid’s general meeting of shareholders has resolved in advance that Schmid shall make such repayments and the par value of the Ordinary Shares concerned has been reduced by a corresponding amount through an amendment of Schmid’s articles of association.</w:t>
      </w:r>
    </w:p>
    <w:p>
      <w:pPr>
        <w:spacing w:after="0" w:line="10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 w:cs="Times New Roman" w:eastAsia="Times New Roman" w:hAnsi="Times New Roman"/>
          <w:sz w:val="18"/>
          <w:szCs w:val="18"/>
          <w:b w:val="1"/>
          <w:bCs w:val="1"/>
          <w:color w:val="auto"/>
        </w:rPr>
        <w:t>German-Dutch tax treaty</w:t>
      </w:r>
      <w:r>
        <w:rPr>
          <w:rFonts w:ascii="Times New Roman" w:cs="Times New Roman" w:eastAsia="Times New Roman" w:hAnsi="Times New Roman"/>
          <w:sz w:val="18"/>
          <w:szCs w:val="18"/>
          <w:color w:val="auto"/>
        </w:rPr>
        <w:t>”), unless:</w:t>
      </w:r>
    </w:p>
    <w:p>
      <w:pPr>
        <w:spacing w:after="0" w:line="110" w:lineRule="exact"/>
        <w:rPr>
          <w:sz w:val="20"/>
          <w:szCs w:val="20"/>
          <w:color w:val="auto"/>
        </w:rPr>
      </w:pPr>
    </w:p>
    <w:p>
      <w:pPr>
        <w:ind w:left="1980" w:right="499" w:hanging="360"/>
        <w:spacing w:after="0" w:line="261" w:lineRule="auto"/>
        <w:tabs>
          <w:tab w:leader="none" w:pos="1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is an individual who is resident or deemed to be resident in the Netherlands for Dutch income tax purposes or an entity or enterprise that is subject to the Corporate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and is resident or deemed to be resident in the Netherlands for Dutch corporate tax purposes; or</w:t>
      </w:r>
    </w:p>
    <w:p>
      <w:pPr>
        <w:spacing w:after="0" w:line="98"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a permanent representative (</w:t>
      </w:r>
      <w:r>
        <w:rPr>
          <w:rFonts w:ascii="Times New Roman" w:cs="Times New Roman" w:eastAsia="Times New Roman" w:hAnsi="Times New Roman"/>
          <w:sz w:val="18"/>
          <w:szCs w:val="18"/>
          <w:i w:val="1"/>
          <w:iCs w:val="1"/>
          <w:color w:val="auto"/>
        </w:rPr>
        <w:t>vaste vertegenwoordiger</w:t>
      </w:r>
      <w:r>
        <w:rPr>
          <w:rFonts w:ascii="Times New Roman" w:cs="Times New Roman" w:eastAsia="Times New Roman" w:hAnsi="Times New Roman"/>
          <w:sz w:val="18"/>
          <w:szCs w:val="18"/>
          <w:color w:val="auto"/>
        </w:rPr>
        <w:t>) in the Netherlands, to which the Ordinary Shares are attributable.</w:t>
      </w:r>
    </w:p>
    <w:p>
      <w:pPr>
        <w:spacing w:after="0" w:line="120"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w:t>
      </w:r>
    </w:p>
    <w:p>
      <w:pPr>
        <w:spacing w:after="0" w:line="110"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w:t>
      </w:r>
    </w:p>
    <w:p>
      <w:pPr>
        <w:spacing w:after="0" w:line="10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mere exercise of a Warrant does in the view of Schmid not give rise to Dutch dividend withholding tax, except to the extent (i) 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Residents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Resident entities</w:t>
      </w:r>
    </w:p>
    <w:p>
      <w:pPr>
        <w:spacing w:after="0" w:line="16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An entity holding the Ordinary Shares and Warrants which is or is deemed to be resident in the Netherlands for Dutch corporate tax purposes and which is not tax exempt, will generally be subject to corporate tax (</w:t>
      </w:r>
      <w:r>
        <w:rPr>
          <w:rFonts w:ascii="Times New Roman" w:cs="Times New Roman" w:eastAsia="Times New Roman" w:hAnsi="Times New Roman"/>
          <w:sz w:val="18"/>
          <w:szCs w:val="18"/>
          <w:i w:val="1"/>
          <w:iCs w:val="1"/>
          <w:color w:val="auto"/>
        </w:rPr>
        <w:t>vennootschapsbelasting</w:t>
      </w:r>
      <w:r>
        <w:rPr>
          <w:rFonts w:ascii="Times New Roman" w:cs="Times New Roman" w:eastAsia="Times New Roman" w:hAnsi="Times New Roman"/>
          <w:sz w:val="18"/>
          <w:szCs w:val="18"/>
          <w:color w:val="auto"/>
        </w:rPr>
        <w:t>) in the Netherlands in respect of income or a capital gain derived from such Ordinary Shares and Warrants at rates up to 25.8%, unless the entity has the benefit of the participation exemption (</w:t>
      </w:r>
      <w:r>
        <w:rPr>
          <w:rFonts w:ascii="Times New Roman" w:cs="Times New Roman" w:eastAsia="Times New Roman" w:hAnsi="Times New Roman"/>
          <w:sz w:val="18"/>
          <w:szCs w:val="18"/>
          <w:i w:val="1"/>
          <w:iCs w:val="1"/>
          <w:color w:val="auto"/>
        </w:rPr>
        <w:t>deelnemingsvrijstelling</w:t>
      </w:r>
      <w:r>
        <w:rPr>
          <w:rFonts w:ascii="Times New Roman" w:cs="Times New Roman" w:eastAsia="Times New Roman" w:hAnsi="Times New Roman"/>
          <w:sz w:val="18"/>
          <w:szCs w:val="18"/>
          <w:color w:val="auto"/>
        </w:rPr>
        <w:t>) with respect to such Ordinary Shares. Generally speaking, the entity holding Ordinary Shares will have the benefit of the participation exemption if the entity owns at least 5% of the nominal paid-up share capital of Schmid.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Resident individuals</w:t>
      </w:r>
    </w:p>
    <w:p>
      <w:pPr>
        <w:spacing w:after="0" w:line="16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w:t>
      </w:r>
    </w:p>
    <w:p>
      <w:pPr>
        <w:spacing w:after="0" w:line="109" w:lineRule="exact"/>
        <w:rPr>
          <w:sz w:val="20"/>
          <w:szCs w:val="20"/>
          <w:color w:val="auto"/>
        </w:rPr>
      </w:pPr>
    </w:p>
    <w:p>
      <w:pPr>
        <w:ind w:left="1980" w:right="779" w:hanging="360"/>
        <w:spacing w:after="0" w:line="282" w:lineRule="auto"/>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capital gain is attributable to an enterprise from which the holder derives profits (other than as a shareholder); or</w:t>
      </w:r>
    </w:p>
    <w:p>
      <w:pPr>
        <w:spacing w:after="0" w:line="78"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capital gain qualifies as income from miscellaneous activities (</w:t>
      </w:r>
      <w:r>
        <w:rPr>
          <w:rFonts w:ascii="Times New Roman" w:cs="Times New Roman" w:eastAsia="Times New Roman" w:hAnsi="Times New Roman"/>
          <w:sz w:val="18"/>
          <w:szCs w:val="18"/>
          <w:i w:val="1"/>
          <w:iCs w:val="1"/>
          <w:color w:val="auto"/>
        </w:rPr>
        <w:t>belastbaar resultaat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uit overige werkzaamheden</w:t>
      </w:r>
      <w:r>
        <w:rPr>
          <w:rFonts w:ascii="Times New Roman" w:cs="Times New Roman" w:eastAsia="Times New Roman" w:hAnsi="Times New Roman"/>
          <w:sz w:val="18"/>
          <w:szCs w:val="18"/>
          <w:color w:val="auto"/>
        </w:rPr>
        <w:t>) as defined in the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including, without limitation, activities that exceed normal, active asset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normaal, actief vermogensbeheer</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p>
    <w:p>
      <w:pPr>
        <w:spacing w:after="0" w:line="11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However, if the Shareholder or Warrant Holder demonstrates that the aggregate actual return for savings, debts and investments — calculated in accordance with the Dutch Counterevidence Act (</w:t>
      </w:r>
      <w:r>
        <w:rPr>
          <w:rFonts w:ascii="Times New Roman" w:cs="Times New Roman" w:eastAsia="Times New Roman" w:hAnsi="Times New Roman"/>
          <w:sz w:val="18"/>
          <w:szCs w:val="18"/>
          <w:i w:val="1"/>
          <w:iCs w:val="1"/>
          <w:color w:val="auto"/>
        </w:rPr>
        <w:t>Wet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tegenbewijsregeling box 3</w:t>
      </w:r>
      <w:r>
        <w:rPr>
          <w:rFonts w:ascii="Times New Roman" w:cs="Times New Roman" w:eastAsia="Times New Roman" w:hAnsi="Times New Roman"/>
          <w:sz w:val="18"/>
          <w:szCs w:val="18"/>
          <w:color w:val="auto"/>
        </w:rPr>
        <w:t>) — is lower than the applicable aggregate deemed return, the taxable basis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that lower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individual’s taxable income from savings and investments (including the Ordinary Shares and Public Warrants) will be taxed at the prevailing statutory rate (36% in 2026).</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Non-residents</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 Shareholder or Warrant Holder which is not and is not deemed to be resident in the Netherlands for the relevant tax purposes will not be subject to taxation in the Netherlands on income or a capital gain derived from Ordinary Shares and Warrants, unless:</w:t>
      </w:r>
    </w:p>
    <w:p>
      <w:pPr>
        <w:spacing w:after="0" w:line="108" w:lineRule="exact"/>
        <w:rPr>
          <w:sz w:val="20"/>
          <w:szCs w:val="20"/>
          <w:color w:val="auto"/>
        </w:rPr>
      </w:pPr>
    </w:p>
    <w:p>
      <w:pPr>
        <w:ind w:left="1980" w:right="499" w:hanging="360"/>
        <w:spacing w:after="0" w:line="258" w:lineRule="auto"/>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or capital gain is attributable to an enterprise or part thereof which is either effectively managed in the Netherlands or carried on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a permanent representative (</w:t>
      </w:r>
      <w:r>
        <w:rPr>
          <w:rFonts w:ascii="Times New Roman" w:cs="Times New Roman" w:eastAsia="Times New Roman" w:hAnsi="Times New Roman"/>
          <w:sz w:val="18"/>
          <w:szCs w:val="18"/>
          <w:i w:val="1"/>
          <w:iCs w:val="1"/>
          <w:color w:val="auto"/>
        </w:rPr>
        <w:t>vaste vertegenwoordiger</w:t>
      </w:r>
      <w:r>
        <w:rPr>
          <w:rFonts w:ascii="Times New Roman" w:cs="Times New Roman" w:eastAsia="Times New Roman" w:hAnsi="Times New Roman"/>
          <w:sz w:val="18"/>
          <w:szCs w:val="18"/>
          <w:color w:val="auto"/>
        </w:rPr>
        <w:t>) taxable in the Netherlands and the Shareholder or Warrant Holder derives profits from such enterprise (other than by way of the holding of securities); or</w:t>
      </w:r>
    </w:p>
    <w:p>
      <w:pPr>
        <w:spacing w:after="0" w:line="115" w:lineRule="exact"/>
        <w:rPr>
          <w:rFonts w:ascii="Times New Roman" w:cs="Times New Roman" w:eastAsia="Times New Roman" w:hAnsi="Times New Roman"/>
          <w:sz w:val="18"/>
          <w:szCs w:val="18"/>
          <w:color w:val="auto"/>
        </w:rPr>
      </w:pPr>
    </w:p>
    <w:p>
      <w:pPr>
        <w:ind w:left="1980" w:right="779" w:hanging="360"/>
        <w:spacing w:after="0" w:line="258" w:lineRule="auto"/>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or Warrant Holder is an individual and the income or capital gain qualifies as income from miscellaneous activities (</w:t>
      </w:r>
      <w:r>
        <w:rPr>
          <w:rFonts w:ascii="Times New Roman" w:cs="Times New Roman" w:eastAsia="Times New Roman" w:hAnsi="Times New Roman"/>
          <w:sz w:val="18"/>
          <w:szCs w:val="18"/>
          <w:i w:val="1"/>
          <w:iCs w:val="1"/>
          <w:color w:val="auto"/>
        </w:rPr>
        <w:t>belastbaar resultaat uit overige werkzaamheden</w:t>
      </w:r>
      <w:r>
        <w:rPr>
          <w:rFonts w:ascii="Times New Roman" w:cs="Times New Roman" w:eastAsia="Times New Roman" w:hAnsi="Times New Roman"/>
          <w:sz w:val="18"/>
          <w:szCs w:val="18"/>
          <w:color w:val="auto"/>
        </w:rPr>
        <w:t>) in the Netherlands as defined in the Income Tax Act 2001 (</w:t>
      </w:r>
      <w:r>
        <w:rPr>
          <w:rFonts w:ascii="Times New Roman" w:cs="Times New Roman" w:eastAsia="Times New Roman" w:hAnsi="Times New Roman"/>
          <w:sz w:val="18"/>
          <w:szCs w:val="18"/>
          <w:i w:val="1"/>
          <w:iCs w:val="1"/>
          <w:color w:val="auto"/>
        </w:rPr>
        <w:t>Wet inkomstenbelasting 2001</w:t>
      </w:r>
      <w:r>
        <w:rPr>
          <w:rFonts w:ascii="Times New Roman" w:cs="Times New Roman" w:eastAsia="Times New Roman" w:hAnsi="Times New Roman"/>
          <w:sz w:val="18"/>
          <w:szCs w:val="18"/>
          <w:color w:val="auto"/>
        </w:rPr>
        <w:t>), including, without limitation, activities that exceed normal, active asset management (</w:t>
      </w:r>
      <w:r>
        <w:rPr>
          <w:rFonts w:ascii="Times New Roman" w:cs="Times New Roman" w:eastAsia="Times New Roman" w:hAnsi="Times New Roman"/>
          <w:sz w:val="18"/>
          <w:szCs w:val="18"/>
          <w:i w:val="1"/>
          <w:iCs w:val="1"/>
          <w:color w:val="auto"/>
        </w:rPr>
        <w:t>normaal, actief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vermogensbeheer</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Gift and Inheritance Taxes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Dutch gift or inheritance taxes will not be levied on the occasion of the transfer of a Shareholder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 Holder by way of gift by, or on the death of, a holder, unless:</w:t>
      </w:r>
    </w:p>
    <w:p>
      <w:pPr>
        <w:spacing w:after="0" w:line="139" w:lineRule="exact"/>
        <w:rPr>
          <w:sz w:val="20"/>
          <w:szCs w:val="20"/>
          <w:color w:val="auto"/>
        </w:rPr>
      </w:pPr>
    </w:p>
    <w:p>
      <w:pPr>
        <w:ind w:left="1980" w:right="999" w:hanging="360"/>
        <w:spacing w:after="0" w:line="282" w:lineRule="auto"/>
        <w:tabs>
          <w:tab w:leader="none" w:pos="1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or is deemed to be resident in the Netherlands for the purpose of the relevant provisions; or</w:t>
      </w:r>
    </w:p>
    <w:p>
      <w:pPr>
        <w:spacing w:after="0" w:line="94" w:lineRule="exact"/>
        <w:rPr>
          <w:rFonts w:ascii="Times New Roman" w:cs="Times New Roman" w:eastAsia="Times New Roman" w:hAnsi="Times New Roman"/>
          <w:sz w:val="18"/>
          <w:szCs w:val="18"/>
          <w:color w:val="auto"/>
        </w:rPr>
      </w:pPr>
    </w:p>
    <w:p>
      <w:pPr>
        <w:jc w:val="both"/>
        <w:ind w:left="1980" w:right="699" w:hanging="360"/>
        <w:spacing w:after="0" w:line="266" w:lineRule="auto"/>
        <w:tabs>
          <w:tab w:leader="none" w:pos="1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is construed as an inheritance or gift made by, or on behalf of, a person who, at the time of the gift or death, is or is deemed to be resident in the Netherlands for the purpose of the relevant provisions.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Value Added Tax</w:t>
      </w:r>
    </w:p>
    <w:p>
      <w:pPr>
        <w:spacing w:after="0" w:line="160"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Taxes and Duties</w:t>
      </w:r>
    </w:p>
    <w:p>
      <w:pPr>
        <w:spacing w:after="0" w:line="146"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There is no Dutch registration tax, stamp duty, or any other similar tax or duty payable in the Netherlands in respect of or in connection with the subscription, issue, placement, allotment, delivery or transfer of Ordinary Shares and Warrants.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Residence</w:t>
      </w:r>
    </w:p>
    <w:p>
      <w:pPr>
        <w:spacing w:after="0" w:line="160"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German Tax Considerations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 w:cs="Times New Roman" w:eastAsia="Times New Roman" w:hAnsi="Times New Roman"/>
          <w:sz w:val="18"/>
          <w:szCs w:val="18"/>
          <w:i w:val="1"/>
          <w:iCs w:val="1"/>
          <w:color w:val="auto"/>
        </w:rPr>
        <w:t>Umwandlungssteuergesetz</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w:t>
      </w:r>
    </w:p>
    <w:p>
      <w:pPr>
        <w:spacing w:after="0" w:line="3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Residency Status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w:t>
      </w:r>
    </w:p>
    <w:p>
      <w:pPr>
        <w:spacing w:after="0" w:line="32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German Taxation of Holders of Ordinary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Withholding Tax on Dividend Payments</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 w:cs="Times New Roman" w:eastAsia="Times New Roman" w:hAnsi="Times New Roman"/>
          <w:sz w:val="18"/>
          <w:szCs w:val="18"/>
          <w:i w:val="1"/>
          <w:iCs w:val="1"/>
          <w:color w:val="auto"/>
        </w:rPr>
        <w:t>steuerliches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Einlagekonto</w:t>
      </w:r>
      <w:r>
        <w:rPr>
          <w:rFonts w:ascii="Times New Roman" w:cs="Times New Roman" w:eastAsia="Times New Roman" w:hAnsi="Times New Roman"/>
          <w:sz w:val="18"/>
          <w:szCs w:val="18"/>
          <w:color w:val="auto"/>
        </w:rPr>
        <w:t>)) or fully or partially withholding tax exempt, as further described. The withholding tax rate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plus a 5.5%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solidarity surcharge (</w:t>
      </w:r>
      <w:r>
        <w:rPr>
          <w:rFonts w:ascii="Times New Roman" w:cs="Times New Roman" w:eastAsia="Times New Roman" w:hAnsi="Times New Roman"/>
          <w:sz w:val="18"/>
          <w:szCs w:val="18"/>
          <w:i w:val="1"/>
          <w:iCs w:val="1"/>
          <w:color w:val="auto"/>
        </w:rPr>
        <w:t>Solidaritätszuschlag</w:t>
      </w:r>
      <w:r>
        <w:rPr>
          <w:rFonts w:ascii="Times New Roman" w:cs="Times New Roman" w:eastAsia="Times New Roman" w:hAnsi="Times New Roman"/>
          <w:sz w:val="18"/>
          <w:szCs w:val="18"/>
          <w:color w:val="auto"/>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 w:cs="Times New Roman" w:eastAsia="Times New Roman" w:hAnsi="Times New Roman"/>
          <w:sz w:val="18"/>
          <w:szCs w:val="18"/>
          <w:i w:val="1"/>
          <w:iCs w:val="1"/>
          <w:color w:val="auto"/>
        </w:rPr>
        <w:t>Kredit- oder Finanzdienstleistungsinstitut</w:t>
      </w:r>
      <w:r>
        <w:rPr>
          <w:rFonts w:ascii="Times New Roman" w:cs="Times New Roman" w:eastAsia="Times New Roman" w:hAnsi="Times New Roman"/>
          <w:sz w:val="18"/>
          <w:szCs w:val="18"/>
          <w:color w:val="auto"/>
        </w:rPr>
        <w:t>) or by the domestic securities institution (</w:t>
      </w:r>
      <w:r>
        <w:rPr>
          <w:rFonts w:ascii="Times New Roman" w:cs="Times New Roman" w:eastAsia="Times New Roman" w:hAnsi="Times New Roman"/>
          <w:sz w:val="18"/>
          <w:szCs w:val="18"/>
          <w:i w:val="1"/>
          <w:iCs w:val="1"/>
          <w:color w:val="auto"/>
        </w:rPr>
        <w:t>inländisches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Wertpapierinstitut</w:t>
      </w:r>
      <w:r>
        <w:rPr>
          <w:rFonts w:ascii="Times New Roman" w:cs="Times New Roman" w:eastAsia="Times New Roman" w:hAnsi="Times New Roman"/>
          <w:sz w:val="18"/>
          <w:szCs w:val="18"/>
          <w:color w:val="auto"/>
        </w:rPr>
        <w:t>) that keeps and administers the Ordinary Shares and disburses or credits the dividends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disburses the dividends to a foreign agent, or by the securities custodian bank (</w:t>
      </w:r>
      <w:r>
        <w:rPr>
          <w:rFonts w:ascii="Times New Roman" w:cs="Times New Roman" w:eastAsia="Times New Roman" w:hAnsi="Times New Roman"/>
          <w:sz w:val="18"/>
          <w:szCs w:val="18"/>
          <w:i w:val="1"/>
          <w:iCs w:val="1"/>
          <w:color w:val="auto"/>
        </w:rPr>
        <w:t>Wertpapiersammelbank</w:t>
      </w:r>
      <w:r>
        <w:rPr>
          <w:rFonts w:ascii="Times New Roman" w:cs="Times New Roman" w:eastAsia="Times New Roman" w:hAnsi="Times New Roman"/>
          <w:sz w:val="18"/>
          <w:szCs w:val="18"/>
          <w:color w:val="auto"/>
        </w:rPr>
        <w:t>)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w:t>
      </w:r>
    </w:p>
    <w:p>
      <w:pPr>
        <w:spacing w:after="0" w:line="12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 w:cs="Times New Roman" w:eastAsia="Times New Roman" w:hAnsi="Times New Roman"/>
          <w:sz w:val="18"/>
          <w:szCs w:val="18"/>
          <w:i w:val="1"/>
          <w:iCs w:val="1"/>
          <w:color w:val="auto"/>
        </w:rPr>
        <w:t>Einkommensteuergesetz</w:t>
      </w:r>
      <w:r>
        <w:rPr>
          <w:rFonts w:ascii="Times New Roman" w:cs="Times New Roman" w:eastAsia="Times New Roman" w:hAnsi="Times New Roman"/>
          <w:sz w:val="18"/>
          <w:szCs w:val="18"/>
          <w:color w:val="auto"/>
        </w:rPr>
        <w:t>) must not be fulfilled.</w:t>
      </w:r>
    </w:p>
    <w:p>
      <w:pPr>
        <w:spacing w:after="0" w:line="11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 w:cs="Times New Roman" w:eastAsia="Times New Roman" w:hAnsi="Times New Roman"/>
          <w:sz w:val="18"/>
          <w:szCs w:val="18"/>
          <w:i w:val="1"/>
          <w:iCs w:val="1"/>
          <w:color w:val="auto"/>
        </w:rPr>
        <w:t>Einkommensteuergesetz</w:t>
      </w:r>
      <w:r>
        <w:rPr>
          <w:rFonts w:ascii="Times New Roman" w:cs="Times New Roman" w:eastAsia="Times New Roman" w:hAnsi="Times New Roman"/>
          <w:sz w:val="18"/>
          <w:szCs w:val="18"/>
          <w:color w:val="auto"/>
        </w:rPr>
        <w:t>) must be fulfilled.</w:t>
      </w:r>
    </w:p>
    <w:p>
      <w:pPr>
        <w:spacing w:after="0" w:line="105"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the case of dividends received by corporate bodies (</w:t>
      </w:r>
      <w:r>
        <w:rPr>
          <w:rFonts w:ascii="Times New Roman" w:cs="Times New Roman" w:eastAsia="Times New Roman" w:hAnsi="Times New Roman"/>
          <w:sz w:val="18"/>
          <w:szCs w:val="18"/>
          <w:i w:val="1"/>
          <w:iCs w:val="1"/>
          <w:color w:val="auto"/>
        </w:rPr>
        <w:t>Körperschaften</w:t>
      </w:r>
      <w:r>
        <w:rPr>
          <w:rFonts w:ascii="Times New Roman" w:cs="Times New Roman" w:eastAsia="Times New Roman" w:hAnsi="Times New Roman"/>
          <w:sz w:val="18"/>
          <w:szCs w:val="18"/>
          <w:color w:val="auto"/>
        </w:rPr>
        <w:t>)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 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w:t>
      </w:r>
    </w:p>
    <w:p>
      <w:pPr>
        <w:spacing w:after="0" w:line="123"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application for a refund of withholding tax under the EU Parent Subsidiary Directive, a tax treaty or the aforementioned option for foreign corporate bodies is to be filed with the German Federal Central Tax Office (</w:t>
      </w:r>
      <w:r>
        <w:rPr>
          <w:rFonts w:ascii="Times New Roman" w:cs="Times New Roman" w:eastAsia="Times New Roman" w:hAnsi="Times New Roman"/>
          <w:sz w:val="18"/>
          <w:szCs w:val="18"/>
          <w:i w:val="1"/>
          <w:iCs w:val="1"/>
          <w:color w:val="auto"/>
        </w:rPr>
        <w:t>Bundeszentralamt für Steuern</w:t>
      </w:r>
      <w:r>
        <w:rPr>
          <w:rFonts w:ascii="Times New Roman" w:cs="Times New Roman" w:eastAsia="Times New Roman" w:hAnsi="Times New Roman"/>
          <w:sz w:val="18"/>
          <w:szCs w:val="18"/>
          <w:color w:val="auto"/>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 w:cs="Times New Roman" w:eastAsia="Times New Roman" w:hAnsi="Times New Roman"/>
          <w:sz w:val="18"/>
          <w:szCs w:val="18"/>
          <w:i w:val="1"/>
          <w:iCs w:val="1"/>
          <w:color w:val="auto"/>
        </w:rPr>
        <w:t>Kapitalertragsteuerbescheinigung</w:t>
      </w:r>
      <w:r>
        <w:rPr>
          <w:rFonts w:ascii="Times New Roman" w:cs="Times New Roman" w:eastAsia="Times New Roman" w:hAnsi="Times New Roman"/>
          <w:sz w:val="18"/>
          <w:szCs w:val="18"/>
          <w:color w:val="auto"/>
        </w:rPr>
        <w:t>)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solidarity surcharge, and the tax liability determined on the basis of the EU Parent Subsidiary Directive</w:t>
      </w:r>
    </w:p>
    <w:p>
      <w:pPr>
        <w:spacing w:after="0" w:line="27" w:lineRule="exact"/>
        <w:rPr>
          <w:sz w:val="20"/>
          <w:szCs w:val="20"/>
          <w:color w:val="auto"/>
        </w:rPr>
      </w:pPr>
    </w:p>
    <w:p>
      <w:pPr>
        <w:ind w:left="1260" w:right="679"/>
        <w:spacing w:after="0" w:line="245" w:lineRule="auto"/>
        <w:tabs>
          <w:tab w:leader="none" w:pos="15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on the basis of the tax rate set forth in the applicable tax treaty (15%, 5% or 0) % is refunded by the German Federal Central Tax Office.</w:t>
      </w:r>
    </w:p>
    <w:p>
      <w:pPr>
        <w:spacing w:after="0" w:line="113"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If, under fulfillment of the prerequisites of the EU Parent Subsidiary Directive or a tax treaty, withholding tax is not to be levied at all, the relevant shareholder must apply to the German Federal Central Tax Office for the issuance of an exemption certificate (</w:t>
      </w:r>
      <w:r>
        <w:rPr>
          <w:rFonts w:ascii="Times New Roman" w:cs="Times New Roman" w:eastAsia="Times New Roman" w:hAnsi="Times New Roman"/>
          <w:sz w:val="18"/>
          <w:szCs w:val="18"/>
          <w:i w:val="1"/>
          <w:iCs w:val="1"/>
          <w:color w:val="auto"/>
        </w:rPr>
        <w:t>Freistellungsbescheinigung</w:t>
      </w:r>
      <w:r>
        <w:rPr>
          <w:rFonts w:ascii="Times New Roman" w:cs="Times New Roman" w:eastAsia="Times New Roman" w:hAnsi="Times New Roman"/>
          <w:sz w:val="18"/>
          <w:szCs w:val="18"/>
          <w:color w:val="auto"/>
        </w:rPr>
        <w:t>) that documents that the prerequisites for the application of the reduced withholding tax rates have been met. Dividends covered by the exemption certificate of the shareholder are then only subject to the reduced withholding tax rates stipulated in the exemption certificate.</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note that applying for a non-assessment notice and/or applying for a refund might require a</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significant amount of time. On 2 April 2024, the German Federal Government published a statement,</w:t>
      </w:r>
    </w:p>
    <w:p>
      <w:pPr>
        <w:ind w:left="1260"/>
        <w:spacing w:after="0"/>
        <w:rPr>
          <w:sz w:val="20"/>
          <w:szCs w:val="20"/>
          <w:color w:val="auto"/>
        </w:rPr>
      </w:pPr>
      <w:r>
        <w:rPr>
          <w:rFonts w:ascii="Times New Roman" w:cs="Times New Roman" w:eastAsia="Times New Roman" w:hAnsi="Times New Roman"/>
          <w:sz w:val="18"/>
          <w:szCs w:val="18"/>
          <w:color w:val="auto"/>
        </w:rPr>
        <w:t>according to which the Central Federal Tax Office currently needs (on an average basis) 480 days for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deciding about the issuance of non-assessment notices under relief of source procedures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Freistellungsverfahren</w:t>
      </w:r>
      <w:r>
        <w:rPr>
          <w:rFonts w:ascii="Times New Roman" w:cs="Times New Roman" w:eastAsia="Times New Roman" w:hAnsi="Times New Roman"/>
          <w:sz w:val="18"/>
          <w:szCs w:val="18"/>
          <w:color w:val="auto"/>
        </w:rPr>
        <w:t>) and 615 days for deciding about refunds under the retain and refund procedures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Erstattungsverfahren</w:t>
      </w:r>
      <w:r>
        <w:rPr>
          <w:rFonts w:ascii="Times New Roman" w:cs="Times New Roman" w:eastAsia="Times New Roman" w:hAnsi="Times New Roman"/>
          <w:sz w:val="18"/>
          <w:szCs w:val="18"/>
          <w:color w:val="auto"/>
        </w:rPr>
        <w:t>). According to a recent statement on the website of the German Federal Central Tax</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 due to the large number of applications received, processing times for refund can exceed 20 months.</w:t>
      </w:r>
    </w:p>
    <w:p>
      <w:pPr>
        <w:spacing w:after="0" w:line="126" w:lineRule="exact"/>
        <w:rPr>
          <w:sz w:val="20"/>
          <w:szCs w:val="20"/>
          <w:color w:val="auto"/>
        </w:rPr>
      </w:pPr>
    </w:p>
    <w:p>
      <w:pPr>
        <w:ind w:left="1260" w:right="759" w:firstLine="360"/>
        <w:spacing w:after="0" w:line="246" w:lineRule="auto"/>
        <w:rPr>
          <w:sz w:val="20"/>
          <w:szCs w:val="20"/>
          <w:color w:val="auto"/>
        </w:rPr>
      </w:pPr>
      <w:r>
        <w:rPr>
          <w:rFonts w:ascii="Times New Roman" w:cs="Times New Roman" w:eastAsia="Times New Roman" w:hAnsi="Times New Roman"/>
          <w:sz w:val="18"/>
          <w:szCs w:val="18"/>
          <w:color w:val="auto"/>
        </w:rPr>
        <w:t>The aforementioned refunds of (or exemptions from) withholding tax are further restricted if (i) the applicable tax treaty provides for a tax reduction resulting in an applicable tax rate of less than 15% and</w:t>
      </w:r>
    </w:p>
    <w:p>
      <w:pPr>
        <w:spacing w:after="0" w:line="1" w:lineRule="exact"/>
        <w:rPr>
          <w:sz w:val="20"/>
          <w:szCs w:val="20"/>
          <w:color w:val="auto"/>
        </w:rPr>
      </w:pPr>
    </w:p>
    <w:p>
      <w:pPr>
        <w:ind w:left="1260" w:right="579"/>
        <w:spacing w:after="0"/>
        <w:tabs>
          <w:tab w:leader="none" w:pos="154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w:t>
      </w:r>
    </w:p>
    <w:p>
      <w:pPr>
        <w:ind w:left="1260" w:right="439"/>
        <w:spacing w:after="0" w:line="241" w:lineRule="auto"/>
        <w:tabs>
          <w:tab w:leader="none" w:pos="14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w:t>
      </w:r>
    </w:p>
    <w:p>
      <w:pPr>
        <w:spacing w:after="0" w:line="11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w:t>
      </w:r>
    </w:p>
    <w:p>
      <w:pPr>
        <w:spacing w:after="0" w:line="114"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w:t>
      </w:r>
    </w:p>
    <w:p>
      <w:pPr>
        <w:spacing w:after="0" w:line="32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For individual or corporate shareholders tax resident outside Germany not holding the Ordinary Shares through a permanent establishment (</w:t>
      </w:r>
      <w:r>
        <w:rPr>
          <w:rFonts w:ascii="Times New Roman" w:cs="Times New Roman" w:eastAsia="Times New Roman" w:hAnsi="Times New Roman"/>
          <w:sz w:val="18"/>
          <w:szCs w:val="18"/>
          <w:i w:val="1"/>
          <w:iCs w:val="1"/>
          <w:color w:val="auto"/>
        </w:rPr>
        <w:t>Betriebsstätte</w:t>
      </w:r>
      <w:r>
        <w:rPr>
          <w:rFonts w:ascii="Times New Roman" w:cs="Times New Roman" w:eastAsia="Times New Roman" w:hAnsi="Times New Roman"/>
          <w:sz w:val="18"/>
          <w:szCs w:val="18"/>
          <w:color w:val="auto"/>
        </w:rPr>
        <w:t>) in Germany or as business assets (</w:t>
      </w:r>
      <w:r>
        <w:rPr>
          <w:rFonts w:ascii="Times New Roman" w:cs="Times New Roman" w:eastAsia="Times New Roman" w:hAnsi="Times New Roman"/>
          <w:sz w:val="18"/>
          <w:szCs w:val="18"/>
          <w:i w:val="1"/>
          <w:iCs w:val="1"/>
          <w:color w:val="auto"/>
        </w:rPr>
        <w:t>Betriebsvermögen</w:t>
      </w:r>
      <w:r>
        <w:rPr>
          <w:rFonts w:ascii="Times New Roman" w:cs="Times New Roman" w:eastAsia="Times New Roman" w:hAnsi="Times New Roman"/>
          <w:sz w:val="18"/>
          <w:szCs w:val="18"/>
          <w:color w:val="auto"/>
        </w:rPr>
        <w:t>) for which a permanent representative (</w:t>
      </w:r>
      <w:r>
        <w:rPr>
          <w:rFonts w:ascii="Times New Roman" w:cs="Times New Roman" w:eastAsia="Times New Roman" w:hAnsi="Times New Roman"/>
          <w:sz w:val="18"/>
          <w:szCs w:val="18"/>
          <w:i w:val="1"/>
          <w:iCs w:val="1"/>
          <w:color w:val="auto"/>
        </w:rPr>
        <w:t>ständiger Vertreter</w:t>
      </w:r>
      <w:r>
        <w:rPr>
          <w:rFonts w:ascii="Times New Roman" w:cs="Times New Roman" w:eastAsia="Times New Roman" w:hAnsi="Times New Roman"/>
          <w:sz w:val="18"/>
          <w:szCs w:val="18"/>
          <w:color w:val="auto"/>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subject to the exceptions described in the following section.</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u w:val="single" w:color="auto"/>
          <w:color w:val="auto"/>
        </w:rPr>
        <w:t>Taxation of Dividend Income of Shareholders Tax Resident in Germany Holding Ordinary Shares as Private Assets (Private Individuals)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individual shareholders (individuals) resident in Germany holding Ordinary Shares as private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assets, dividends are subject to a flat rate tax, which is satisfied by the withholding tax actually withheld</w:t>
      </w: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Accordingly, dividend income will be taxed at a flat tax rate of 25% plus 5.5% solidarity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surcharge thereon totaling 26.375% and church tax (</w:t>
      </w:r>
      <w:r>
        <w:rPr>
          <w:rFonts w:ascii="Times New Roman" w:cs="Times New Roman" w:eastAsia="Times New Roman" w:hAnsi="Times New Roman"/>
          <w:sz w:val="18"/>
          <w:szCs w:val="18"/>
          <w:i w:val="1"/>
          <w:iCs w:val="1"/>
          <w:color w:val="auto"/>
        </w:rPr>
        <w:t>Kirchensteuer</w:t>
      </w:r>
      <w:r>
        <w:rPr>
          <w:rFonts w:ascii="Times New Roman" w:cs="Times New Roman" w:eastAsia="Times New Roman" w:hAnsi="Times New Roman"/>
          <w:sz w:val="18"/>
          <w:szCs w:val="18"/>
          <w:color w:val="auto"/>
        </w:rPr>
        <w:t>) in case the shareholder is subject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church tax because of his or her personal circumstances. An automatic procedure for deduction of church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by way of withholding will apply to shareholders being subject to church tax, unless the shareholder has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German Federal Tax Office (details related to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computation of the specific tax rate, including church tax, are to be discussed with the individual tax advisor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the relevant shareholder). Except for an annual lump sum savings allowance (</w:t>
      </w:r>
      <w:r>
        <w:rPr>
          <w:rFonts w:ascii="Times New Roman" w:cs="Times New Roman" w:eastAsia="Times New Roman" w:hAnsi="Times New Roman"/>
          <w:sz w:val="18"/>
          <w:szCs w:val="18"/>
          <w:i w:val="1"/>
          <w:iCs w:val="1"/>
          <w:color w:val="auto"/>
        </w:rPr>
        <w:t>Sparer-Pauschbetrag</w:t>
      </w:r>
      <w:r>
        <w:rPr>
          <w:rFonts w:ascii="Times New Roman" w:cs="Times New Roman" w:eastAsia="Times New Roman" w:hAnsi="Times New Roman"/>
          <w:sz w:val="18"/>
          <w:szCs w:val="18"/>
          <w:color w:val="auto"/>
        </w:rPr>
        <w:t>) of up</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€1,000 (for individual filers) or up to €2,000 (for married couples and for partners in accordance with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registered partnership law (</w:t>
      </w:r>
      <w:r>
        <w:rPr>
          <w:rFonts w:ascii="Times New Roman" w:cs="Times New Roman" w:eastAsia="Times New Roman" w:hAnsi="Times New Roman"/>
          <w:sz w:val="18"/>
          <w:szCs w:val="18"/>
          <w:i w:val="1"/>
          <w:iCs w:val="1"/>
          <w:color w:val="auto"/>
        </w:rPr>
        <w:t>Gesetz über die Eingetragene Lebenspartnerschaft</w:t>
      </w:r>
      <w:r>
        <w:rPr>
          <w:rFonts w:ascii="Times New Roman" w:cs="Times New Roman" w:eastAsia="Times New Roman" w:hAnsi="Times New Roman"/>
          <w:sz w:val="18"/>
          <w:szCs w:val="18"/>
          <w:color w:val="auto"/>
        </w:rPr>
        <w:t>) filing jointly), private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individual shareholders will not be entitled to deduct expenses incurred in connection with the capital</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from their dividend income.</w:t>
      </w:r>
    </w:p>
    <w:p>
      <w:pPr>
        <w:spacing w:after="0" w:line="12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Exceptions from the flat rate tax (satisfied by withholding the tax at source, A</w:t>
      </w:r>
      <w:r>
        <w:rPr>
          <w:rFonts w:ascii="Times New Roman" w:cs="Times New Roman" w:eastAsia="Times New Roman" w:hAnsi="Times New Roman"/>
          <w:sz w:val="18"/>
          <w:szCs w:val="18"/>
          <w:i w:val="1"/>
          <w:iCs w:val="1"/>
          <w:color w:val="auto"/>
        </w:rPr>
        <w:t>bgeltungswirkung</w:t>
      </w:r>
      <w:r>
        <w:rPr>
          <w:rFonts w:ascii="Times New Roman" w:cs="Times New Roman" w:eastAsia="Times New Roman" w:hAnsi="Times New Roman"/>
          <w:sz w:val="18"/>
          <w:szCs w:val="18"/>
          <w:color w:val="auto"/>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w:t>
      </w:r>
      <w:r>
        <w:rPr>
          <w:rFonts w:ascii="Times New Roman" w:cs="Times New Roman" w:eastAsia="Times New Roman" w:hAnsi="Times New Roman"/>
          <w:sz w:val="18"/>
          <w:szCs w:val="18"/>
          <w:i w:val="1"/>
          <w:iCs w:val="1"/>
          <w:color w:val="auto"/>
        </w:rPr>
        <w:t>“— Taxation of Dividend Income of Shareholders Tax Resident in Germany Holding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as Business Assets — Sole Proprietors</w:t>
      </w:r>
      <w:r>
        <w:rPr>
          <w:rFonts w:ascii="Times New Roman" w:cs="Times New Roman" w:eastAsia="Times New Roman" w:hAnsi="Times New Roman"/>
          <w:sz w:val="18"/>
          <w:szCs w:val="18"/>
          <w:color w:val="auto"/>
        </w:rPr>
        <w:t>”). Further, the flat rate tax does not apply if and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reduced Schmid taxable income.</w:t>
      </w:r>
    </w:p>
    <w:p>
      <w:pPr>
        <w:spacing w:after="0" w:line="182" w:lineRule="exact"/>
        <w:rPr>
          <w:sz w:val="20"/>
          <w:szCs w:val="20"/>
          <w:color w:val="auto"/>
        </w:rPr>
      </w:pPr>
    </w:p>
    <w:p>
      <w:pPr>
        <w:ind w:left="1260" w:right="1039"/>
        <w:spacing w:after="0" w:line="266" w:lineRule="auto"/>
        <w:rPr>
          <w:sz w:val="20"/>
          <w:szCs w:val="20"/>
          <w:color w:val="auto"/>
        </w:rPr>
      </w:pPr>
      <w:r>
        <w:rPr>
          <w:rFonts w:ascii="Times New Roman" w:cs="Times New Roman" w:eastAsia="Times New Roman" w:hAnsi="Times New Roman"/>
          <w:sz w:val="18"/>
          <w:szCs w:val="18"/>
          <w:u w:val="single" w:color="auto"/>
          <w:color w:val="auto"/>
        </w:rPr>
        <w:t>Taxation of Dividend Income of Shareholders Tax Resident in Germany Holding Ordinary Shares as Business Assets</w:t>
      </w:r>
    </w:p>
    <w:p>
      <w:pPr>
        <w:spacing w:after="0" w:line="9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If a shareholder holds Ordinary Shares as business assets, the taxation of the dividend income depends on whether the respective shareholder is a corporation, a sole proprietor or a partnership.</w:t>
      </w:r>
    </w:p>
    <w:p>
      <w:pPr>
        <w:spacing w:after="0" w:line="8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 w:cs="Times New Roman" w:eastAsia="Times New Roman" w:hAnsi="Times New Roman"/>
          <w:sz w:val="18"/>
          <w:szCs w:val="18"/>
          <w:i w:val="1"/>
          <w:iCs w:val="1"/>
          <w:color w:val="auto"/>
        </w:rPr>
        <w:t>Mitunternehmerschaften</w:t>
      </w:r>
      <w:r>
        <w:rPr>
          <w:rFonts w:ascii="Times New Roman" w:cs="Times New Roman" w:eastAsia="Times New Roman" w:hAnsi="Times New Roman"/>
          <w:sz w:val="18"/>
          <w:szCs w:val="18"/>
          <w:color w:val="auto"/>
        </w:rPr>
        <w:t>),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w:t>
      </w:r>
    </w:p>
    <w:p>
      <w:pPr>
        <w:spacing w:after="0" w:line="125"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 w:cs="Times New Roman" w:eastAsia="Times New Roman" w:hAnsi="Times New Roman"/>
          <w:sz w:val="18"/>
          <w:szCs w:val="18"/>
          <w:i w:val="1"/>
          <w:iCs w:val="1"/>
          <w:color w:val="auto"/>
        </w:rPr>
        <w:t>Erhebungszeitraum</w:t>
      </w:r>
      <w:r>
        <w:rPr>
          <w:rFonts w:ascii="Times New Roman" w:cs="Times New Roman" w:eastAsia="Times New Roman" w:hAnsi="Times New Roman"/>
          <w:sz w:val="18"/>
          <w:szCs w:val="18"/>
          <w:color w:val="auto"/>
        </w:rPr>
        <w:t>). In such case, the dividends are not subject to trade tax. However, trade tax is levied on the amount considered to be a non-deductible business expense (amounting to 5% of the dividend). Trade</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 xml:space="preserve">tax depends on the municipal trade tax multiplier applied by the relevant municipal authority. In the case of an indirect participation via a partnership, please refer to the section </w:t>
      </w:r>
      <w:r>
        <w:rPr>
          <w:rFonts w:ascii="Times New Roman" w:cs="Times New Roman" w:eastAsia="Times New Roman" w:hAnsi="Times New Roman"/>
          <w:sz w:val="18"/>
          <w:szCs w:val="18"/>
          <w:i w:val="1"/>
          <w:iCs w:val="1"/>
          <w:color w:val="auto"/>
        </w:rPr>
        <w:t>“— Partnerships</w:t>
      </w:r>
      <w:r>
        <w:rPr>
          <w:rFonts w:ascii="Times New Roman" w:cs="Times New Roman" w:eastAsia="Times New Roman" w:hAnsi="Times New Roman"/>
          <w:sz w:val="18"/>
          <w:szCs w:val="18"/>
          <w:color w:val="auto"/>
        </w:rPr>
        <w:t>” below.</w:t>
      </w:r>
    </w:p>
    <w:p>
      <w:pPr>
        <w:spacing w:after="0" w:line="81"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w:t>
      </w:r>
    </w:p>
    <w:p>
      <w:pPr>
        <w:spacing w:after="0" w:line="32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w:t>
      </w:r>
    </w:p>
    <w:p>
      <w:pPr>
        <w:spacing w:after="0" w:line="4" w:lineRule="exact"/>
        <w:rPr>
          <w:sz w:val="20"/>
          <w:szCs w:val="20"/>
          <w:color w:val="auto"/>
        </w:rPr>
      </w:pPr>
    </w:p>
    <w:p>
      <w:pPr>
        <w:ind w:left="1260" w:right="619"/>
        <w:spacing w:after="0" w:line="242" w:lineRule="auto"/>
        <w:tabs>
          <w:tab w:leader="none" w:pos="159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life insurance company, a health insurance company or a pension fund in the case the shares are attributable to the capital investments, resulting in fully taxable income (any shareholder falling under (i),</w:t>
      </w:r>
    </w:p>
    <w:p>
      <w:pPr>
        <w:spacing w:after="0" w:line="1"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a “Non-Exempt Corporation”).</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Sole proprietors</w:t>
      </w:r>
    </w:p>
    <w:p>
      <w:pPr>
        <w:spacing w:after="0" w:line="15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For sole proprietors (individuals) resident in Germany holding Ordinary Shares as business assets, dividends are subject to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xml:space="preserve">).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 </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 w:cs="Times New Roman" w:eastAsia="Times New Roman" w:hAnsi="Times New Roman"/>
          <w:sz w:val="18"/>
          <w:szCs w:val="18"/>
          <w:i w:val="1"/>
          <w:iCs w:val="1"/>
          <w:color w:val="auto"/>
        </w:rPr>
        <w:t>Gewerbesteuer-Messbetrag</w:t>
      </w:r>
      <w:r>
        <w:rPr>
          <w:rFonts w:ascii="Times New Roman" w:cs="Times New Roman" w:eastAsia="Times New Roman" w:hAnsi="Times New Roman"/>
          <w:sz w:val="18"/>
          <w:szCs w:val="18"/>
          <w:color w:val="auto"/>
        </w:rPr>
        <w:t>) and also limited to the amount of trade tax actually to be paid.</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Partnerships</w:t>
      </w:r>
    </w:p>
    <w:p>
      <w:pPr>
        <w:spacing w:after="0" w:line="15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w:t>
      </w:r>
    </w:p>
    <w:p>
      <w:pPr>
        <w:spacing w:after="0" w:line="73" w:lineRule="exact"/>
        <w:rPr>
          <w:sz w:val="20"/>
          <w:szCs w:val="20"/>
          <w:color w:val="auto"/>
        </w:rPr>
      </w:pPr>
    </w:p>
    <w:p>
      <w:pPr>
        <w:ind w:left="1800" w:right="89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partner is a corporation, the dividend income will be subject to corporate income tax plus solidarity surcharge (see above </w:t>
      </w:r>
      <w:r>
        <w:rPr>
          <w:rFonts w:ascii="Times New Roman" w:cs="Times New Roman" w:eastAsia="Times New Roman" w:hAnsi="Times New Roman"/>
          <w:sz w:val="18"/>
          <w:szCs w:val="18"/>
          <w:i w:val="1"/>
          <w:iCs w:val="1"/>
          <w:color w:val="auto"/>
        </w:rPr>
        <w:t>“— Corporations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partner is a sole proprietor, the dividend income will be subject to the partial income rule (see above </w:t>
      </w:r>
      <w:r>
        <w:rPr>
          <w:rFonts w:ascii="Times New Roman" w:cs="Times New Roman" w:eastAsia="Times New Roman" w:hAnsi="Times New Roman"/>
          <w:sz w:val="18"/>
          <w:szCs w:val="18"/>
          <w:i w:val="1"/>
          <w:iCs w:val="1"/>
          <w:color w:val="auto"/>
        </w:rPr>
        <w:t>“— Sole Proprietors</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partner is a private individual — only possible if the partnership is not a (operative or deemed) commercial partnership, the dividend income will be subject to the flat tax rate (see above </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 Individuals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40% exempt from trade tax to the extent the partners of the partnership are sole proprietors. Any trade tax levied on the level of the partnership will be eligible for credit against an individual shareholder’s personal income tax liability based on the applicable municipal trade tax rate, depending on the individual tax situation of the shareholder and further circumstances and limited to currently 4.0 times the partial trade tax measurement amount allocable to such individual shareholder.</w:t>
      </w:r>
    </w:p>
    <w:p>
      <w:pPr>
        <w:spacing w:after="0" w:line="110" w:lineRule="exact"/>
        <w:rPr>
          <w:sz w:val="20"/>
          <w:szCs w:val="20"/>
          <w:color w:val="auto"/>
        </w:rPr>
      </w:pPr>
    </w:p>
    <w:p>
      <w:pPr>
        <w:jc w:val="both"/>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Taxation of Dividend Income of Shareholders Tax Resident Outside of Germany</w:t>
      </w:r>
    </w:p>
    <w:p>
      <w:pPr>
        <w:spacing w:after="0" w:line="144"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w:t>
      </w:r>
      <w:r>
        <w:rPr>
          <w:rFonts w:ascii="Times New Roman" w:cs="Times New Roman" w:eastAsia="Times New Roman" w:hAnsi="Times New Roman"/>
          <w:sz w:val="18"/>
          <w:szCs w:val="18"/>
          <w:i w:val="1"/>
          <w:iCs w:val="1"/>
          <w:color w:val="auto"/>
        </w:rPr>
        <w:t>“—  Withholding Tax on Dividend Payments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Withholding Tax on Capital Gains</w:t>
      </w:r>
    </w:p>
    <w:p>
      <w:pPr>
        <w:spacing w:after="0" w:line="14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Capital gains realized on the disposal of Ordinary Shares are only subject to withholding tax if a domestic branch of a domestic or foreign credit or financial services institution (</w:t>
      </w:r>
      <w:r>
        <w:rPr>
          <w:rFonts w:ascii="Times New Roman" w:cs="Times New Roman" w:eastAsia="Times New Roman" w:hAnsi="Times New Roman"/>
          <w:sz w:val="18"/>
          <w:szCs w:val="18"/>
          <w:i w:val="1"/>
          <w:iCs w:val="1"/>
          <w:color w:val="auto"/>
        </w:rPr>
        <w:t>Kredit- oder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Finanzdienstleistungsinstitut</w:t>
      </w:r>
      <w:r>
        <w:rPr>
          <w:rFonts w:ascii="Times New Roman" w:cs="Times New Roman" w:eastAsia="Times New Roman" w:hAnsi="Times New Roman"/>
          <w:sz w:val="18"/>
          <w:szCs w:val="18"/>
          <w:color w:val="auto"/>
        </w:rPr>
        <w:t>) or a domestic securities institution (</w:t>
      </w:r>
      <w:r>
        <w:rPr>
          <w:rFonts w:ascii="Times New Roman" w:cs="Times New Roman" w:eastAsia="Times New Roman" w:hAnsi="Times New Roman"/>
          <w:sz w:val="18"/>
          <w:szCs w:val="18"/>
          <w:i w:val="1"/>
          <w:iCs w:val="1"/>
          <w:color w:val="auto"/>
        </w:rPr>
        <w:t>inländisches Wertpapierinstitut</w:t>
      </w:r>
      <w:r>
        <w:rPr>
          <w:rFonts w:ascii="Times New Roman" w:cs="Times New Roman" w:eastAsia="Times New Roman" w:hAnsi="Times New Roman"/>
          <w:sz w:val="18"/>
          <w:szCs w:val="18"/>
          <w:color w:val="auto"/>
        </w:rPr>
        <w:t>)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referred to as the “German Disbursing Agent”) stores or administrates or carries out the disposal of the Ordinary Shares and pays or credits the capital gains. In those cases, the institution (and not the Company) is required to deduct the withholding tax at the time of payment for the account of the shareholder and to pay the withholding tax to the competent tax authority.</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w:t>
      </w:r>
    </w:p>
    <w:p>
      <w:pPr>
        <w:spacing w:after="0" w:line="181"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u w:val="single" w:color="auto"/>
          <w:color w:val="auto"/>
        </w:rPr>
        <w:t>Taxation of Capital Gains Realized by Shareholders Tax Resident in Germany Holding Ordinary Shares as Private Assets (Private Individuals)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individual shareholders (individuals) resident in Germany holding Ordinary Shares as private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assets, capital gains realized on the disposal of Ordinary Shares are subject to final withholding tax</w:t>
      </w: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Accordingly, capital gains will be taxed at a flat tax rate of 25% plus 5.5% solidarity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surcharge thereon totaling 26.375% and church tax in case the shareholder is subject to church tax because</w:t>
      </w:r>
    </w:p>
    <w:p>
      <w:pPr>
        <w:ind w:left="1260"/>
        <w:spacing w:after="0" w:line="234" w:lineRule="auto"/>
        <w:rPr>
          <w:sz w:val="20"/>
          <w:szCs w:val="20"/>
          <w:color w:val="auto"/>
        </w:rPr>
      </w:pPr>
      <w:r>
        <w:rPr>
          <w:rFonts w:ascii="Times New Roman" w:cs="Times New Roman" w:eastAsia="Times New Roman" w:hAnsi="Times New Roman"/>
          <w:sz w:val="18"/>
          <w:szCs w:val="18"/>
          <w:color w:val="auto"/>
        </w:rPr>
        <w:t>of his or her personal circumstances. An automatic procedure for deduction of church tax by way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withholding will apply to shareholders being subject to church tax unless the shareholder has filed 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German Federal Central Tax Office (details related to the</w:t>
      </w:r>
    </w:p>
    <w:p>
      <w:pPr>
        <w:ind w:left="1260"/>
        <w:spacing w:after="0"/>
        <w:rPr>
          <w:sz w:val="20"/>
          <w:szCs w:val="20"/>
          <w:color w:val="auto"/>
        </w:rPr>
      </w:pPr>
      <w:r>
        <w:rPr>
          <w:rFonts w:ascii="Times New Roman" w:cs="Times New Roman" w:eastAsia="Times New Roman" w:hAnsi="Times New Roman"/>
          <w:sz w:val="18"/>
          <w:szCs w:val="18"/>
          <w:color w:val="auto"/>
        </w:rPr>
        <w:t>computation of</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 w:cs="Times New Roman" w:eastAsia="Times New Roman" w:hAnsi="Times New Roman"/>
          <w:sz w:val="18"/>
          <w:szCs w:val="18"/>
          <w:i w:val="1"/>
          <w:iCs w:val="1"/>
          <w:color w:val="auto"/>
        </w:rPr>
        <w:t>Sparer-Pauschbetrag</w:t>
      </w:r>
      <w:r>
        <w:rPr>
          <w:rFonts w:ascii="Times New Roman" w:cs="Times New Roman" w:eastAsia="Times New Roman" w:hAnsi="Times New Roman"/>
          <w:sz w:val="18"/>
          <w:szCs w:val="18"/>
          <w:color w:val="auto"/>
        </w:rPr>
        <w:t>) of up to €1,000 (for individual filers) or up to €2,000 (for married couples and for partners in accordance with the registered partnership law (</w:t>
      </w:r>
      <w:r>
        <w:rPr>
          <w:rFonts w:ascii="Times New Roman" w:cs="Times New Roman" w:eastAsia="Times New Roman" w:hAnsi="Times New Roman"/>
          <w:sz w:val="18"/>
          <w:szCs w:val="18"/>
          <w:i w:val="1"/>
          <w:iCs w:val="1"/>
          <w:color w:val="auto"/>
        </w:rPr>
        <w:t>Gesetz über die Eingetragene Lebenspartnerschaft</w:t>
      </w:r>
      <w:r>
        <w:rPr>
          <w:rFonts w:ascii="Times New Roman" w:cs="Times New Roman" w:eastAsia="Times New Roman" w:hAnsi="Times New Roman"/>
          <w:sz w:val="18"/>
          <w:szCs w:val="18"/>
          <w:color w:val="auto"/>
        </w:rPr>
        <w:t>) filing jointly), private individual shareholders will not be entitled to deduct expenses incurred in connection with the capital investment from their capital gain.</w:t>
      </w:r>
    </w:p>
    <w:p>
      <w:pPr>
        <w:spacing w:after="0" w:line="338" w:lineRule="exact"/>
        <w:rPr>
          <w:sz w:val="20"/>
          <w:szCs w:val="20"/>
          <w:color w:val="auto"/>
        </w:rPr>
      </w:pPr>
    </w:p>
    <w:p>
      <w:pPr>
        <w:ind w:left="1260" w:right="579" w:firstLine="360"/>
        <w:spacing w:after="0" w:line="269" w:lineRule="auto"/>
        <w:rPr>
          <w:sz w:val="20"/>
          <w:szCs w:val="20"/>
          <w:color w:val="auto"/>
        </w:rPr>
      </w:pPr>
      <w:r>
        <w:rPr>
          <w:rFonts w:ascii="Times New Roman" w:cs="Times New Roman" w:eastAsia="Times New Roman" w:hAnsi="Times New Roman"/>
          <w:sz w:val="18"/>
          <w:szCs w:val="18"/>
          <w:color w:val="auto"/>
        </w:rPr>
        <w:t>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07"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w:t>
      </w:r>
    </w:p>
    <w:p>
      <w:pPr>
        <w:spacing w:after="0" w:line="107"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final withholding tax (</w:t>
      </w:r>
      <w:r>
        <w:rPr>
          <w:rFonts w:ascii="Times New Roman" w:cs="Times New Roman" w:eastAsia="Times New Roman" w:hAnsi="Times New Roman"/>
          <w:sz w:val="18"/>
          <w:szCs w:val="18"/>
          <w:i w:val="1"/>
          <w:iCs w:val="1"/>
          <w:color w:val="auto"/>
        </w:rPr>
        <w:t>Abgeltungsteuer</w:t>
      </w:r>
      <w:r>
        <w:rPr>
          <w:rFonts w:ascii="Times New Roman" w:cs="Times New Roman" w:eastAsia="Times New Roman" w:hAnsi="Times New Roman"/>
          <w:sz w:val="18"/>
          <w:szCs w:val="18"/>
          <w:color w:val="auto"/>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spacing w:after="0" w:line="178"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u w:val="single" w:color="auto"/>
          <w:color w:val="auto"/>
        </w:rPr>
        <w:t>Taxation of Capital Gains Realized by Shareholders Tax Resident in Germany Holding Ordinary Shares as Business Assets</w:t>
      </w:r>
    </w:p>
    <w:p>
      <w:pPr>
        <w:spacing w:after="0" w:line="94" w:lineRule="exact"/>
        <w:rPr>
          <w:sz w:val="20"/>
          <w:szCs w:val="20"/>
          <w:color w:val="auto"/>
        </w:rPr>
      </w:pPr>
    </w:p>
    <w:p>
      <w:pPr>
        <w:jc w:val="both"/>
        <w:ind w:left="1260" w:right="539" w:firstLine="360"/>
        <w:spacing w:after="0" w:line="274" w:lineRule="auto"/>
        <w:rPr>
          <w:sz w:val="20"/>
          <w:szCs w:val="20"/>
          <w:color w:val="auto"/>
        </w:rPr>
      </w:pPr>
      <w:r>
        <w:rPr>
          <w:rFonts w:ascii="Times New Roman" w:cs="Times New Roman" w:eastAsia="Times New Roman" w:hAnsi="Times New Roman"/>
          <w:sz w:val="18"/>
          <w:szCs w:val="18"/>
          <w:color w:val="auto"/>
        </w:rPr>
        <w:t>If a shareholder holds Ordinary Shares as business assets, the taxation of capital gains realized on the disposal of such shares depends on whether the respective shareholder is a corporation, a sole proprietor or a partnership:</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Corporations</w:t>
      </w:r>
    </w:p>
    <w:p>
      <w:pPr>
        <w:spacing w:after="0" w:line="15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w:t>
      </w:r>
    </w:p>
    <w:p>
      <w:pPr>
        <w:spacing w:after="0" w:line="1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w:t>
      </w:r>
    </w:p>
    <w:p>
      <w:pPr>
        <w:spacing w:after="0" w:line="10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Special regulations apply, which may exclude aforementioned tax exemptions, if the Ordinary Shares are held by a Non-Exempt Corporation.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Sole Proprietors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the Ordinary Shares are held by a sole proprietor, capital gains realized on the disposal of the Ordinary Shares are subject to the partial income rule (</w:t>
      </w:r>
      <w:r>
        <w:rPr>
          <w:rFonts w:ascii="Times New Roman" w:cs="Times New Roman" w:eastAsia="Times New Roman" w:hAnsi="Times New Roman"/>
          <w:sz w:val="18"/>
          <w:szCs w:val="18"/>
          <w:i w:val="1"/>
          <w:iCs w:val="1"/>
          <w:color w:val="auto"/>
        </w:rPr>
        <w:t>Teileinkünfteverfahren</w:t>
      </w:r>
      <w:r>
        <w:rPr>
          <w:rFonts w:ascii="Times New Roman" w:cs="Times New Roman" w:eastAsia="Times New Roman" w:hAnsi="Times New Roman"/>
          <w:sz w:val="18"/>
          <w:szCs w:val="18"/>
          <w:color w:val="auto"/>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 w:cs="Times New Roman" w:eastAsia="Times New Roman" w:hAnsi="Times New Roman"/>
          <w:sz w:val="18"/>
          <w:szCs w:val="18"/>
          <w:i w:val="1"/>
          <w:iCs w:val="1"/>
          <w:color w:val="auto"/>
        </w:rPr>
        <w:t>Gewerbesteuergesetz</w:t>
      </w:r>
      <w:r>
        <w:rPr>
          <w:rFonts w:ascii="Times New Roman" w:cs="Times New Roman" w:eastAsia="Times New Roman" w:hAnsi="Times New Roman"/>
          <w:sz w:val="18"/>
          <w:szCs w:val="18"/>
          <w:color w:val="auto"/>
        </w:rPr>
        <w:t>). The trade tax levied will be eligible for credit against the shareholder’s personal income tax liability based on the applicable municipal trade tax rate and the individual tax situation of the shareholder limited to currently up to 4.0 times the trade tax measurement amount.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Partnerships</w:t>
      </w:r>
    </w:p>
    <w:p>
      <w:pPr>
        <w:spacing w:after="0" w:line="15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w:t>
      </w:r>
    </w:p>
    <w:p>
      <w:pPr>
        <w:spacing w:after="0" w:line="296" w:lineRule="exact"/>
        <w:rPr>
          <w:sz w:val="20"/>
          <w:szCs w:val="20"/>
          <w:color w:val="auto"/>
        </w:rPr>
      </w:pPr>
    </w:p>
    <w:p>
      <w:pPr>
        <w:ind w:left="1800" w:right="419" w:hanging="180"/>
        <w:spacing w:after="0" w:line="25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partner is a corporation, the capital gains will be subject to corporate income tax plus solidarity surcharge (see above </w:t>
      </w:r>
      <w:r>
        <w:rPr>
          <w:rFonts w:ascii="Times New Roman" w:cs="Times New Roman" w:eastAsia="Times New Roman" w:hAnsi="Times New Roman"/>
          <w:sz w:val="18"/>
          <w:szCs w:val="18"/>
          <w:i w:val="1"/>
          <w:iCs w:val="1"/>
          <w:color w:val="auto"/>
        </w:rPr>
        <w:t>“— Corporations</w:t>
      </w:r>
      <w:r>
        <w:rPr>
          <w:rFonts w:ascii="Times New Roman" w:cs="Times New Roman" w:eastAsia="Times New Roman" w:hAnsi="Times New Roman"/>
          <w:sz w:val="18"/>
          <w:szCs w:val="18"/>
          <w:color w:val="auto"/>
        </w:rPr>
        <w:t>”).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w:t>
      </w:r>
    </w:p>
    <w:p>
      <w:pPr>
        <w:spacing w:after="0" w:line="79"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partner is a sole proprietor (individual), the capital gains are subject to the partial income rule (see above “— </w:t>
      </w:r>
      <w:r>
        <w:rPr>
          <w:rFonts w:ascii="Times New Roman" w:cs="Times New Roman" w:eastAsia="Times New Roman" w:hAnsi="Times New Roman"/>
          <w:sz w:val="18"/>
          <w:szCs w:val="18"/>
          <w:i w:val="1"/>
          <w:iCs w:val="1"/>
          <w:color w:val="auto"/>
        </w:rPr>
        <w:t>Sole Proprietors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 w:cs="Times New Roman" w:eastAsia="Times New Roman" w:hAnsi="Times New Roman"/>
          <w:sz w:val="18"/>
          <w:szCs w:val="18"/>
          <w:i w:val="1"/>
          <w:iCs w:val="1"/>
          <w:color w:val="auto"/>
        </w:rPr>
        <w:t>Gewerbesteuer-Messbetrag</w:t>
      </w:r>
      <w:r>
        <w:rPr>
          <w:rFonts w:ascii="Times New Roman" w:cs="Times New Roman" w:eastAsia="Times New Roman" w:hAnsi="Times New Roman"/>
          <w:sz w:val="18"/>
          <w:szCs w:val="18"/>
          <w:color w:val="auto"/>
        </w:rPr>
        <w:t>) and also limited to the amount of trade tax actually to be paid.</w:t>
      </w:r>
    </w:p>
    <w:p>
      <w:pPr>
        <w:spacing w:after="0" w:line="324"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Taxation of Capital Gains Realized by Shareholders Tax Resident Outside of Germany</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w:t>
      </w:r>
    </w:p>
    <w:p>
      <w:pPr>
        <w:spacing w:after="0" w:line="323"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 w:cs="Times New Roman" w:eastAsia="Times New Roman" w:hAnsi="Times New Roman"/>
          <w:sz w:val="18"/>
          <w:szCs w:val="18"/>
          <w:i w:val="1"/>
          <w:iCs w:val="1"/>
          <w:color w:val="auto"/>
        </w:rPr>
        <w:t>Bundesfinanzhof</w:t>
      </w:r>
      <w:r>
        <w:rPr>
          <w:rFonts w:ascii="Times New Roman" w:cs="Times New Roman" w:eastAsia="Times New Roman" w:hAnsi="Times New Roman"/>
          <w:sz w:val="18"/>
          <w:szCs w:val="18"/>
          <w:color w:val="auto"/>
        </w:rPr>
        <w:t>). Additionally,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except for the cases referred to in (i) above, most tax treaties concluded by Germany provide for a full exemption from German taxation except if the Company is considered a German real estate holding entity for treaty purposes.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German Taxation of Holders of Warrants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Holders of Warrants are likely to be taxed in particular upon certain forms of the exercise, sale or</w:t>
      </w:r>
    </w:p>
    <w:p>
      <w:pPr>
        <w:spacing w:after="0" w:line="16"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disposal of Warrants (taxation of capital gains) and the gratuitous transfer of Warrants (inheritance and gift tax).</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of Warrants Not Tax Resident in Germany</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 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w:t>
      </w:r>
    </w:p>
    <w:p>
      <w:pPr>
        <w:spacing w:after="0" w:line="12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of Warrants Tax Resident in Germany</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Withholding Tax on Capital Gains</w:t>
      </w:r>
    </w:p>
    <w:p>
      <w:pPr>
        <w:spacing w:after="0" w:line="15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 w:cs="Times New Roman" w:eastAsia="Times New Roman" w:hAnsi="Times New Roman"/>
          <w:sz w:val="18"/>
          <w:szCs w:val="18"/>
          <w:i w:val="1"/>
          <w:iCs w:val="1"/>
          <w:color w:val="auto"/>
        </w:rPr>
        <w:t>Sperrvermerk</w:t>
      </w:r>
      <w:r>
        <w:rPr>
          <w:rFonts w:ascii="Times New Roman" w:cs="Times New Roman" w:eastAsia="Times New Roman" w:hAnsi="Times New Roman"/>
          <w:sz w:val="18"/>
          <w:szCs w:val="18"/>
          <w:color w:val="auto"/>
        </w:rPr>
        <w:t>) with the Federal Central Tax Office.</w:t>
      </w:r>
    </w:p>
    <w:p>
      <w:pPr>
        <w:spacing w:after="0" w:line="12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w:t>
      </w:r>
    </w:p>
    <w:p>
      <w:pPr>
        <w:spacing w:after="0" w:line="32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w:t>
      </w:r>
    </w:p>
    <w:p>
      <w:pPr>
        <w:spacing w:after="0" w:line="11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Please note, however, that the German tax authorities have not confirmed the above treatment for the exercise of U.S. warrants, but only for the exercise of convertible bonds (</w:t>
      </w:r>
      <w:r>
        <w:rPr>
          <w:rFonts w:ascii="Times New Roman" w:cs="Times New Roman" w:eastAsia="Times New Roman" w:hAnsi="Times New Roman"/>
          <w:sz w:val="18"/>
          <w:szCs w:val="18"/>
          <w:i w:val="1"/>
          <w:iCs w:val="1"/>
          <w:color w:val="auto"/>
        </w:rPr>
        <w:t>Wandelschuldverschreibungen,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Optionsscheine</w:t>
      </w:r>
      <w:r>
        <w:rPr>
          <w:rFonts w:ascii="Times New Roman" w:cs="Times New Roman" w:eastAsia="Times New Roman" w:hAnsi="Times New Roman"/>
          <w:sz w:val="18"/>
          <w:szCs w:val="18"/>
          <w:color w:val="auto"/>
        </w:rPr>
        <w:t>), wherefore, uncertainty remains regarding its application on the exercise of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w:t>
      </w:r>
    </w:p>
    <w:p>
      <w:pPr>
        <w:spacing w:after="0" w:line="127"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w:t>
      </w:r>
    </w:p>
    <w:p>
      <w:pPr>
        <w:spacing w:after="0" w:line="327"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Non-business holders of the Warrants are entitled to an annual saver’s allowance of €1,000 for 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individual or €2,000 for married couples and for partners in accordance with the registered partnership law</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Gesetz über die Eingetragene Lebenspartnerschaft</w:t>
      </w:r>
      <w:r>
        <w:rPr>
          <w:rFonts w:ascii="Times New Roman" w:cs="Times New Roman" w:eastAsia="Times New Roman" w:hAnsi="Times New Roman"/>
          <w:sz w:val="18"/>
          <w:szCs w:val="18"/>
          <w:color w:val="auto"/>
        </w:rPr>
        <w:t>) assessed jointly for all investment income received in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given year. Upon the non-business holder of the Warrants filing an exemption certificate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Freistellungsauftrag</w:t>
      </w:r>
      <w:r>
        <w:rPr>
          <w:rFonts w:ascii="Times New Roman" w:cs="Times New Roman" w:eastAsia="Times New Roman" w:hAnsi="Times New Roman"/>
          <w:sz w:val="18"/>
          <w:szCs w:val="18"/>
          <w:color w:val="auto"/>
        </w:rPr>
        <w:t>) with the Disbursing Agent, the Disbursing Agent will take the allowance into account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when computing the amount of tax to be withheld.</w:t>
      </w:r>
    </w:p>
    <w:p>
      <w:pPr>
        <w:spacing w:after="0" w:line="13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No withholding tax will be deducted if the holder of the Warrants has submitted to the Disbursing Agent a certificate of non-assessment (</w:t>
      </w:r>
      <w:r>
        <w:rPr>
          <w:rFonts w:ascii="Times New Roman" w:cs="Times New Roman" w:eastAsia="Times New Roman" w:hAnsi="Times New Roman"/>
          <w:sz w:val="18"/>
          <w:szCs w:val="18"/>
          <w:i w:val="1"/>
          <w:iCs w:val="1"/>
          <w:color w:val="auto"/>
        </w:rPr>
        <w:t>Nichtveranlagungs-Bescheinigung</w:t>
      </w:r>
      <w:r>
        <w:rPr>
          <w:rFonts w:ascii="Times New Roman" w:cs="Times New Roman" w:eastAsia="Times New Roman" w:hAnsi="Times New Roman"/>
          <w:sz w:val="18"/>
          <w:szCs w:val="18"/>
          <w:color w:val="auto"/>
        </w:rPr>
        <w:t>) issued by the competent local tax office. The deduction of expenses related to the investment income (including gains with respect to the Warrants) is generally not possible for private investors.</w:t>
      </w:r>
    </w:p>
    <w:p>
      <w:pPr>
        <w:spacing w:after="0" w:line="11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Taxation of Capital Gains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Individuals as the Holders of the Warrants</w:t>
      </w:r>
    </w:p>
    <w:p>
      <w:pPr>
        <w:spacing w:after="0" w:line="14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and then will also be taxed at a rate of 25% (plus solidarity surcharge of 5.5% thereon, resulting in an aggregate rate of 26.375%; and church tax, if applicable).</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w:t>
      </w:r>
    </w:p>
    <w:p>
      <w:pPr>
        <w:spacing w:after="0" w:line="12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w:t>
      </w:r>
    </w:p>
    <w:p>
      <w:pPr>
        <w:spacing w:after="0" w:line="11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w:t>
      </w:r>
    </w:p>
    <w:p>
      <w:pPr>
        <w:spacing w:after="0" w:line="97"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In addition, losses of non-business holders arising from a bad debt loss (</w:t>
      </w:r>
      <w:r>
        <w:rPr>
          <w:rFonts w:ascii="Times New Roman" w:cs="Times New Roman" w:eastAsia="Times New Roman" w:hAnsi="Times New Roman"/>
          <w:sz w:val="18"/>
          <w:szCs w:val="18"/>
          <w:i w:val="1"/>
          <w:iCs w:val="1"/>
          <w:color w:val="auto"/>
        </w:rPr>
        <w:t>Forderungsausfall</w:t>
      </w:r>
      <w:r>
        <w:rPr>
          <w:rFonts w:ascii="Times New Roman" w:cs="Times New Roman" w:eastAsia="Times New Roman" w:hAnsi="Times New Roman"/>
          <w:sz w:val="18"/>
          <w:szCs w:val="18"/>
          <w:color w:val="auto"/>
        </w:rPr>
        <w:t>), a waiver of a receivable (</w:t>
      </w:r>
      <w:r>
        <w:rPr>
          <w:rFonts w:ascii="Times New Roman" w:cs="Times New Roman" w:eastAsia="Times New Roman" w:hAnsi="Times New Roman"/>
          <w:sz w:val="18"/>
          <w:szCs w:val="18"/>
          <w:i w:val="1"/>
          <w:iCs w:val="1"/>
          <w:color w:val="auto"/>
        </w:rPr>
        <w:t>Forderungsverzicht</w:t>
      </w:r>
      <w:r>
        <w:rPr>
          <w:rFonts w:ascii="Times New Roman" w:cs="Times New Roman" w:eastAsia="Times New Roman" w:hAnsi="Times New Roman"/>
          <w:sz w:val="18"/>
          <w:szCs w:val="18"/>
          <w:color w:val="auto"/>
        </w:rPr>
        <w:t>) or a transfer of an impaired receivable to a third party or from any other default can only be offset against other income from capital investments and only up to an amount of €20,000 per year. The same rules may apply if the Warrants expire worthless or lapse.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Corporations, Sole Proprietors and Partnerships</w:t>
      </w:r>
    </w:p>
    <w:p>
      <w:pPr>
        <w:spacing w:after="0" w:line="14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w:t>
      </w:r>
    </w:p>
    <w:p>
      <w:pPr>
        <w:spacing w:after="0" w:line="326"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Losses can be carried forward indefinitely and, within certain limitations, applied against profits from income from capital investments (including but not limited to profits from other warrants) in subsequent years.</w:t>
      </w:r>
    </w:p>
    <w:p>
      <w:pPr>
        <w:spacing w:after="0" w:line="31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the case of physical settlement of the Warrants, please see the above sections on disposal of Ordinary Shares for German taxation of the disposal or other transaction involving a resulting Ordinary Share.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Solidarity Surcharge</w:t>
      </w:r>
    </w:p>
    <w:p>
      <w:pPr>
        <w:spacing w:after="0" w:line="162"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burden for an individual holder is lower than 25%, the holder can apply for his or her capital investment income being assessed at his or her individual tariff-based income tax rate, in which case solidarity surcharge should be refunded.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Inheritance and Gift Tax</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The transfer of Ordinary Shares or Warrants to another person by way of succession or donation is subject to German inheritance and gift tax (Erbschaft-und Schenkungsteuer) if at the time of transfer:</w:t>
      </w:r>
    </w:p>
    <w:p>
      <w:pPr>
        <w:spacing w:after="0" w:line="94" w:lineRule="exact"/>
        <w:rPr>
          <w:sz w:val="20"/>
          <w:szCs w:val="20"/>
          <w:color w:val="auto"/>
        </w:rPr>
      </w:pPr>
    </w:p>
    <w:p>
      <w:pPr>
        <w:ind w:left="1620" w:right="579" w:firstLine="360"/>
        <w:spacing w:after="0" w:line="266" w:lineRule="auto"/>
        <w:tabs>
          <w:tab w:leader="none" w:pos="23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decedent, the donor, the heir, the donee or any other beneficiary has his/her/its residence, domicile, registered office or place of management in Germany, or is a German citizen who has not stayed abroad for more than five consecutive years without having a residence in Germany; or</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personal circumstances) the Ordinary Shares or Warrants are held by the decedent or donor as business assets for which a permanent establishment in Germany is maintained or a permanent representative is appointed in Germany; or</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4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 w:cs="Times New Roman" w:eastAsia="Times New Roman" w:hAnsi="Times New Roman"/>
          <w:sz w:val="18"/>
          <w:szCs w:val="18"/>
          <w:i w:val="1"/>
          <w:iCs w:val="1"/>
          <w:color w:val="auto"/>
        </w:rPr>
        <w:t>Außensteuergesetz</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Value Added Tax (VAT)</w:t>
      </w:r>
    </w:p>
    <w:p>
      <w:pPr>
        <w:spacing w:after="0" w:line="146"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No German value added tax (</w:t>
      </w:r>
      <w:r>
        <w:rPr>
          <w:rFonts w:ascii="Times New Roman" w:cs="Times New Roman" w:eastAsia="Times New Roman" w:hAnsi="Times New Roman"/>
          <w:sz w:val="18"/>
          <w:szCs w:val="18"/>
          <w:i w:val="1"/>
          <w:iCs w:val="1"/>
          <w:color w:val="auto"/>
        </w:rPr>
        <w:t>Umsatzsteuer</w:t>
      </w:r>
      <w:r>
        <w:rPr>
          <w:rFonts w:ascii="Times New Roman" w:cs="Times New Roman" w:eastAsia="Times New Roman" w:hAnsi="Times New Roman"/>
          <w:sz w:val="18"/>
          <w:szCs w:val="18"/>
          <w:color w:val="auto"/>
        </w:rPr>
        <w:t>)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Transfer Taxes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German capital transfer tax (</w:t>
      </w:r>
      <w:r>
        <w:rPr>
          <w:rFonts w:ascii="Times New Roman" w:cs="Times New Roman" w:eastAsia="Times New Roman" w:hAnsi="Times New Roman"/>
          <w:sz w:val="18"/>
          <w:szCs w:val="18"/>
          <w:i w:val="1"/>
          <w:iCs w:val="1"/>
          <w:color w:val="auto"/>
        </w:rPr>
        <w:t>Kapitalverkehrsteuer</w:t>
      </w:r>
      <w:r>
        <w:rPr>
          <w:rFonts w:ascii="Times New Roman" w:cs="Times New Roman" w:eastAsia="Times New Roman" w:hAnsi="Times New Roman"/>
          <w:sz w:val="18"/>
          <w:szCs w:val="18"/>
          <w:color w:val="auto"/>
        </w:rPr>
        <w:t>) or stamp duty (</w:t>
      </w:r>
      <w:r>
        <w:rPr>
          <w:rFonts w:ascii="Times New Roman" w:cs="Times New Roman" w:eastAsia="Times New Roman" w:hAnsi="Times New Roman"/>
          <w:sz w:val="18"/>
          <w:szCs w:val="18"/>
          <w:i w:val="1"/>
          <w:iCs w:val="1"/>
          <w:color w:val="auto"/>
        </w:rPr>
        <w:t>Stempelgebühr</w:t>
      </w:r>
      <w:r>
        <w:rPr>
          <w:rFonts w:ascii="Times New Roman" w:cs="Times New Roman" w:eastAsia="Times New Roman" w:hAnsi="Times New Roman"/>
          <w:sz w:val="18"/>
          <w:szCs w:val="18"/>
          <w:color w:val="auto"/>
        </w:rPr>
        <w:t>) or similar taxes</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are levied when acquiring, owning or disposing the Ordinary Shares or Warrants. Net wealth tax</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Vermögensteuer</w:t>
      </w:r>
      <w:r>
        <w:rPr>
          <w:rFonts w:ascii="Times New Roman" w:cs="Times New Roman" w:eastAsia="Times New Roman" w:hAnsi="Times New Roman"/>
          <w:sz w:val="18"/>
          <w:szCs w:val="18"/>
          <w:color w:val="auto"/>
        </w:rPr>
        <w:t>) is currently not levied in Germany. German real estate transfer tax (</w:t>
      </w:r>
      <w:r>
        <w:rPr>
          <w:rFonts w:ascii="Times New Roman" w:cs="Times New Roman" w:eastAsia="Times New Roman" w:hAnsi="Times New Roman"/>
          <w:sz w:val="18"/>
          <w:szCs w:val="18"/>
          <w:i w:val="1"/>
          <w:iCs w:val="1"/>
          <w:color w:val="auto"/>
        </w:rPr>
        <w:t>Grunderwerbsteuer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only be attracted by the acquisition (including by way of exercise of Warrants) or sale of Ordinary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or certain comparable transactions under very specific circumstances if Schmid, or a subsidiary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entity to Schmid, own German situs real estate at such time, with “ownership” and “real estate” both having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 extended meaning under the German Real Estate Transfer Tax Act (</w:t>
      </w:r>
      <w:r>
        <w:rPr>
          <w:rFonts w:ascii="Times New Roman" w:cs="Times New Roman" w:eastAsia="Times New Roman" w:hAnsi="Times New Roman"/>
          <w:sz w:val="18"/>
          <w:szCs w:val="18"/>
          <w:i w:val="1"/>
          <w:iCs w:val="1"/>
          <w:color w:val="auto"/>
        </w:rPr>
        <w:t>Grunderwerbsteuergesetz</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We are registering issuance of an aggregate of 4,958,481 of our Ordinary Shares issued by us consisting of (i) 474,496 Ordinary Shares issued to Christine Schmid, (ii) 2,190,589 Ordinary Shares issued to Anette Schmid, (iii) 1,265,322 Ordinary Shares issued to Christian Schmid and (iv) 1,028,074 Ordinary Shares issued to Schmid Grundstücke GmbH &amp; Co KG.</w:t>
      </w:r>
    </w:p>
    <w:p>
      <w:pPr>
        <w:spacing w:after="0" w:line="110"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are not selling any securities under this prospectus. We will not receive any proceeds from any sale by the Selling Securityholders of the securities being registered hereunder. We will bear all costs, expenses and fees in connection with the registration of the securities offered by this prospectus</w:t>
      </w:r>
    </w:p>
    <w:p>
      <w:pPr>
        <w:spacing w:after="0" w:line="10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Ordinary Shares offered by this prospectus are being offered by the selling securityholders. The Selling Securityholders may sell, transfer or otherwise dispose of the securities covered by this prospectus from time to time in one or more transactions as described below. 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We will not receive any of the proceeds from the sale of the securities by the selling securityholders.</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selling securityholders may sell all or a portion of the Ordinary Shares held by them and offered hereby from time to time directly or through one or more underwriters, broker-dealers or agents. If the Ordinary Shares are sold through underwriters or broker-dealers, the selling securityholder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 sale of our Ordinary Shares offered by this prospectus could be effected in one or more of the following methods:</w:t>
      </w:r>
    </w:p>
    <w:p>
      <w:pPr>
        <w:spacing w:after="0" w:line="73" w:lineRule="exact"/>
        <w:rPr>
          <w:sz w:val="20"/>
          <w:szCs w:val="20"/>
          <w:color w:val="auto"/>
        </w:rPr>
      </w:pPr>
    </w:p>
    <w:p>
      <w:pPr>
        <w:ind w:left="1800" w:right="79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selling securityholders may also sell Ordinary Shares under Rule 144 promulgated under the Securities Act of 1933, as amended, if available, rather than under this prospectus. In addition, the selling securityholders may transfer the Ordinary Shares by other means not described in this prospectus. If the selling securityholders effect such transactions by selling Ordinary Shares to or through underwriters, broker-dealers or agents, such underwriters, broker-dealers or agents may receive commissions in the form of discounts, concessions or commissions from the selling securityholders or commissions from purchasers of the Ordinary Shares for whom they may act as agent or to whom they may sell as principal (which discounts,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concessions or commissions as to particular underwriters, broker-dealers or agents may be in excess of those customary in the types of transactions involved). In connection with sales of the Ordinary Shares or otherwise, the selling securityholders may enter into hedging transactions with broker-dealers, which may in turn engage in short sales of the Ordinary Shares in the course of hedging in positions they assume. The selling securityholders may also sell Ordinary Shares short and deliver Ordinary Shares covered by this prospectus to close out short positions and to return borrowed shares in connection with such short sales. The selling securityholders may also loan or pledge Ordinary Shares to broker-dealers that in turn may sell such shares.</w:t>
      </w:r>
    </w:p>
    <w:p>
      <w:pPr>
        <w:spacing w:after="0" w:line="32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selling securityholders may pledge or grant a security interest in some or all of the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securityholders to include the pledgee, transferee or other successors in interest as selling securityholders under this prospectus. The selling securityholders also may transfer and donate the Ordinary Shares in other circumstances in which case the transferees, donees, pledgees or other successors in interest will be the selling beneficial owners for purposes of this prospectus.</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securityholders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32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10"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securityholders will sell any or all of the Ordinary Shares registered pursuant to the registration statement, of which this prospectus forms a part.</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Securityholders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spacing w:after="0" w:line="124" w:lineRule="exact"/>
        <w:rPr>
          <w:sz w:val="20"/>
          <w:szCs w:val="20"/>
          <w:color w:val="auto"/>
        </w:rPr>
      </w:pPr>
    </w:p>
    <w:p>
      <w:pPr>
        <w:ind w:left="1260" w:right="879" w:firstLine="360"/>
        <w:spacing w:after="0" w:line="261" w:lineRule="auto"/>
        <w:rPr>
          <w:sz w:val="20"/>
          <w:szCs w:val="20"/>
          <w:color w:val="auto"/>
        </w:rPr>
      </w:pPr>
      <w:r>
        <w:rPr>
          <w:rFonts w:ascii="Times New Roman" w:cs="Times New Roman" w:eastAsia="Times New Roman" w:hAnsi="Times New Roman"/>
          <w:sz w:val="18"/>
          <w:szCs w:val="18"/>
          <w:color w:val="auto"/>
        </w:rPr>
        <w:t>We will pay all the expenses of the registration of the Ordinary Shares pursuant to the registration rights agreement, including, without limitation, Securities and Exchange Commission filing fees and expenses of compliance with state securities or “blue sky” laws; provided, however, the Selling Securityholders will pay all underwriting discounts and selling commissions, if any.</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will indemnify the selling securityholders and certain other persons against certain liabilities, including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securityholders specifically for use in this prospectus, in accordance with the related registration rights agreements or we may be entitled to contribution.</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Ordinary Shares will be freely tradable in the hands of persons other than our affiliates. Our Ordinary Shares and Warrants are listed on The Nasdaq Stock Market LLC under the symbols “SHMD” and “SHMDW,”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64,985,726 Ordinary Shares authorized, issued and outstanding.</w:t>
      </w:r>
    </w:p>
    <w:p>
      <w:pPr>
        <w:spacing w:after="0" w:line="158"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Additionally, the Board is authorized to issue up to 21,000,000 Ordinary Shares in the Company’s capital in relation to the exercise of Warrants, which consists of up to (i) 9,750,000 Private Warrants and</w:t>
      </w:r>
    </w:p>
    <w:p>
      <w:pPr>
        <w:spacing w:after="0" w:line="1" w:lineRule="exact"/>
        <w:rPr>
          <w:sz w:val="20"/>
          <w:szCs w:val="20"/>
          <w:color w:val="auto"/>
        </w:rPr>
      </w:pPr>
    </w:p>
    <w:p>
      <w:pPr>
        <w:ind w:left="1260" w:right="439"/>
        <w:spacing w:after="0" w:line="241" w:lineRule="auto"/>
        <w:tabs>
          <w:tab w:leader="none" w:pos="15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w:t>
      </w:r>
    </w:p>
    <w:p>
      <w:pPr>
        <w:spacing w:after="0" w:line="329"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notes were issued at 98% of principal amount pursuant an indenture and were funded in two tranches: (i) $15.0 million were funded on January 21, 2026 and</w:t>
      </w:r>
    </w:p>
    <w:p>
      <w:pPr>
        <w:spacing w:after="0" w:line="5" w:lineRule="exact"/>
        <w:rPr>
          <w:sz w:val="20"/>
          <w:szCs w:val="20"/>
          <w:color w:val="auto"/>
        </w:rPr>
      </w:pPr>
    </w:p>
    <w:p>
      <w:pPr>
        <w:ind w:left="1260" w:right="459"/>
        <w:spacing w:after="0"/>
        <w:tabs>
          <w:tab w:leader="none" w:pos="154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on March 5, 2026.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notes, the Company also issued 3,744,150 warrants to the investors to purchase shares of the Company in an amount determined by reference to the principal amount of the notes. The warrants are exercisable until December 15, 2028, at an exercise price equal to $8.0125 per Ordinary Shares, exercisable for cash or, at the Company’s election, on a cashless basis.</w:t>
      </w:r>
    </w:p>
    <w:p>
      <w:pPr>
        <w:spacing w:after="0" w:line="12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Company signed a secured two-tranche term loan facility with a total commitment value of up to €10,000,000 with the lender Black Forest Special Situations I, a Cayman Islands incorporated entity, on December 16, 2025. The first tranche consisted of €2,500,000, which were paid out to the Company on December 18, 2025. The second tranche of up to € 7,500,000 was set to be drawn down early in 2026, but was not utilized due to the Company issuing USD 30 million in convertible notes (see below). Black Forest Special Situations I has a conversion right under the term loan facility, which is exercisable at a share price of US$ 2.15 into shares of the Company between six months after the draw down of the first tranche and the date of the term loan facility’s maturity, which is 15 months after the first tranche draw down. As part of the drawdown of the €2,500,000 first tranche, the Company also agreed to issue option rights to Black Forest Special Situations I to acquire 1,250,000 shares of the Company at the prevailing VWAP at the time of concluding the term loan facility, which was $4.1956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w:t>
      </w:r>
    </w:p>
    <w:p>
      <w:pPr>
        <w:spacing w:after="0" w:line="33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Company entered into a service agreement with its CFO, Arthur Schuetzand into an share incentive plan with Helmut Rauch, the COO of the SCHMID Group under which certain amounts of shares are to be issued regularly. A total of up to 1,000,000 shares are registered for resale with this registration statement. None of such shares have been issued to Arthur Schuetz or Helmut Rauch.</w:t>
      </w:r>
    </w:p>
    <w:p>
      <w:pPr>
        <w:spacing w:after="0" w:line="11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May 12, 2026, the Company entered into a SEPA with Yorkville providing SCHMID access to equity financing of up to USD 30.0 million at its discretion. Under the terms of the SEPA, the Group paid 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color w:val="auto"/>
        </w:rPr>
        <w:t>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additional shares authorized under our articles of association.</w:t>
      </w:r>
    </w:p>
    <w:p>
      <w:pPr>
        <w:spacing w:after="0" w:line="144"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w:t>
      </w:r>
    </w:p>
    <w:p>
      <w:pPr>
        <w:spacing w:after="0" w:line="326"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5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Pursuant to Rule 144 of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a person who has beneficially owned restricted Ordinary Shares or Warrants for at least six months would be entitled to sell their securities, provided that</w:t>
      </w:r>
    </w:p>
    <w:p>
      <w:pPr>
        <w:spacing w:after="0" w:line="1" w:lineRule="exact"/>
        <w:rPr>
          <w:sz w:val="20"/>
          <w:szCs w:val="20"/>
          <w:color w:val="auto"/>
        </w:rPr>
      </w:pPr>
    </w:p>
    <w:p>
      <w:pPr>
        <w:ind w:left="1260" w:right="419"/>
        <w:spacing w:after="0"/>
        <w:tabs>
          <w:tab w:leader="none" w:pos="14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by our affiliates under Rule 144 are also limited by manner of sale provisions and notice requirements and to the availability of current public information about us.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48"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color w:val="auto"/>
        </w:rPr>
        <w:t>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S</w:t>
      </w:r>
    </w:p>
    <w:p>
      <w:pPr>
        <w:spacing w:after="0" w:line="14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w:t>
      </w: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81"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w:t>
      </w:r>
    </w:p>
    <w:p>
      <w:pPr>
        <w:spacing w:after="0" w:line="279" w:lineRule="exact"/>
        <w:rPr>
          <w:sz w:val="20"/>
          <w:szCs w:val="20"/>
          <w:color w:val="auto"/>
        </w:rPr>
      </w:pPr>
    </w:p>
    <w:p>
      <w:pPr>
        <w:ind w:left="1260" w:right="85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$30 million convertible notes issued to accounts managed by Linden in January 2026 and the warrants issued, the Company also entered into a registration rights agreement to register the underlying shares of the 2026 Notes and the 2026 Warrants.</w:t>
      </w:r>
    </w:p>
    <w:p>
      <w:pPr>
        <w:spacing w:after="0" w:line="116" w:lineRule="exact"/>
        <w:rPr>
          <w:sz w:val="20"/>
          <w:szCs w:val="20"/>
          <w:color w:val="auto"/>
        </w:rPr>
      </w:pPr>
    </w:p>
    <w:p>
      <w:pPr>
        <w:ind w:left="1260" w:right="599" w:firstLine="360"/>
        <w:spacing w:after="0" w:line="236" w:lineRule="auto"/>
        <w:rPr>
          <w:sz w:val="20"/>
          <w:szCs w:val="20"/>
          <w:color w:val="auto"/>
        </w:rPr>
      </w:pPr>
      <w:r>
        <w:rPr>
          <w:rFonts w:ascii="Times New Roman" w:cs="Times New Roman" w:eastAsia="Times New Roman" w:hAnsi="Times New Roman"/>
          <w:sz w:val="18"/>
          <w:szCs w:val="18"/>
          <w:color w:val="auto"/>
        </w:rPr>
        <w:t>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w:t>
      </w:r>
    </w:p>
    <w:p>
      <w:pPr>
        <w:spacing w:after="0" w:line="13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Additionally, in connection with the agreements signed with XJ Harbour in November 2025, the Company entered into contractual arrangements requiring the registration of the shares issued to XJ Harbour on January 16, 2026.</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w:t>
      </w:r>
    </w:p>
    <w:p>
      <w:pPr>
        <w:spacing w:after="0" w:line="118"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On May 12, 2026 the Company signed the SEPA with Yorkville. On May 23, 2026, the Company issued Ordinary Shares to Yorkville in satisfaction of the USD 150,000 commitment fee under the SEPA, thereby making the SEPA available for use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EXPENSES RELATED TO THE OFFERING</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Times New Roman" w:cs="Times New Roman" w:eastAsia="Times New Roman" w:hAnsi="Times New Roman"/>
          <w:sz w:val="18"/>
          <w:szCs w:val="18"/>
          <w:color w:val="auto"/>
        </w:rPr>
        <w:t>Set forth below is an itemization of the total expenses which are expected to be incurred by us in connection with the securities being registered hereby and the offer and sale of our Ordinary Shares by the selling securityholders.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36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980" w:type="dxa"/>
            <w:vAlign w:val="bottom"/>
            <w:gridSpan w:val="2"/>
          </w:tcPr>
          <w:p>
            <w:pPr>
              <w:ind w:left="21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Amount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3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080" w:type="dxa"/>
            <w:vAlign w:val="bottom"/>
            <w:gridSpan w:val="3"/>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 ​​$4,471.52</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Legal fees and expenses</w:t>
            </w:r>
          </w:p>
        </w:tc>
        <w:tc>
          <w:tcPr>
            <w:tcW w:w="29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 ​​ ​</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0"/>
              </w:rPr>
              <w:t>  ​*</w:t>
            </w:r>
          </w:p>
        </w:tc>
      </w:tr>
      <w:tr>
        <w:trPr>
          <w:trHeight w:val="257"/>
        </w:trPr>
        <w:tc>
          <w:tcPr>
            <w:tcW w:w="360" w:type="dxa"/>
            <w:vAlign w:val="bottom"/>
          </w:tcPr>
          <w:p>
            <w:pPr>
              <w:spacing w:after="0"/>
              <w:rPr>
                <w:sz w:val="22"/>
                <w:szCs w:val="22"/>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98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r>
      <w:tr>
        <w:trPr>
          <w:trHeight w:val="270"/>
        </w:trPr>
        <w:tc>
          <w:tcPr>
            <w:tcW w:w="36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980" w:type="dxa"/>
            <w:vAlign w:val="bottom"/>
            <w:gridSpan w:val="2"/>
          </w:tcPr>
          <w:p>
            <w:pPr>
              <w:ind w:left="218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18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w w:val="75"/>
              </w:rPr>
              <w:t xml:space="preserve">  </w:t>
            </w:r>
            <w:r>
              <w:rPr>
                <w:rFonts w:ascii="Times New Roman" w:cs="Times New Roman" w:eastAsia="Times New Roman" w:hAnsi="Times New Roman"/>
                <w:sz w:val="31"/>
                <w:szCs w:val="31"/>
                <w:color w:val="auto"/>
                <w:w w:val="75"/>
                <w:vertAlign w:val="subscript"/>
              </w:rPr>
              <w:t>​</w:t>
            </w:r>
            <w:r>
              <w:rPr>
                <w:rFonts w:ascii="Times New Roman" w:cs="Times New Roman" w:eastAsia="Times New Roman" w:hAnsi="Times New Roman"/>
                <w:sz w:val="17"/>
                <w:szCs w:val="17"/>
                <w:color w:val="auto"/>
                <w:w w:val="75"/>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3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80" w:type="dxa"/>
            <w:vAlign w:val="bottom"/>
            <w:gridSpan w:val="2"/>
            <w:shd w:val="clear" w:color="auto" w:fill="CCEEFF"/>
          </w:tcPr>
          <w:p>
            <w:pPr>
              <w:ind w:left="2180"/>
              <w:spacing w:after="0" w:line="250" w:lineRule="exact"/>
              <w:rPr>
                <w:sz w:val="20"/>
                <w:szCs w:val="20"/>
                <w:color w:val="auto"/>
              </w:rPr>
            </w:pPr>
            <w:r>
              <w:rPr>
                <w:rFonts w:ascii="Times New Roman" w:cs="Times New Roman" w:eastAsia="Times New Roman" w:hAnsi="Times New Roman"/>
                <w:sz w:val="15"/>
                <w:szCs w:val="15"/>
                <w:b w:val="1"/>
                <w:bCs w:val="1"/>
                <w:color w:val="auto"/>
              </w:rPr>
              <w:t>​ ​​</w:t>
            </w:r>
            <w:r>
              <w:rPr>
                <w:rFonts w:ascii="Times New Roman" w:cs="Times New Roman" w:eastAsia="Times New Roman" w:hAnsi="Times New Roman"/>
                <w:sz w:val="28"/>
                <w:szCs w:val="28"/>
                <w:b w:val="1"/>
                <w:bCs w:val="1"/>
                <w:color w:val="auto"/>
                <w:vertAlign w:val="superscript"/>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line="25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color w:val="auto"/>
                <w:w w:val="71"/>
                <w:vertAlign w:val="superscript"/>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2862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-959485</wp:posOffset>
            </wp:positionV>
            <wp:extent cx="42773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0" w:lineRule="exact"/>
        <w:rPr>
          <w:sz w:val="20"/>
          <w:szCs w:val="20"/>
          <w:color w:val="auto"/>
        </w:rPr>
      </w:pPr>
    </w:p>
    <w:p>
      <w:pPr>
        <w:ind w:left="1620" w:right="579" w:hanging="360"/>
        <w:spacing w:after="0" w:line="282"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w:t>
      </w:r>
    </w:p>
    <w:p>
      <w:pPr>
        <w:spacing w:after="0" w:line="11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0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w:t>
      </w:r>
    </w:p>
    <w:p>
      <w:pPr>
        <w:spacing w:after="0" w:line="121"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maintain a corporate website at schmid-group.com. Information contained on, or that can be accessed through, our website does not constitute a part of this prospectus. We have included our website address in this prospectus solely for informational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760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186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760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 (PCAOB ID: 1021)</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760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Consolidated Statements of Profit or Loss and Other Comprehensive Income (Loss)</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1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Consolidated Statements of Financial Position</w:t>
            </w:r>
          </w:p>
        </w:tc>
        <w:tc>
          <w:tcPr>
            <w:tcW w:w="1480" w:type="dxa"/>
            <w:vAlign w:val="bottom"/>
            <w:gridSpan w:val="3"/>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60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0000EE"/>
              </w:rPr>
              <w:t>Consolidated Statements of Changes in Equity</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F-5</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92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5"/>
              </w:rPr>
              <w:t>Consolidated Statements of Cash Flows</w:t>
            </w:r>
          </w:p>
        </w:tc>
        <w:tc>
          <w:tcPr>
            <w:tcW w:w="480" w:type="dxa"/>
            <w:vAlign w:val="bottom"/>
            <w:tcBorders>
              <w:right w:val="single" w:sz="8" w:color="CCEEFF"/>
            </w:tcBorders>
            <w:gridSpan w:val="4"/>
            <w:shd w:val="clear" w:color="auto" w:fill="CCEEFF"/>
          </w:tcPr>
          <w:p>
            <w:pPr>
              <w:spacing w:after="0"/>
              <w:rPr>
                <w:sz w:val="20"/>
                <w:szCs w:val="20"/>
                <w:color w:val="auto"/>
              </w:rPr>
            </w:pPr>
          </w:p>
        </w:tc>
        <w:tc>
          <w:tcPr>
            <w:tcW w:w="4200" w:type="dxa"/>
            <w:vAlign w:val="bottom"/>
            <w:tcBorders>
              <w:left w:val="single" w:sz="8" w:color="CCEEFF"/>
            </w:tcBorders>
            <w:gridSpan w:val="15"/>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1. BUSINESS DESCRIPTION</w:t>
            </w:r>
          </w:p>
        </w:tc>
        <w:tc>
          <w:tcPr>
            <w:tcW w:w="4680" w:type="dxa"/>
            <w:vAlign w:val="bottom"/>
            <w:gridSpan w:val="19"/>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2. BASIS OF PRESENTATION</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1"/>
              </w:rPr>
              <w:t>3. DE-SPAC</w:t>
            </w:r>
          </w:p>
        </w:tc>
        <w:tc>
          <w:tcPr>
            <w:tcW w:w="1420" w:type="dxa"/>
            <w:vAlign w:val="bottom"/>
            <w:gridSpan w:val="6"/>
          </w:tcPr>
          <w:p>
            <w:pPr>
              <w:spacing w:after="0"/>
              <w:rPr>
                <w:sz w:val="20"/>
                <w:szCs w:val="20"/>
                <w:color w:val="auto"/>
              </w:rPr>
            </w:pPr>
          </w:p>
        </w:tc>
        <w:tc>
          <w:tcPr>
            <w:tcW w:w="5080" w:type="dxa"/>
            <w:vAlign w:val="bottom"/>
            <w:gridSpan w:val="21"/>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F-9</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4. MATERIAL ACCOUNTING POLICIES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F-10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4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EE"/>
                <w:w w:val="96"/>
              </w:rPr>
              <w:t>5. SIGNIFICANT ACCOUNTING JUDGMENTS, ESTIMATES AND ASSUMPTIONS</w:t>
            </w:r>
          </w:p>
        </w:tc>
        <w:tc>
          <w:tcPr>
            <w:tcW w:w="880" w:type="dxa"/>
            <w:vAlign w:val="bottom"/>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F-19</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5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6. SEGMENT AND GEOGRAPHIC INFORMATION</w:t>
            </w:r>
          </w:p>
        </w:tc>
        <w:tc>
          <w:tcPr>
            <w:tcW w:w="880" w:type="dxa"/>
            <w:vAlign w:val="bottom"/>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w w:val="96"/>
              </w:rPr>
              <w:t>7. REVENUE FROM CONTRACTS WITH CUSTOMERS AND COST OF SALES</w:t>
            </w:r>
          </w:p>
        </w:tc>
        <w:tc>
          <w:tcPr>
            <w:tcW w:w="1180" w:type="dxa"/>
            <w:vAlign w:val="bottom"/>
            <w:gridSpan w:val="2"/>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F-22</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8. SELLING EXPENSES</w:t>
            </w:r>
          </w:p>
        </w:tc>
        <w:tc>
          <w:tcPr>
            <w:tcW w:w="1180" w:type="dxa"/>
            <w:vAlign w:val="bottom"/>
            <w:gridSpan w:val="2"/>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F-23</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w w:val="95"/>
              </w:rPr>
              <w:t>9. GENERAL ADMINISTRATION EXPENSES</w:t>
            </w:r>
          </w:p>
        </w:tc>
        <w:tc>
          <w:tcPr>
            <w:tcW w:w="3820" w:type="dxa"/>
            <w:vAlign w:val="bottom"/>
            <w:gridSpan w:val="13"/>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10. RESEARCH AND DEVELOPMENT EXPENSES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F-24</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11. OTHER INCOME</w:t>
            </w:r>
          </w:p>
        </w:tc>
        <w:tc>
          <w:tcPr>
            <w:tcW w:w="3380" w:type="dxa"/>
            <w:vAlign w:val="bottom"/>
            <w:gridSpan w:val="10"/>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F-24</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12. OTHER EXPENSES</w:t>
            </w:r>
          </w:p>
        </w:tc>
        <w:tc>
          <w:tcPr>
            <w:tcW w:w="5460" w:type="dxa"/>
            <w:vAlign w:val="bottom"/>
            <w:tcBorders>
              <w:left w:val="single" w:sz="8" w:color="CCEEFF"/>
            </w:tcBorders>
            <w:gridSpan w:val="24"/>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13. SHARE LISTING EXPENSE</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F-25</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14. IMPAIRMENT REVERSAL OF FINANCIAL ASSETS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15. FINANCIAL RESULT</w:t>
            </w:r>
          </w:p>
        </w:tc>
        <w:tc>
          <w:tcPr>
            <w:tcW w:w="3000" w:type="dxa"/>
            <w:vAlign w:val="bottom"/>
            <w:gridSpan w:val="9"/>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F-26</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16. PROFIT (LOSS) IN EQUITY METHOD INVESTMENTS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F-27</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17. INCOME TAXES</w:t>
            </w:r>
          </w:p>
        </w:tc>
        <w:tc>
          <w:tcPr>
            <w:tcW w:w="2800" w:type="dxa"/>
            <w:vAlign w:val="bottom"/>
            <w:gridSpan w:val="7"/>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F-27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6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6"/>
              </w:rPr>
              <w:t>18. EARNINGS PER SHARE</w:t>
            </w:r>
          </w:p>
        </w:tc>
        <w:tc>
          <w:tcPr>
            <w:tcW w:w="5160" w:type="dxa"/>
            <w:vAlign w:val="bottom"/>
            <w:gridSpan w:val="22"/>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19. INTANGIBLE ASSETS</w:t>
            </w:r>
          </w:p>
        </w:tc>
        <w:tc>
          <w:tcPr>
            <w:tcW w:w="5160" w:type="dxa"/>
            <w:vAlign w:val="bottom"/>
            <w:gridSpan w:val="22"/>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20. PROPERTY, PLANT AND EQUIPMENT</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21. LEASES</w:t>
            </w:r>
          </w:p>
        </w:tc>
        <w:tc>
          <w:tcPr>
            <w:tcW w:w="4020" w:type="dxa"/>
            <w:vAlign w:val="bottom"/>
            <w:gridSpan w:val="14"/>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F-33</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5"/>
              </w:rPr>
              <w:t>22. FINANCIAL ASSETS</w:t>
            </w:r>
          </w:p>
        </w:tc>
        <w:tc>
          <w:tcPr>
            <w:tcW w:w="5460" w:type="dxa"/>
            <w:vAlign w:val="bottom"/>
            <w:tcBorders>
              <w:left w:val="single" w:sz="8" w:color="CCEEFF"/>
            </w:tcBorders>
            <w:gridSpan w:val="24"/>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23. INVENTORIES</w:t>
            </w:r>
          </w:p>
        </w:tc>
        <w:tc>
          <w:tcPr>
            <w:tcW w:w="480" w:type="dxa"/>
            <w:vAlign w:val="bottom"/>
            <w:gridSpan w:val="2"/>
          </w:tcPr>
          <w:p>
            <w:pPr>
              <w:spacing w:after="0"/>
              <w:rPr>
                <w:sz w:val="20"/>
                <w:szCs w:val="20"/>
                <w:color w:val="auto"/>
              </w:rPr>
            </w:pPr>
          </w:p>
        </w:tc>
        <w:tc>
          <w:tcPr>
            <w:tcW w:w="5460" w:type="dxa"/>
            <w:vAlign w:val="bottom"/>
            <w:gridSpan w:val="24"/>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F-35</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24. TRADE RECEIVABLES AND OTHER RECEIVABLES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F-35</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25. OTHER CURRENT ASSETS</w:t>
            </w:r>
          </w:p>
        </w:tc>
        <w:tc>
          <w:tcPr>
            <w:tcW w:w="2920" w:type="dxa"/>
            <w:vAlign w:val="bottom"/>
            <w:gridSpan w:val="8"/>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F-36</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26. CASH &amp; CASH EQUIVALENTS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27. EQUITY</w:t>
            </w:r>
          </w:p>
        </w:tc>
        <w:tc>
          <w:tcPr>
            <w:tcW w:w="4680" w:type="dxa"/>
            <w:vAlign w:val="bottom"/>
            <w:gridSpan w:val="19"/>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F-36</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9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3"/>
              </w:rPr>
              <w:t>28. NON-CONTROLLING INTEREST</w:t>
            </w:r>
          </w:p>
        </w:tc>
        <w:tc>
          <w:tcPr>
            <w:tcW w:w="4520" w:type="dxa"/>
            <w:vAlign w:val="bottom"/>
            <w:tcBorders>
              <w:left w:val="single" w:sz="8" w:color="CCEEFF"/>
            </w:tcBorders>
            <w:gridSpan w:val="18"/>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F-36</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w w:val="96"/>
              </w:rPr>
              <w:t>29. NON-CURRENT AND CURRENT FINANCIAL LIABILITIES</w:t>
            </w:r>
          </w:p>
        </w:tc>
        <w:tc>
          <w:tcPr>
            <w:tcW w:w="2380" w:type="dxa"/>
            <w:vAlign w:val="bottom"/>
            <w:gridSpan w:val="6"/>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F-37</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2"/>
              </w:rPr>
              <w:t>30. OTHER PROVISIONS</w:t>
            </w:r>
          </w:p>
        </w:tc>
        <w:tc>
          <w:tcPr>
            <w:tcW w:w="3080" w:type="dxa"/>
            <w:vAlign w:val="bottom"/>
            <w:tcBorders>
              <w:left w:val="single" w:sz="8" w:color="CCEEFF"/>
            </w:tcBorders>
            <w:gridSpan w:val="18"/>
            <w:shd w:val="clear" w:color="auto" w:fill="CCEEFF"/>
          </w:tcPr>
          <w:p>
            <w:pPr>
              <w:spacing w:after="0"/>
              <w:rPr>
                <w:sz w:val="20"/>
                <w:szCs w:val="20"/>
                <w:color w:val="auto"/>
              </w:rPr>
            </w:pPr>
          </w:p>
        </w:tc>
        <w:tc>
          <w:tcPr>
            <w:tcW w:w="2380" w:type="dxa"/>
            <w:vAlign w:val="bottom"/>
            <w:gridSpan w:val="6"/>
            <w:shd w:val="clear" w:color="auto" w:fill="CCEEFF"/>
          </w:tcPr>
          <w:p>
            <w:pPr>
              <w:spacing w:after="0"/>
              <w:rPr>
                <w:sz w:val="20"/>
                <w:szCs w:val="20"/>
                <w:color w:val="auto"/>
              </w:rPr>
            </w:pP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F-39</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31. POST-EMPLOYMENT BENEFITS</w:t>
            </w: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F-40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32. TRADE AND RELATED PARTY PAYABLES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F-41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33. OTHER CURRENT LIABILITIES</w:t>
            </w:r>
          </w:p>
        </w:tc>
        <w:tc>
          <w:tcPr>
            <w:tcW w:w="3720" w:type="dxa"/>
            <w:vAlign w:val="bottom"/>
            <w:gridSpan w:val="12"/>
          </w:tcPr>
          <w:p>
            <w:pPr>
              <w:spacing w:after="0"/>
              <w:rPr>
                <w:sz w:val="20"/>
                <w:szCs w:val="20"/>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F-41</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34. FINANCIAL INSTRUMENTS AND FINANCIAL RISK MANAGEMENT</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F-41</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w w:val="96"/>
              </w:rPr>
              <w:t>35. EQUITY METHOD INVESTMENTS</w:t>
            </w:r>
          </w:p>
        </w:tc>
        <w:tc>
          <w:tcPr>
            <w:tcW w:w="2740" w:type="dxa"/>
            <w:vAlign w:val="bottom"/>
            <w:gridSpan w:val="12"/>
          </w:tcPr>
          <w:p>
            <w:pPr>
              <w:spacing w:after="0"/>
              <w:rPr>
                <w:sz w:val="21"/>
                <w:szCs w:val="21"/>
                <w:color w:val="auto"/>
              </w:rPr>
            </w:pPr>
          </w:p>
        </w:tc>
        <w:tc>
          <w:tcPr>
            <w:tcW w:w="1580" w:type="dxa"/>
            <w:vAlign w:val="bottom"/>
            <w:gridSpan w:val="4"/>
          </w:tcPr>
          <w:p>
            <w:pPr>
              <w:spacing w:after="0"/>
              <w:rPr>
                <w:sz w:val="21"/>
                <w:szCs w:val="21"/>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F-49</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36. COMMITMENTS AND CONTINGENCIES</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F-50</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37. RELATED PARTY DISCLOSURES</w:t>
            </w:r>
          </w:p>
        </w:tc>
        <w:tc>
          <w:tcPr>
            <w:tcW w:w="3820" w:type="dxa"/>
            <w:vAlign w:val="bottom"/>
            <w:gridSpan w:val="13"/>
          </w:tcPr>
          <w:p>
            <w:pPr>
              <w:spacing w:after="0"/>
              <w:rPr>
                <w:sz w:val="21"/>
                <w:szCs w:val="21"/>
                <w:color w:val="auto"/>
              </w:rPr>
            </w:pPr>
          </w:p>
        </w:tc>
        <w:tc>
          <w:tcPr>
            <w:tcW w:w="18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F-50</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38. EVENTS AFTER THE REPORTING PERIOD</w:t>
            </w:r>
          </w:p>
        </w:tc>
        <w:tc>
          <w:tcPr>
            <w:tcW w:w="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F-52</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F-1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-7688580</wp:posOffset>
            </wp:positionV>
            <wp:extent cx="137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SCHMID Group N.V.:</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6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w:t>
      </w:r>
    </w:p>
    <w:p>
      <w:pPr>
        <w:spacing w:after="0" w:line="1"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46"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KPMG AG Wirtschaftsprüfungsgesellschaft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Stuttgart, Germany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960"/>
        <w:spacing w:after="0" w:line="269" w:lineRule="auto"/>
        <w:rPr>
          <w:sz w:val="20"/>
          <w:szCs w:val="20"/>
          <w:color w:val="auto"/>
        </w:rPr>
      </w:pPr>
      <w:r>
        <w:rPr>
          <w:rFonts w:ascii="Times New Roman" w:cs="Times New Roman" w:eastAsia="Times New Roman" w:hAnsi="Times New Roman"/>
          <w:sz w:val="18"/>
          <w:szCs w:val="18"/>
          <w:b w:val="1"/>
          <w:bCs w:val="1"/>
          <w:color w:val="auto"/>
        </w:rPr>
        <w:t>SCHMID — CONSOLIDATED STATEMENTS OF PROFIT OR LOSS AND OTHER COMPREHENSIVE INCOME (LOSS) FOR THE YEARS ENDED DECEMBER 31, 2025, 2024 AND 2023</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 except share data</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Note </w:t>
            </w:r>
            <w:r>
              <w:rPr>
                <w:rFonts w:ascii="Times New Roman" w:cs="Times New Roman" w:eastAsia="Times New Roman" w:hAnsi="Times New Roman"/>
                <w:sz w:val="28"/>
                <w:szCs w:val="28"/>
                <w:b w:val="1"/>
                <w:bCs w:val="1"/>
                <w:color w:val="auto"/>
                <w:vertAlign w:val="subscript"/>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 ​</w:t>
            </w: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 ​</w:t>
            </w:r>
          </w:p>
        </w:tc>
        <w:tc>
          <w:tcPr>
            <w:tcW w:w="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66,945​​​​ 60,836​​​​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90,246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7"/>
                <w:szCs w:val="17"/>
                <w:color w:val="auto"/>
              </w:rPr>
            </w:pPr>
          </w:p>
        </w:tc>
        <w:tc>
          <w:tcPr>
            <w:tcW w:w="720" w:type="dxa"/>
            <w:vAlign w:val="bottom"/>
            <w:gridSpan w:val="3"/>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​(50,928)</w:t>
            </w:r>
          </w:p>
        </w:tc>
        <w:tc>
          <w:tcPr>
            <w:tcW w:w="720" w:type="dxa"/>
            <w:vAlign w:val="bottom"/>
            <w:gridSpan w:val="3"/>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​(48,791)</w:t>
            </w: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​(63,849)</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1440" w:type="dxa"/>
            <w:vAlign w:val="bottom"/>
            <w:gridSpan w:val="6"/>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16,017</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12,044</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26,397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Selling expenses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7"/>
                <w:szCs w:val="17"/>
                <w:color w:val="auto"/>
              </w:rPr>
            </w:pPr>
          </w:p>
        </w:tc>
        <w:tc>
          <w:tcPr>
            <w:tcW w:w="2060" w:type="dxa"/>
            <w:vAlign w:val="bottom"/>
            <w:gridSpan w:val="9"/>
          </w:tcPr>
          <w:p>
            <w:pPr>
              <w:jc w:val="right"/>
              <w:spacing w:after="0" w:line="196" w:lineRule="exact"/>
              <w:rPr>
                <w:sz w:val="20"/>
                <w:szCs w:val="20"/>
                <w:color w:val="auto"/>
              </w:rPr>
            </w:pPr>
            <w:r>
              <w:rPr>
                <w:rFonts w:ascii="Times New Roman" w:cs="Times New Roman" w:eastAsia="Times New Roman" w:hAnsi="Times New Roman"/>
                <w:sz w:val="18"/>
                <w:szCs w:val="18"/>
                <w:color w:val="auto"/>
              </w:rPr>
              <w:t>(11,999) (12,895) (12,577)</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General administration expenses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2140" w:type="dxa"/>
            <w:vAlign w:val="bottom"/>
            <w:gridSpan w:val="9"/>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(11,404) (11,792) (12,538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5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(2,781)</w:t>
            </w:r>
          </w:p>
        </w:tc>
        <w:tc>
          <w:tcPr>
            <w:tcW w:w="80" w:type="dxa"/>
            <w:vAlign w:val="bottom"/>
          </w:tcPr>
          <w:p>
            <w:pPr>
              <w:spacing w:after="0"/>
              <w:rPr>
                <w:sz w:val="17"/>
                <w:szCs w:val="17"/>
                <w:color w:val="auto"/>
              </w:rPr>
            </w:pPr>
          </w:p>
        </w:tc>
        <w:tc>
          <w:tcPr>
            <w:tcW w:w="64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(3,974)</w:t>
            </w:r>
          </w:p>
        </w:tc>
        <w:tc>
          <w:tcPr>
            <w:tcW w:w="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(5,148)</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15,985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7"/>
                <w:szCs w:val="17"/>
                <w:color w:val="auto"/>
              </w:rPr>
            </w:pPr>
          </w:p>
        </w:tc>
        <w:tc>
          <w:tcPr>
            <w:tcW w:w="64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(2,564)</w:t>
            </w:r>
          </w:p>
        </w:tc>
        <w:tc>
          <w:tcPr>
            <w:tcW w:w="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Listing expenses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(71,630)</w:t>
            </w: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5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Reversal on impairment on financial assets</w:t>
            </w:r>
          </w:p>
        </w:tc>
        <w:tc>
          <w:tcPr>
            <w:tcW w:w="50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14</w:t>
            </w:r>
          </w:p>
        </w:tc>
        <w:tc>
          <w:tcPr>
            <w:tcW w:w="2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0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20</w:t>
            </w: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5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22,696</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 (loss)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1,443</w:t>
            </w:r>
          </w:p>
        </w:tc>
        <w:tc>
          <w:tcPr>
            <w:tcW w:w="140" w:type="dxa"/>
            <w:vAlign w:val="bottom"/>
            <w:shd w:val="clear" w:color="auto" w:fill="CCEEFF"/>
          </w:tcPr>
          <w:p>
            <w:pPr>
              <w:spacing w:after="0"/>
              <w:rPr>
                <w:sz w:val="17"/>
                <w:szCs w:val="17"/>
                <w:color w:val="auto"/>
              </w:rPr>
            </w:pPr>
          </w:p>
        </w:tc>
        <w:tc>
          <w:tcPr>
            <w:tcW w:w="720" w:type="dxa"/>
            <w:vAlign w:val="bottom"/>
            <w:tcBorders>
              <w:right w:val="single" w:sz="8" w:color="CCEEFF"/>
            </w:tcBorders>
            <w:gridSpan w:val="3"/>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​(81,772)</w:t>
            </w: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32,195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5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Finance expenses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​(72,244)</w:t>
            </w: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gridSpan w:val="2"/>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(5,712)</w:t>
            </w: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7"/>
              </w:rPr>
              <w:t>​(10,091)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5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Financial result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w:t>
            </w:r>
          </w:p>
        </w:tc>
        <w:tc>
          <w:tcPr>
            <w:tcW w:w="140" w:type="dxa"/>
            <w:vAlign w:val="bottom"/>
          </w:tcPr>
          <w:p>
            <w:pPr>
              <w:spacing w:after="0"/>
              <w:rPr>
                <w:sz w:val="17"/>
                <w:szCs w:val="17"/>
                <w:color w:val="auto"/>
              </w:rPr>
            </w:pPr>
          </w:p>
        </w:tc>
        <w:tc>
          <w:tcPr>
            <w:tcW w:w="720" w:type="dxa"/>
            <w:vAlign w:val="bottom"/>
            <w:gridSpan w:val="3"/>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​(72,178)</w:t>
            </w: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(3,824)</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9,594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 of loss from equity method investees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 (1,057)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 (loss) before income tax</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720" w:type="dxa"/>
            <w:vAlign w:val="bottom"/>
            <w:gridSpan w:val="3"/>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​(71,141)</w:t>
            </w:r>
          </w:p>
        </w:tc>
        <w:tc>
          <w:tcPr>
            <w:tcW w:w="720" w:type="dxa"/>
            <w:vAlign w:val="bottom"/>
            <w:gridSpan w:val="3"/>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​(85,596)</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40,732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0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17</w:t>
            </w:r>
          </w:p>
        </w:tc>
        <w:tc>
          <w:tcPr>
            <w:tcW w:w="20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74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41</w:t>
            </w: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120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1,492</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(2,778</w:t>
            </w:r>
          </w:p>
        </w:tc>
        <w:tc>
          <w:tcPr>
            <w:tcW w:w="60" w:type="dxa"/>
            <w:vAlign w:val="bottom"/>
          </w:tcPr>
          <w:p>
            <w:pPr>
              <w:jc w:val="right"/>
              <w:spacing w:after="0" w:line="264" w:lineRule="exact"/>
              <w:rPr>
                <w:sz w:val="20"/>
                <w:szCs w:val="20"/>
                <w:color w:val="auto"/>
              </w:rPr>
            </w:pPr>
            <w:r>
              <w:rPr>
                <w:rFonts w:ascii="Times New Roman" w:cs="Times New Roman" w:eastAsia="Times New Roman" w:hAnsi="Times New Roman"/>
                <w:sz w:val="30"/>
                <w:szCs w:val="30"/>
                <w:color w:val="auto"/>
                <w:w w:val="74"/>
                <w:vertAlign w:val="subscript"/>
              </w:rPr>
              <w:t>​</w:t>
            </w: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for the period</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720" w:type="dxa"/>
            <w:vAlign w:val="bottom"/>
            <w:gridSpan w:val="3"/>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​(71,100)</w:t>
            </w:r>
          </w:p>
        </w:tc>
        <w:tc>
          <w:tcPr>
            <w:tcW w:w="720" w:type="dxa"/>
            <w:vAlign w:val="bottom"/>
            <w:gridSpan w:val="3"/>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rPr>
              <w:t>​(84,104)</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6"/>
              </w:rPr>
              <w:t>37,954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that may be reclassified to profit or</w:t>
            </w:r>
          </w:p>
        </w:tc>
        <w:tc>
          <w:tcPr>
            <w:tcW w:w="2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Exchange differences on translation of foreign business units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will not be subsequently reclassified to profit or loss: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5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Remeasurement of defined pension benefit obligation</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Income tax on remeasurement of defined pension benefit obligation</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5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20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5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items that will not be subsequently reclassified to profit or loss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34"/>
              <w:spacing w:after="0" w:line="202" w:lineRule="exact"/>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5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34"/>
              <w:spacing w:after="0" w:line="202" w:lineRule="exact"/>
              <w:rPr>
                <w:sz w:val="20"/>
                <w:szCs w:val="20"/>
                <w:color w:val="auto"/>
              </w:rPr>
            </w:pPr>
            <w:r>
              <w:rPr>
                <w:rFonts w:ascii="Times New Roman" w:cs="Times New Roman" w:eastAsia="Times New Roman" w:hAnsi="Times New Roman"/>
                <w:sz w:val="18"/>
                <w:szCs w:val="18"/>
                <w:b w:val="1"/>
                <w:bCs w:val="1"/>
                <w:color w:val="auto"/>
              </w:rPr>
              <w:t>(1,152)</w:t>
            </w: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358</w:t>
            </w:r>
          </w:p>
        </w:tc>
        <w:tc>
          <w:tcPr>
            <w:tcW w:w="14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w w:val="94"/>
              </w:rPr>
              <w:t>​ (1,607)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5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shd w:val="clear" w:color="auto" w:fill="CCEEFF"/>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consolidated comprehensive income (loss) for the reporting period</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​(72,252)</w:t>
            </w:r>
          </w:p>
        </w:tc>
        <w:tc>
          <w:tcPr>
            <w:tcW w:w="72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​(83,746)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36,346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5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5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500" w:type="dxa"/>
            <w:vAlign w:val="bottom"/>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 of SCHMID</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(71,042)</w:t>
            </w:r>
          </w:p>
        </w:tc>
        <w:tc>
          <w:tcPr>
            <w:tcW w:w="72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(84,111)</w:t>
            </w: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36,868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5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2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6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shd w:val="clear" w:color="auto" w:fill="CCEEFF"/>
          </w:tcPr>
          <w:p>
            <w:pPr>
              <w:spacing w:after="0"/>
              <w:rPr>
                <w:sz w:val="5"/>
                <w:szCs w:val="5"/>
                <w:color w:val="auto"/>
              </w:rPr>
            </w:pP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consolidated comprehensive income (loss) attributable to</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SCHMID</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(72,162)</w:t>
            </w:r>
          </w:p>
        </w:tc>
        <w:tc>
          <w:tcPr>
            <w:tcW w:w="720" w:type="dxa"/>
            <w:vAlign w:val="bottom"/>
            <w:tcBorders>
              <w:right w:val="single" w:sz="8" w:color="CCEEFF"/>
            </w:tcBorders>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(83,811)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35,669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56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vMerge w:val="continue"/>
            <w:shd w:val="clear" w:color="auto" w:fill="CCEEFF"/>
          </w:tcPr>
          <w:p>
            <w:pPr>
              <w:spacing w:after="0"/>
              <w:rPr>
                <w:sz w:val="4"/>
                <w:szCs w:val="4"/>
                <w:color w:val="auto"/>
              </w:rPr>
            </w:pPr>
          </w:p>
        </w:tc>
        <w:tc>
          <w:tcPr>
            <w:tcW w:w="2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shd w:val="clear" w:color="auto" w:fill="CCEEFF"/>
          </w:tcPr>
          <w:p>
            <w:pPr>
              <w:spacing w:after="0"/>
              <w:rPr>
                <w:sz w:val="4"/>
                <w:szCs w:val="4"/>
                <w:color w:val="auto"/>
              </w:rPr>
            </w:pPr>
          </w:p>
        </w:tc>
        <w:tc>
          <w:tcPr>
            <w:tcW w:w="22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2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for profit / (loss) from continuing operations</w:t>
            </w:r>
          </w:p>
        </w:tc>
        <w:tc>
          <w:tcPr>
            <w:tcW w:w="2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the ordinary equity holders of the company:</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(1.87​​​)</w:t>
            </w:r>
            <w:r>
              <w:rPr>
                <w:rFonts w:ascii="Times New Roman" w:cs="Times New Roman" w:eastAsia="Times New Roman" w:hAnsi="Times New Roman"/>
                <w:sz w:val="18"/>
                <w:szCs w:val="18"/>
                <w:b w:val="1"/>
                <w:bCs w:val="1"/>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-504825</wp:posOffset>
            </wp:positionV>
            <wp:extent cx="48520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-1584960</wp:posOffset>
            </wp:positionV>
            <wp:extent cx="48520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-3076575</wp:posOffset>
            </wp:positionV>
            <wp:extent cx="4852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-3436620</wp:posOffset>
            </wp:positionV>
            <wp:extent cx="4852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-3796665</wp:posOffset>
            </wp:positionV>
            <wp:extent cx="48520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-4499610</wp:posOffset>
            </wp:positionV>
            <wp:extent cx="48520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-5836920</wp:posOffset>
            </wp:positionV>
            <wp:extent cx="48520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-6179820</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-6179820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-6179820</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-6179820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SCHMID — CONSOLIDATED STATEMENTS OF FINANCIAL POSITION AS OF</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380" w:type="dxa"/>
            <w:vAlign w:val="bottom"/>
            <w:gridSpan w:val="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Note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12/31/2024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spacing w:after="0"/>
              <w:rPr>
                <w:sz w:val="21"/>
                <w:szCs w:val="21"/>
                <w:color w:val="auto"/>
              </w:rPr>
            </w:pP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spacing w:after="0"/>
              <w:rPr>
                <w:sz w:val="21"/>
                <w:szCs w:val="21"/>
                <w:color w:val="auto"/>
              </w:rPr>
            </w:pP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19</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17,262</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including right-of-use assets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20</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assets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22</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35</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50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17</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49,058</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32,300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23</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 and other receivables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24</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33,653</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25</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26</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57,257</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60,800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106,315</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93,100</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Subscribed capital</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27</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reserves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27</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114,980</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114,448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Accumulated loss</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102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(245,896)</w:t>
            </w:r>
          </w:p>
        </w:tc>
        <w:tc>
          <w:tcPr>
            <w:tcW w:w="7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(174,853)</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592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4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540" w:type="dxa"/>
            <w:vAlign w:val="bottom"/>
            <w:shd w:val="clear" w:color="auto" w:fill="CCEEFF"/>
          </w:tcPr>
          <w:p>
            <w:pPr>
              <w:spacing w:after="0"/>
              <w:rPr>
                <w:sz w:val="4"/>
                <w:szCs w:val="4"/>
                <w:color w:val="auto"/>
              </w:rPr>
            </w:pPr>
          </w:p>
        </w:tc>
        <w:tc>
          <w:tcPr>
            <w:tcW w:w="320" w:type="dxa"/>
            <w:vAlign w:val="bottom"/>
            <w:tcBorders>
              <w:left w:val="single" w:sz="8" w:color="CCEEFF"/>
            </w:tcBorders>
            <w:gridSpan w:val="3"/>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 ​​</w:t>
            </w:r>
          </w:p>
        </w:tc>
        <w:tc>
          <w:tcPr>
            <w:tcW w:w="58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9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68"/>
        </w:trPr>
        <w:tc>
          <w:tcPr>
            <w:tcW w:w="592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gridSpan w:val="3"/>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 ​​</w:t>
            </w:r>
          </w:p>
        </w:tc>
        <w:tc>
          <w:tcPr>
            <w:tcW w:w="5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 attributable to owners of SCHMID</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w:t>
            </w:r>
          </w:p>
        </w:tc>
        <w:tc>
          <w:tcPr>
            <w:tcW w:w="102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(132,744)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(61,112</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68"/>
        </w:trPr>
        <w:tc>
          <w:tcPr>
            <w:tcW w:w="59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4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40" w:type="dxa"/>
            <w:vAlign w:val="bottom"/>
            <w:shd w:val="clear" w:color="auto" w:fill="CCEEFF"/>
          </w:tcPr>
          <w:p>
            <w:pPr>
              <w:spacing w:after="0"/>
              <w:rPr>
                <w:sz w:val="5"/>
                <w:szCs w:val="5"/>
                <w:color w:val="auto"/>
              </w:rPr>
            </w:pPr>
          </w:p>
        </w:tc>
        <w:tc>
          <w:tcPr>
            <w:tcW w:w="320" w:type="dxa"/>
            <w:vAlign w:val="bottom"/>
            <w:tcBorders>
              <w:left w:val="single" w:sz="8" w:color="CCEEFF"/>
            </w:tcBorders>
            <w:gridSpan w:val="3"/>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50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28</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(132,165)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(60,444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68"/>
        </w:trPr>
        <w:tc>
          <w:tcPr>
            <w:tcW w:w="59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34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40" w:type="dxa"/>
            <w:vAlign w:val="bottom"/>
            <w:shd w:val="clear" w:color="auto" w:fill="CCEEFF"/>
          </w:tcPr>
          <w:p>
            <w:pPr>
              <w:spacing w:after="0"/>
              <w:rPr>
                <w:sz w:val="5"/>
                <w:szCs w:val="5"/>
                <w:color w:val="auto"/>
              </w:rPr>
            </w:pPr>
          </w:p>
        </w:tc>
        <w:tc>
          <w:tcPr>
            <w:tcW w:w="320" w:type="dxa"/>
            <w:vAlign w:val="bottom"/>
            <w:tcBorders>
              <w:left w:val="single" w:sz="8" w:color="CCEEFF"/>
            </w:tcBorders>
            <w:gridSpan w:val="3"/>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80" w:type="dxa"/>
            <w:vAlign w:val="bottom"/>
            <w:shd w:val="clear" w:color="auto" w:fill="CCEEFF"/>
          </w:tcPr>
          <w:p>
            <w:pPr>
              <w:spacing w:after="0"/>
              <w:rPr>
                <w:sz w:val="5"/>
                <w:szCs w:val="5"/>
                <w:color w:val="auto"/>
              </w:rPr>
            </w:pPr>
          </w:p>
        </w:tc>
        <w:tc>
          <w:tcPr>
            <w:tcW w:w="60" w:type="dxa"/>
            <w:vAlign w:val="bottom"/>
            <w:tcBorders>
              <w:left w:val="single" w:sz="8" w:color="CCEEFF"/>
            </w:tcBorders>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29</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Post-employment benefits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31</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provisions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30</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17</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50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21</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81,859</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53,127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50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29</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87,148</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contract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and related party payables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32</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33</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17,513</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lease liability</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21</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provisions</w:t>
            </w: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30</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tcBorders>
              <w:lef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liabilities</w:t>
            </w:r>
          </w:p>
        </w:tc>
        <w:tc>
          <w:tcPr>
            <w:tcW w:w="50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17</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ind w:left="6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156,622</w:t>
            </w:r>
          </w:p>
        </w:tc>
        <w:tc>
          <w:tcPr>
            <w:tcW w:w="900" w:type="dxa"/>
            <w:vAlign w:val="bottom"/>
            <w:tcBorders>
              <w:left w:val="single" w:sz="8" w:color="CCEEFF"/>
            </w:tcBorders>
            <w:gridSpan w:val="4"/>
            <w:shd w:val="clear" w:color="auto" w:fill="CCEEFF"/>
          </w:tcPr>
          <w:p>
            <w:pPr>
              <w:jc w:val="right"/>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100,417</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ind w:left="6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106,315</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6003290</wp:posOffset>
            </wp:positionH>
            <wp:positionV relativeFrom="paragraph">
              <wp:posOffset>-196215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-385445</wp:posOffset>
            </wp:positionV>
            <wp:extent cx="52120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-1602105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-1790700</wp:posOffset>
            </wp:positionV>
            <wp:extent cx="52120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-2630805</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-2811145</wp:posOffset>
            </wp:positionV>
            <wp:extent cx="52120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-2990850</wp:posOffset>
            </wp:positionV>
            <wp:extent cx="82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-3171190</wp:posOffset>
            </wp:positionV>
            <wp:extent cx="5212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-4002405</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-4182745</wp:posOffset>
            </wp:positionV>
            <wp:extent cx="52120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-4362450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6003290</wp:posOffset>
            </wp:positionH>
            <wp:positionV relativeFrom="paragraph">
              <wp:posOffset>-5031105</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-5211445</wp:posOffset>
            </wp:positionV>
            <wp:extent cx="52120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-6205855</wp:posOffset>
            </wp:positionV>
            <wp:extent cx="137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-6205855</wp:posOffset>
            </wp:positionV>
            <wp:extent cx="137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-6205855</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8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SCHMID — CONSOLIDATED STATEMENTS OF CHANGES IN EQUITY FOR THE YEARS ENDED</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r>
        <w:rPr>
          <w:rFonts w:ascii="Times New Roman" w:cs="Times New Roman" w:eastAsia="Times New Roman" w:hAnsi="Times New Roman"/>
          <w:sz w:val="18"/>
          <w:szCs w:val="18"/>
          <w:color w:val="auto"/>
        </w:rPr>
        <w:t>​</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160" w:type="dxa"/>
            <w:vAlign w:val="bottom"/>
          </w:tcPr>
          <w:p>
            <w:pPr>
              <w:spacing w:after="0"/>
              <w:rPr>
                <w:sz w:val="14"/>
                <w:szCs w:val="14"/>
                <w:color w:val="auto"/>
              </w:rPr>
            </w:pPr>
          </w:p>
        </w:tc>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attributable to</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Subscribed</w:t>
            </w:r>
          </w:p>
        </w:tc>
        <w:tc>
          <w:tcPr>
            <w:tcW w:w="140" w:type="dxa"/>
            <w:vAlign w:val="bottom"/>
          </w:tcPr>
          <w:p>
            <w:pPr>
              <w:spacing w:after="0"/>
              <w:rPr>
                <w:sz w:val="14"/>
                <w:szCs w:val="14"/>
                <w:color w:val="auto"/>
              </w:rPr>
            </w:pPr>
          </w:p>
        </w:tc>
        <w:tc>
          <w:tcPr>
            <w:tcW w:w="14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Capital   Accumulated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14"/>
                <w:szCs w:val="14"/>
                <w:color w:val="auto"/>
              </w:rPr>
            </w:pPr>
          </w:p>
        </w:tc>
        <w:tc>
          <w:tcPr>
            <w:tcW w:w="9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owners of</w:t>
            </w:r>
          </w:p>
        </w:tc>
        <w:tc>
          <w:tcPr>
            <w:tcW w:w="140" w:type="dxa"/>
            <w:vAlign w:val="bottom"/>
          </w:tcPr>
          <w:p>
            <w:pPr>
              <w:spacing w:after="0"/>
              <w:rPr>
                <w:sz w:val="14"/>
                <w:szCs w:val="14"/>
                <w:color w:val="auto"/>
              </w:rPr>
            </w:pP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Non-controlling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70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24"/>
                <w:szCs w:val="24"/>
                <w:b w:val="1"/>
                <w:bCs w:val="1"/>
                <w:color w:val="auto"/>
                <w:vertAlign w:val="subscript"/>
              </w:rPr>
              <w:t>​ ​</w:t>
            </w:r>
          </w:p>
        </w:tc>
        <w:tc>
          <w:tcPr>
            <w:tcW w:w="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920" w:type="dxa"/>
            <w:vAlign w:val="bottom"/>
            <w:gridSpan w:val="4"/>
          </w:tcPr>
          <w:p>
            <w:pPr>
              <w:jc w:val="right"/>
              <w:ind w:right="65"/>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reserves </w:t>
            </w:r>
            <w:r>
              <w:rPr>
                <w:rFonts w:ascii="Times New Roman" w:cs="Times New Roman" w:eastAsia="Times New Roman" w:hAnsi="Times New Roman"/>
                <w:sz w:val="24"/>
                <w:szCs w:val="24"/>
                <w:b w:val="1"/>
                <w:bCs w:val="1"/>
                <w:color w:val="auto"/>
                <w:vertAlign w:val="subscript"/>
              </w:rPr>
              <w:t>​ ​</w:t>
            </w:r>
          </w:p>
        </w:tc>
        <w:tc>
          <w:tcPr>
            <w:tcW w:w="6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income (loss)</w:t>
            </w:r>
          </w:p>
        </w:tc>
        <w:tc>
          <w:tcPr>
            <w:tcW w:w="106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SCHMID N.V.</w:t>
            </w:r>
          </w:p>
        </w:tc>
        <w:tc>
          <w:tcPr>
            <w:tcW w:w="2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interest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Equity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2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1/1/2023</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620" w:type="dxa"/>
            <w:vAlign w:val="bottom"/>
            <w:tcBorders>
              <w:right w:val="single" w:sz="8" w:color="CCEEFF"/>
            </w:tcBorders>
            <w:gridSpan w:val="3"/>
            <w:shd w:val="clear" w:color="auto" w:fill="CCEEFF"/>
          </w:tcPr>
          <w:p>
            <w:pPr>
              <w:jc w:val="right"/>
              <w:ind w:righ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23,004</w:t>
            </w:r>
          </w:p>
        </w:tc>
        <w:tc>
          <w:tcPr>
            <w:tcW w:w="920" w:type="dxa"/>
            <w:vAlign w:val="bottom"/>
            <w:tcBorders>
              <w:right w:val="single" w:sz="8" w:color="CCEEFF"/>
            </w:tcBorders>
            <w:gridSpan w:val="4"/>
            <w:shd w:val="clear" w:color="auto" w:fill="CCEEFF"/>
          </w:tcPr>
          <w:p>
            <w:pPr>
              <w:jc w:val="right"/>
              <w:ind w:right="65"/>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47,475</w:t>
            </w:r>
            <w:r>
              <w:rPr>
                <w:rFonts w:ascii="Times New Roman" w:cs="Times New Roman" w:eastAsia="Times New Roman" w:hAnsi="Times New Roman"/>
                <w:sz w:val="30"/>
                <w:szCs w:val="30"/>
                <w:b w:val="1"/>
                <w:bCs w:val="1"/>
                <w:color w:val="auto"/>
                <w:vertAlign w:val="subscript"/>
              </w:rPr>
              <w:t>​​ ​</w:t>
            </w:r>
          </w:p>
        </w:tc>
        <w:tc>
          <w:tcPr>
            <w:tcW w:w="880" w:type="dxa"/>
            <w:vAlign w:val="bottom"/>
            <w:tcBorders>
              <w:right w:val="single" w:sz="8" w:color="CCEEFF"/>
            </w:tcBorders>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​(131,235) </w:t>
            </w:r>
            <w:r>
              <w:rPr>
                <w:rFonts w:ascii="Times New Roman" w:cs="Times New Roman" w:eastAsia="Times New Roman" w:hAnsi="Times New Roman"/>
                <w:sz w:val="30"/>
                <w:szCs w:val="30"/>
                <w:b w:val="1"/>
                <w:bCs w:val="1"/>
                <w:color w:val="auto"/>
                <w:vertAlign w:val="subscript"/>
              </w:rPr>
              <w:t>​​ ​</w:t>
            </w:r>
          </w:p>
        </w:tc>
        <w:tc>
          <w:tcPr>
            <w:tcW w:w="24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(239)</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60" w:type="dxa"/>
            <w:vAlign w:val="bottom"/>
            <w:shd w:val="clear" w:color="auto" w:fill="CCEEFF"/>
          </w:tcPr>
          <w:p>
            <w:pPr>
              <w:spacing w:after="0"/>
              <w:rPr>
                <w:sz w:val="22"/>
                <w:szCs w:val="22"/>
                <w:color w:val="auto"/>
              </w:rPr>
            </w:pPr>
          </w:p>
        </w:tc>
        <w:tc>
          <w:tcPr>
            <w:tcW w:w="7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(60,996)</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 ​</w:t>
            </w:r>
          </w:p>
        </w:tc>
        <w:tc>
          <w:tcPr>
            <w:tcW w:w="840" w:type="dxa"/>
            <w:vAlign w:val="bottom"/>
            <w:tcBorders>
              <w:right w:val="single" w:sz="8" w:color="CCEEFF"/>
            </w:tcBorders>
            <w:gridSpan w:val="4"/>
            <w:shd w:val="clear" w:color="auto" w:fill="CCEEFF"/>
          </w:tcPr>
          <w:p>
            <w:pPr>
              <w:jc w:val="right"/>
              <w:ind w:right="2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​6,681</w:t>
            </w:r>
          </w:p>
        </w:tc>
        <w:tc>
          <w:tcPr>
            <w:tcW w:w="7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(54,315</w:t>
            </w:r>
          </w:p>
        </w:tc>
        <w:tc>
          <w:tcPr>
            <w:tcW w:w="60" w:type="dxa"/>
            <w:vAlign w:val="bottom"/>
          </w:tcPr>
          <w:p>
            <w:pPr>
              <w:jc w:val="right"/>
              <w:spacing w:after="0" w:line="263"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for the period</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36,868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36,868</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1,086</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37,954​</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w:t>
            </w:r>
          </w:p>
        </w:tc>
        <w:tc>
          <w:tcPr>
            <w:tcW w:w="88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(1,199)</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(1,199)</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 ​​</w:t>
            </w:r>
          </w:p>
        </w:tc>
        <w:tc>
          <w:tcPr>
            <w:tcW w:w="6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36,868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w:t>
            </w: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​(1,199)</w:t>
            </w: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35,669</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677</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36,346​</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Transactions with shareholder</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perscript"/>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24"/>
              <w:spacing w:after="0" w:line="269"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perscript"/>
              </w:rPr>
              <w:t>​</w:t>
            </w:r>
          </w:p>
        </w:tc>
        <w:tc>
          <w:tcPr>
            <w:tcW w:w="640" w:type="dxa"/>
            <w:vAlign w:val="bottom"/>
            <w:tcBorders>
              <w:right w:val="single" w:sz="8" w:color="CCEEFF"/>
            </w:tcBorders>
            <w:gridSpan w:val="2"/>
            <w:shd w:val="clear" w:color="auto" w:fill="CCEEFF"/>
          </w:tcPr>
          <w:p>
            <w:pPr>
              <w:jc w:val="right"/>
              <w:ind w:right="65"/>
              <w:spacing w:after="0" w:line="269" w:lineRule="exact"/>
              <w:rPr>
                <w:sz w:val="20"/>
                <w:szCs w:val="20"/>
                <w:color w:val="auto"/>
              </w:rPr>
            </w:pPr>
            <w:r>
              <w:rPr>
                <w:rFonts w:ascii="Times New Roman" w:cs="Times New Roman" w:eastAsia="Times New Roman" w:hAnsi="Times New Roman"/>
                <w:sz w:val="31"/>
                <w:szCs w:val="31"/>
                <w:color w:val="auto"/>
                <w:vertAlign w:val="superscript"/>
              </w:rPr>
              <w:t>128</w:t>
            </w:r>
            <w:r>
              <w:rPr>
                <w:rFonts w:ascii="Times New Roman" w:cs="Times New Roman" w:eastAsia="Times New Roman" w:hAnsi="Times New Roman"/>
                <w:sz w:val="16"/>
                <w:szCs w:val="16"/>
                <w:color w:val="auto"/>
              </w:rPr>
              <w:t>​​ ​</w:t>
            </w:r>
          </w:p>
        </w:tc>
        <w:tc>
          <w:tcPr>
            <w:tcW w:w="6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perscript"/>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b w:val="1"/>
                <w:bCs w:val="1"/>
                <w:color w:val="auto"/>
                <w:vertAlign w:val="superscript"/>
              </w:rPr>
              <w:t>​</w:t>
            </w:r>
          </w:p>
        </w:tc>
        <w:tc>
          <w:tcPr>
            <w:tcW w:w="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perscript"/>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128</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1"/>
                <w:szCs w:val="31"/>
                <w:color w:val="auto"/>
                <w:vertAlign w:val="superscript"/>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1"/>
                <w:szCs w:val="31"/>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12/31/2023</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620" w:type="dxa"/>
            <w:vAlign w:val="bottom"/>
            <w:gridSpan w:val="3"/>
          </w:tcPr>
          <w:p>
            <w:pPr>
              <w:jc w:val="right"/>
              <w:ind w:righ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23,004</w:t>
            </w:r>
          </w:p>
        </w:tc>
        <w:tc>
          <w:tcPr>
            <w:tcW w:w="920" w:type="dxa"/>
            <w:vAlign w:val="bottom"/>
            <w:gridSpan w:val="4"/>
          </w:tcPr>
          <w:p>
            <w:pPr>
              <w:jc w:val="right"/>
              <w:ind w:right="65"/>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 47,603</w:t>
            </w:r>
            <w:r>
              <w:rPr>
                <w:rFonts w:ascii="Times New Roman" w:cs="Times New Roman" w:eastAsia="Times New Roman" w:hAnsi="Times New Roman"/>
                <w:sz w:val="16"/>
                <w:szCs w:val="16"/>
                <w:b w:val="1"/>
                <w:bCs w:val="1"/>
                <w:color w:val="auto"/>
              </w:rPr>
              <w:t>​​ ​</w:t>
            </w:r>
          </w:p>
        </w:tc>
        <w:tc>
          <w:tcPr>
            <w:tcW w:w="88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(94,367) </w:t>
            </w:r>
            <w:r>
              <w:rPr>
                <w:rFonts w:ascii="Times New Roman" w:cs="Times New Roman" w:eastAsia="Times New Roman" w:hAnsi="Times New Roman"/>
                <w:sz w:val="30"/>
                <w:szCs w:val="30"/>
                <w:b w:val="1"/>
                <w:bCs w:val="1"/>
                <w:color w:val="auto"/>
                <w:vertAlign w:val="subscript"/>
              </w:rPr>
              <w:t>​​ ​</w:t>
            </w:r>
          </w:p>
        </w:tc>
        <w:tc>
          <w:tcPr>
            <w:tcW w:w="880" w:type="dxa"/>
            <w:vAlign w:val="bottom"/>
            <w:gridSpan w:val="4"/>
          </w:tcPr>
          <w:p>
            <w:pPr>
              <w:jc w:val="right"/>
              <w:ind w:righ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​(1,438)</w:t>
            </w: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60" w:type="dxa"/>
            <w:vAlign w:val="bottom"/>
          </w:tcPr>
          <w:p>
            <w:pPr>
              <w:spacing w:after="0"/>
              <w:rPr>
                <w:sz w:val="22"/>
                <w:szCs w:val="22"/>
                <w:color w:val="auto"/>
              </w:rPr>
            </w:pPr>
          </w:p>
        </w:tc>
        <w:tc>
          <w:tcPr>
            <w:tcW w:w="74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(25,198)</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 ​</w:t>
            </w:r>
          </w:p>
        </w:tc>
        <w:tc>
          <w:tcPr>
            <w:tcW w:w="840" w:type="dxa"/>
            <w:vAlign w:val="bottom"/>
            <w:gridSpan w:val="4"/>
          </w:tcPr>
          <w:p>
            <w:pPr>
              <w:jc w:val="right"/>
              <w:ind w:right="2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​7,358</w:t>
            </w:r>
          </w:p>
        </w:tc>
        <w:tc>
          <w:tcPr>
            <w:tcW w:w="780" w:type="dxa"/>
            <w:vAlign w:val="bottom"/>
            <w:gridSpan w:val="4"/>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(17,841</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for the period</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(84,111) ​​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(84,111)</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w:t>
            </w:r>
          </w:p>
        </w:tc>
        <w:tc>
          <w:tcPr>
            <w:tcW w:w="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(84,104​)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300</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300</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 ​​</w:t>
            </w:r>
          </w:p>
        </w:tc>
        <w:tc>
          <w:tcPr>
            <w:tcW w:w="640" w:type="dxa"/>
            <w:vAlign w:val="bottom"/>
            <w:tcBorders>
              <w:right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(84,111) ​​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300</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60" w:type="dxa"/>
            <w:vAlign w:val="bottom"/>
            <w:shd w:val="clear" w:color="auto" w:fill="CCEEFF"/>
          </w:tcPr>
          <w:p>
            <w:pPr>
              <w:spacing w:after="0"/>
              <w:rPr>
                <w:sz w:val="19"/>
                <w:szCs w:val="19"/>
                <w:color w:val="auto"/>
              </w:rPr>
            </w:pPr>
          </w:p>
        </w:tc>
        <w:tc>
          <w:tcPr>
            <w:tcW w:w="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(83,811)</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65</w:t>
            </w:r>
          </w:p>
        </w:tc>
        <w:tc>
          <w:tcPr>
            <w:tcW w:w="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 (83,746​)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Minority interest reduction – SCHMID</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Technology (Guangdong) Co., Ltd.</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(STG)</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(6,755)</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Reorganization – Share based payment</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(22,573)</w:t>
            </w:r>
          </w:p>
        </w:tc>
        <w:tc>
          <w:tcPr>
            <w:tcW w:w="920" w:type="dxa"/>
            <w:vAlign w:val="bottom"/>
            <w:tcBorders>
              <w:right w:val="single" w:sz="8" w:color="CCEEFF"/>
            </w:tcBorders>
            <w:gridSpan w:val="4"/>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67,146​​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3,625</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48,198</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Transactions with shareholder</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5"/>
              <w:spacing w:after="0"/>
              <w:rPr>
                <w:sz w:val="20"/>
                <w:szCs w:val="20"/>
                <w:color w:val="auto"/>
              </w:rPr>
            </w:pPr>
            <w:r>
              <w:rPr>
                <w:rFonts w:ascii="Times New Roman" w:cs="Times New Roman" w:eastAsia="Times New Roman" w:hAnsi="Times New Roman"/>
                <w:sz w:val="16"/>
                <w:szCs w:val="16"/>
                <w:color w:val="auto"/>
              </w:rPr>
              <w:t>(301)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(301)</w:t>
            </w:r>
          </w:p>
        </w:tc>
        <w:tc>
          <w:tcPr>
            <w:tcW w:w="2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68"/>
        </w:trPr>
        <w:tc>
          <w:tcPr>
            <w:tcW w:w="28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gridSpan w:val="2"/>
          </w:tcPr>
          <w:p>
            <w:pPr>
              <w:jc w:val="right"/>
              <w:ind w:right="24"/>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260" w:type="dxa"/>
            <w:vAlign w:val="bottom"/>
          </w:tcPr>
          <w:p>
            <w:pPr>
              <w:jc w:val="right"/>
              <w:ind w:right="65"/>
              <w:spacing w:after="0" w:line="68" w:lineRule="exact"/>
              <w:rPr>
                <w:sz w:val="20"/>
                <w:szCs w:val="20"/>
                <w:color w:val="auto"/>
              </w:rPr>
            </w:pPr>
            <w:r>
              <w:rPr>
                <w:rFonts w:ascii="Times New Roman" w:cs="Times New Roman" w:eastAsia="Times New Roman" w:hAnsi="Times New Roman"/>
                <w:sz w:val="7"/>
                <w:szCs w:val="7"/>
                <w:color w:val="auto"/>
              </w:rPr>
              <w:t>​​ ​</w:t>
            </w: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12/31/2024</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431</w:t>
            </w:r>
          </w:p>
        </w:tc>
        <w:tc>
          <w:tcPr>
            <w:tcW w:w="920" w:type="dxa"/>
            <w:vAlign w:val="bottom"/>
            <w:tcBorders>
              <w:right w:val="single" w:sz="8" w:color="CCEEFF"/>
            </w:tcBorders>
            <w:gridSpan w:val="4"/>
            <w:shd w:val="clear" w:color="auto" w:fill="CCEEFF"/>
          </w:tcPr>
          <w:p>
            <w:pPr>
              <w:jc w:val="right"/>
              <w:ind w:right="65"/>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​114,448</w:t>
            </w:r>
            <w:r>
              <w:rPr>
                <w:rFonts w:ascii="Times New Roman" w:cs="Times New Roman" w:eastAsia="Times New Roman" w:hAnsi="Times New Roman"/>
                <w:sz w:val="30"/>
                <w:szCs w:val="30"/>
                <w:b w:val="1"/>
                <w:bCs w:val="1"/>
                <w:color w:val="auto"/>
                <w:vertAlign w:val="subscript"/>
              </w:rPr>
              <w:t>​​ ​</w:t>
            </w:r>
          </w:p>
        </w:tc>
        <w:tc>
          <w:tcPr>
            <w:tcW w:w="880" w:type="dxa"/>
            <w:vAlign w:val="bottom"/>
            <w:tcBorders>
              <w:right w:val="single" w:sz="8" w:color="CCEEFF"/>
            </w:tcBorders>
            <w:gridSpan w:val="5"/>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​(174,853) </w:t>
            </w:r>
            <w:r>
              <w:rPr>
                <w:rFonts w:ascii="Times New Roman" w:cs="Times New Roman" w:eastAsia="Times New Roman" w:hAnsi="Times New Roman"/>
                <w:sz w:val="30"/>
                <w:szCs w:val="30"/>
                <w:b w:val="1"/>
                <w:bCs w:val="1"/>
                <w:color w:val="auto"/>
                <w:vertAlign w:val="subscript"/>
              </w:rPr>
              <w:t>​​ ​</w:t>
            </w:r>
          </w:p>
        </w:tc>
        <w:tc>
          <w:tcPr>
            <w:tcW w:w="880" w:type="dxa"/>
            <w:vAlign w:val="bottom"/>
            <w:tcBorders>
              <w:right w:val="single" w:sz="8" w:color="CCEEFF"/>
            </w:tcBorders>
            <w:gridSpan w:val="4"/>
            <w:shd w:val="clear" w:color="auto" w:fill="CCEEFF"/>
          </w:tcPr>
          <w:p>
            <w:pPr>
              <w:jc w:val="right"/>
              <w:ind w:righ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​(1,138)</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60" w:type="dxa"/>
            <w:vAlign w:val="bottom"/>
            <w:shd w:val="clear" w:color="auto" w:fill="CCEEFF"/>
          </w:tcPr>
          <w:p>
            <w:pPr>
              <w:spacing w:after="0"/>
              <w:rPr>
                <w:sz w:val="22"/>
                <w:szCs w:val="22"/>
                <w:color w:val="auto"/>
              </w:rPr>
            </w:pPr>
          </w:p>
        </w:tc>
        <w:tc>
          <w:tcPr>
            <w:tcW w:w="7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(61,113)</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 ​</w:t>
            </w:r>
          </w:p>
        </w:tc>
        <w:tc>
          <w:tcPr>
            <w:tcW w:w="22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668</w:t>
            </w:r>
          </w:p>
        </w:tc>
        <w:tc>
          <w:tcPr>
            <w:tcW w:w="7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(60,444</w:t>
            </w:r>
          </w:p>
        </w:tc>
        <w:tc>
          <w:tcPr>
            <w:tcW w:w="60" w:type="dxa"/>
            <w:vAlign w:val="bottom"/>
          </w:tcPr>
          <w:p>
            <w:pPr>
              <w:jc w:val="right"/>
              <w:spacing w:after="0" w:line="263"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for the period</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(71,042)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(71,042)</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w:t>
            </w:r>
          </w:p>
        </w:tc>
        <w:tc>
          <w:tcPr>
            <w:tcW w:w="7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(71,100​)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640" w:type="dxa"/>
            <w:vAlign w:val="bottom"/>
            <w:tcBorders>
              <w:right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right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(1,121)</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(1,121)</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 ​​</w:t>
            </w:r>
          </w:p>
        </w:tc>
        <w:tc>
          <w:tcPr>
            <w:tcW w:w="640" w:type="dxa"/>
            <w:vAlign w:val="bottom"/>
            <w:gridSpan w:val="2"/>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 ​</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 (71,042) ​​ ​</w:t>
            </w: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​(1,121)</w:t>
            </w: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60" w:type="dxa"/>
            <w:vAlign w:val="bottom"/>
          </w:tcPr>
          <w:p>
            <w:pPr>
              <w:spacing w:after="0"/>
              <w:rPr>
                <w:sz w:val="21"/>
                <w:szCs w:val="2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 (72,163)</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(90)</w:t>
            </w:r>
          </w:p>
        </w:tc>
        <w:tc>
          <w:tcPr>
            <w:tcW w:w="7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 ​​ (72,252​)</w:t>
            </w:r>
          </w:p>
        </w:tc>
        <w:tc>
          <w:tcPr>
            <w:tcW w:w="0" w:type="dxa"/>
            <w:vAlign w:val="bottom"/>
          </w:tcPr>
          <w:p>
            <w:pPr>
              <w:spacing w:after="0"/>
              <w:rPr>
                <w:sz w:val="1"/>
                <w:szCs w:val="1"/>
                <w:color w:val="auto"/>
              </w:rPr>
            </w:pPr>
          </w:p>
        </w:tc>
      </w:tr>
      <w:tr>
        <w:trPr>
          <w:trHeight w:val="28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Transactions with shareholder</w:t>
            </w:r>
          </w:p>
        </w:tc>
        <w:tc>
          <w:tcPr>
            <w:tcW w:w="480" w:type="dxa"/>
            <w:vAlign w:val="bottom"/>
            <w:gridSpan w:val="2"/>
            <w:shd w:val="clear" w:color="auto" w:fill="CCEEFF"/>
          </w:tcPr>
          <w:p>
            <w:pPr>
              <w:ind w:left="60"/>
              <w:spacing w:after="0" w:line="283"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2"/>
                <w:szCs w:val="32"/>
                <w:color w:val="auto"/>
                <w:vertAlign w:val="superscript"/>
              </w:rPr>
              <w:t>22</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perscript"/>
              </w:rPr>
              <w:t>​</w:t>
            </w: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24"/>
              <w:spacing w:after="0" w:line="283"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2"/>
                <w:szCs w:val="32"/>
                <w:color w:val="auto"/>
                <w:vertAlign w:val="superscript"/>
              </w:rPr>
              <w:t>​</w:t>
            </w:r>
          </w:p>
        </w:tc>
        <w:tc>
          <w:tcPr>
            <w:tcW w:w="640" w:type="dxa"/>
            <w:vAlign w:val="bottom"/>
            <w:tcBorders>
              <w:right w:val="single" w:sz="8" w:color="CCEEFF"/>
            </w:tcBorders>
            <w:gridSpan w:val="2"/>
            <w:shd w:val="clear" w:color="auto" w:fill="CCEEFF"/>
          </w:tcPr>
          <w:p>
            <w:pPr>
              <w:jc w:val="right"/>
              <w:ind w:right="65"/>
              <w:spacing w:after="0" w:line="283" w:lineRule="exact"/>
              <w:rPr>
                <w:sz w:val="20"/>
                <w:szCs w:val="20"/>
                <w:color w:val="auto"/>
              </w:rPr>
            </w:pPr>
            <w:r>
              <w:rPr>
                <w:rFonts w:ascii="Times New Roman" w:cs="Times New Roman" w:eastAsia="Times New Roman" w:hAnsi="Times New Roman"/>
                <w:sz w:val="16"/>
                <w:szCs w:val="16"/>
                <w:color w:val="auto"/>
              </w:rPr>
              <w:t>532</w:t>
            </w:r>
            <w:r>
              <w:rPr>
                <w:rFonts w:ascii="Times New Roman" w:cs="Times New Roman" w:eastAsia="Times New Roman" w:hAnsi="Times New Roman"/>
                <w:sz w:val="32"/>
                <w:szCs w:val="32"/>
                <w:color w:val="auto"/>
                <w:vertAlign w:val="subscript"/>
              </w:rPr>
              <w:t>​​ ​</w:t>
            </w:r>
          </w:p>
        </w:tc>
        <w:tc>
          <w:tcPr>
            <w:tcW w:w="60" w:type="dxa"/>
            <w:vAlign w:val="bottom"/>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perscript"/>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perscript"/>
              </w:rPr>
              <w:t>​</w:t>
            </w:r>
          </w:p>
        </w:tc>
        <w:tc>
          <w:tcPr>
            <w:tcW w:w="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perscript"/>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532</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perscript"/>
              </w:rPr>
              <w:t>​</w:t>
            </w:r>
          </w:p>
        </w:tc>
        <w:tc>
          <w:tcPr>
            <w:tcW w:w="6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2"/>
                <w:szCs w:val="32"/>
                <w:color w:val="auto"/>
                <w:vertAlign w:val="superscript"/>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12/31/2025</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 ​</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w:t>
            </w:r>
          </w:p>
        </w:tc>
        <w:tc>
          <w:tcPr>
            <w:tcW w:w="60" w:type="dxa"/>
            <w:vAlign w:val="bottom"/>
          </w:tcPr>
          <w:p>
            <w:pPr>
              <w:spacing w:after="0" w:line="276"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2"/>
                <w:szCs w:val="32"/>
                <w:b w:val="1"/>
                <w:bCs w:val="1"/>
                <w:color w:val="auto"/>
                <w:vertAlign w:val="superscript"/>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431</w:t>
            </w:r>
          </w:p>
        </w:tc>
        <w:tc>
          <w:tcPr>
            <w:tcW w:w="920" w:type="dxa"/>
            <w:vAlign w:val="bottom"/>
            <w:gridSpan w:val="4"/>
          </w:tcPr>
          <w:p>
            <w:pPr>
              <w:jc w:val="right"/>
              <w:ind w:right="65"/>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6"/>
                <w:szCs w:val="16"/>
                <w:b w:val="1"/>
                <w:bCs w:val="1"/>
                <w:color w:val="auto"/>
              </w:rPr>
              <w:t>​114,980</w:t>
            </w:r>
            <w:r>
              <w:rPr>
                <w:rFonts w:ascii="Times New Roman" w:cs="Times New Roman" w:eastAsia="Times New Roman" w:hAnsi="Times New Roman"/>
                <w:sz w:val="32"/>
                <w:szCs w:val="32"/>
                <w:b w:val="1"/>
                <w:bCs w:val="1"/>
                <w:color w:val="auto"/>
                <w:vertAlign w:val="subscript"/>
              </w:rPr>
              <w:t>​​ ​</w:t>
            </w:r>
          </w:p>
        </w:tc>
        <w:tc>
          <w:tcPr>
            <w:tcW w:w="880" w:type="dxa"/>
            <w:vAlign w:val="bottom"/>
            <w:gridSpan w:val="5"/>
          </w:tcPr>
          <w:p>
            <w:pPr>
              <w:jc w:val="right"/>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6"/>
                <w:szCs w:val="16"/>
                <w:b w:val="1"/>
                <w:bCs w:val="1"/>
                <w:color w:val="auto"/>
              </w:rPr>
              <w:t xml:space="preserve">​(245,896) </w:t>
            </w:r>
            <w:r>
              <w:rPr>
                <w:rFonts w:ascii="Times New Roman" w:cs="Times New Roman" w:eastAsia="Times New Roman" w:hAnsi="Times New Roman"/>
                <w:sz w:val="32"/>
                <w:szCs w:val="32"/>
                <w:b w:val="1"/>
                <w:bCs w:val="1"/>
                <w:color w:val="auto"/>
                <w:vertAlign w:val="subscript"/>
              </w:rPr>
              <w:t>​​ ​</w:t>
            </w:r>
          </w:p>
        </w:tc>
        <w:tc>
          <w:tcPr>
            <w:tcW w:w="880" w:type="dxa"/>
            <w:vAlign w:val="bottom"/>
            <w:gridSpan w:val="4"/>
          </w:tcPr>
          <w:p>
            <w:pPr>
              <w:jc w:val="right"/>
              <w:ind w:right="20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6"/>
                <w:szCs w:val="16"/>
                <w:b w:val="1"/>
                <w:bCs w:val="1"/>
                <w:color w:val="auto"/>
              </w:rPr>
              <w:t>​(2,259)</w:t>
            </w: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160" w:type="dxa"/>
            <w:vAlign w:val="bottom"/>
          </w:tcPr>
          <w:p>
            <w:pPr>
              <w:spacing w:after="0"/>
              <w:rPr>
                <w:sz w:val="24"/>
                <w:szCs w:val="24"/>
                <w:color w:val="auto"/>
              </w:rPr>
            </w:pPr>
          </w:p>
        </w:tc>
        <w:tc>
          <w:tcPr>
            <w:tcW w:w="74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6"/>
                <w:szCs w:val="16"/>
                <w:b w:val="1"/>
                <w:bCs w:val="1"/>
                <w:color w:val="auto"/>
              </w:rPr>
              <w:t>​(132,744)</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 ​</w:t>
            </w:r>
          </w:p>
        </w:tc>
        <w:tc>
          <w:tcPr>
            <w:tcW w:w="22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2"/>
                <w:szCs w:val="32"/>
                <w:b w:val="1"/>
                <w:bCs w:val="1"/>
                <w:color w:val="auto"/>
                <w:vertAlign w:val="superscript"/>
              </w:rPr>
              <w:t>​</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579</w:t>
            </w:r>
          </w:p>
        </w:tc>
        <w:tc>
          <w:tcPr>
            <w:tcW w:w="780" w:type="dxa"/>
            <w:vAlign w:val="bottom"/>
            <w:gridSpan w:val="4"/>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6"/>
                <w:szCs w:val="16"/>
                <w:b w:val="1"/>
                <w:bCs w:val="1"/>
                <w:color w:val="auto"/>
              </w:rPr>
              <w:t>​(132,165</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-1010920</wp:posOffset>
            </wp:positionV>
            <wp:extent cx="274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-1010920</wp:posOffset>
            </wp:positionV>
            <wp:extent cx="3683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-1010920</wp:posOffset>
            </wp:positionV>
            <wp:extent cx="3600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-1010920</wp:posOffset>
            </wp:positionV>
            <wp:extent cx="3086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-1010920</wp:posOffset>
            </wp:positionV>
            <wp:extent cx="32143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5848985</wp:posOffset>
            </wp:positionH>
            <wp:positionV relativeFrom="paragraph">
              <wp:posOffset>-2313940</wp:posOffset>
            </wp:positionV>
            <wp:extent cx="274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-2313940</wp:posOffset>
            </wp:positionV>
            <wp:extent cx="3683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-2313940</wp:posOffset>
            </wp:positionV>
            <wp:extent cx="3600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-2313940</wp:posOffset>
            </wp:positionV>
            <wp:extent cx="3086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-2313940</wp:posOffset>
            </wp:positionV>
            <wp:extent cx="32143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6029325</wp:posOffset>
            </wp:positionH>
            <wp:positionV relativeFrom="paragraph">
              <wp:posOffset>-3291205</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5326380</wp:posOffset>
            </wp:positionH>
            <wp:positionV relativeFrom="paragraph">
              <wp:posOffset>-3291205</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-3291205</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-3291205</wp:posOffset>
            </wp:positionV>
            <wp:extent cx="857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-3291205</wp:posOffset>
            </wp:positionV>
            <wp:extent cx="85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-3291205</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-3291205</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-3291205</wp:posOffset>
            </wp:positionV>
            <wp:extent cx="1200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SCHMID — CONSOLIDATED STATEMENTS OF CASH FLOWS FOR THE YEARS ENDED</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9" w:lineRule="exact"/>
        <w:rPr>
          <w:sz w:val="20"/>
          <w:szCs w:val="20"/>
          <w:color w:val="auto"/>
        </w:rPr>
      </w:pPr>
    </w:p>
    <w:p>
      <w:pPr>
        <w:jc w:val="right"/>
        <w:ind w:right="379"/>
        <w:spacing w:after="0"/>
        <w:tabs>
          <w:tab w:leader="none" w:pos="2340" w:val="left"/>
          <w:tab w:leader="none" w:pos="2040" w:val="left"/>
          <w:tab w:leader="none" w:pos="1560" w:val="left"/>
          <w:tab w:leader="none" w:pos="1240" w:val="left"/>
          <w:tab w:leader="none" w:pos="760" w:val="left"/>
          <w:tab w:leader="none" w:pos="440" w:val="left"/>
          <w:tab w:leader="none" w:pos="20" w:val="left"/>
        </w:tabs>
        <w:rPr>
          <w:sz w:val="20"/>
          <w:szCs w:val="20"/>
          <w:color w:val="auto"/>
        </w:rPr>
      </w:pPr>
      <w:r>
        <w:rPr>
          <w:rFonts w:ascii="Times New Roman" w:cs="Times New Roman" w:eastAsia="Times New Roman" w:hAnsi="Times New Roman"/>
          <w:sz w:val="14"/>
          <w:szCs w:val="14"/>
          <w:b w:val="1"/>
          <w:bCs w:val="1"/>
          <w:color w:val="auto"/>
        </w:rPr>
        <w:t>in € thousand</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income (loss) from continued operations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Adjustments to reconcile consolidated net income (loss) to net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0" w:lineRule="exact"/>
        <w:rPr>
          <w:sz w:val="20"/>
          <w:szCs w:val="20"/>
          <w:color w:val="auto"/>
        </w:rPr>
      </w:pPr>
    </w:p>
    <w:p>
      <w:pPr>
        <w:ind w:left="1260" w:right="880"/>
        <w:spacing w:after="0" w:line="297" w:lineRule="auto"/>
        <w:rPr>
          <w:sz w:val="20"/>
          <w:szCs w:val="20"/>
          <w:color w:val="auto"/>
        </w:rPr>
      </w:pPr>
      <w:r>
        <w:rPr>
          <w:rFonts w:ascii="Times New Roman" w:cs="Times New Roman" w:eastAsia="Times New Roman" w:hAnsi="Times New Roman"/>
          <w:sz w:val="18"/>
          <w:szCs w:val="18"/>
          <w:color w:val="auto"/>
        </w:rPr>
        <w:t>Net loss (gain) from the disposal of intangibles and PP&amp;E Reversal of impairments of financial assets, net Other non-cash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-338455</wp:posOffset>
            </wp:positionV>
            <wp:extent cx="5212080"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-12700</wp:posOffset>
            </wp:positionV>
            <wp:extent cx="5212080" cy="1625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Change in equity method investments (non-cash)</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 in non-current financial assets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Listing expense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Non-cash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Working capital adjustments: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Changes in trade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Changes in inventories</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Change in trade and related party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Change in provisions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Taxes received (paid),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8404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(84,104)</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37,954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60" w:type="dxa"/>
            <w:vAlign w:val="bottom"/>
            <w:vMerge w:val="continue"/>
          </w:tcPr>
          <w:p>
            <w:pPr>
              <w:spacing w:after="0"/>
              <w:rPr>
                <w:sz w:val="8"/>
                <w:szCs w:val="8"/>
                <w:color w:val="auto"/>
              </w:rPr>
            </w:pPr>
          </w:p>
        </w:tc>
        <w:tc>
          <w:tcPr>
            <w:tcW w:w="1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8"/>
                <w:szCs w:val="8"/>
                <w:color w:val="auto"/>
              </w:rPr>
            </w:pPr>
          </w:p>
        </w:tc>
        <w:tc>
          <w:tcPr>
            <w:tcW w:w="1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8"/>
                <w:szCs w:val="8"/>
                <w:color w:val="auto"/>
              </w:rPr>
            </w:pPr>
          </w:p>
        </w:tc>
        <w:tc>
          <w:tcPr>
            <w:tcW w:w="1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(1,492)</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2,778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72,178​​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(8,537​)</w:t>
            </w:r>
          </w:p>
        </w:tc>
        <w:tc>
          <w:tcPr>
            <w:tcW w:w="0" w:type="dxa"/>
            <w:vAlign w:val="bottom"/>
          </w:tcPr>
          <w:p>
            <w:pPr>
              <w:spacing w:after="0"/>
              <w:rPr>
                <w:sz w:val="1"/>
                <w:szCs w:val="1"/>
                <w:color w:val="auto"/>
              </w:rPr>
            </w:pPr>
          </w:p>
        </w:tc>
      </w:tr>
      <w:tr>
        <w:trPr>
          <w:trHeight w:val="257"/>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(133)</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(20)</w:t>
            </w:r>
          </w:p>
        </w:tc>
        <w:tc>
          <w:tcPr>
            <w:tcW w:w="7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(22,696)</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(5,000)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(1,432)</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182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(8,478)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71,631​​</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(3,447)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3"/>
        </w:trPr>
        <w:tc>
          <w:tcPr>
            <w:tcW w:w="6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3,704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(3,580)</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(1,967)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619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8,244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(6,823​)</w:t>
            </w: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(598)</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382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6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(302)</w:t>
            </w:r>
          </w:p>
        </w:tc>
        <w:tc>
          <w:tcPr>
            <w:tcW w:w="7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 (1,161)</w:t>
            </w:r>
          </w:p>
        </w:tc>
        <w:tc>
          <w:tcPr>
            <w:tcW w:w="0" w:type="dxa"/>
            <w:vAlign w:val="bottom"/>
          </w:tcPr>
          <w:p>
            <w:pPr>
              <w:spacing w:after="0"/>
              <w:rPr>
                <w:sz w:val="1"/>
                <w:szCs w:val="1"/>
                <w:color w:val="auto"/>
              </w:rPr>
            </w:pPr>
          </w:p>
        </w:tc>
      </w:tr>
      <w:tr>
        <w:trPr>
          <w:trHeight w:val="66"/>
        </w:trPr>
        <w:tc>
          <w:tcPr>
            <w:tcW w:w="60" w:type="dxa"/>
            <w:vAlign w:val="bottom"/>
            <w:vMerge w:val="continue"/>
          </w:tcPr>
          <w:p>
            <w:pPr>
              <w:spacing w:after="0"/>
              <w:rPr>
                <w:sz w:val="5"/>
                <w:szCs w:val="5"/>
                <w:color w:val="auto"/>
              </w:rPr>
            </w:pPr>
          </w:p>
        </w:tc>
        <w:tc>
          <w:tcPr>
            <w:tcW w:w="18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12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ind w:left="40"/>
              <w:spacing w:after="0" w:line="66"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60" w:type="dxa"/>
            <w:vAlign w:val="bottom"/>
          </w:tcPr>
          <w:p>
            <w:pPr>
              <w:jc w:val="right"/>
              <w:spacing w:after="0" w:line="66"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1270</wp:posOffset>
            </wp:positionV>
            <wp:extent cx="1460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1270</wp:posOffset>
            </wp:positionV>
            <wp:extent cx="1460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520" w:space="620"/>
            <w:col w:w="27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5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 1,250</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 (2,578)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9,897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8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80" w:type="dxa"/>
            <w:vAlign w:val="bottom"/>
            <w:gridSpan w:val="2"/>
            <w:shd w:val="clear" w:color="auto" w:fill="CCEEFF"/>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800" w:type="dxa"/>
            <w:vAlign w:val="bottom"/>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6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7" w:lineRule="exact"/>
        <w:rPr>
          <w:sz w:val="20"/>
          <w:szCs w:val="20"/>
          <w:color w:val="auto"/>
        </w:rPr>
      </w:pPr>
    </w:p>
    <w:p>
      <w:pPr>
        <w:ind w:left="1260" w:right="280"/>
        <w:spacing w:after="0" w:line="313" w:lineRule="auto"/>
        <w:rPr>
          <w:sz w:val="20"/>
          <w:szCs w:val="20"/>
          <w:color w:val="auto"/>
        </w:rPr>
      </w:pPr>
      <w:r>
        <w:rPr>
          <w:rFonts w:ascii="Times New Roman" w:cs="Times New Roman" w:eastAsia="Times New Roman" w:hAnsi="Times New Roman"/>
          <w:sz w:val="18"/>
          <w:szCs w:val="18"/>
          <w:color w:val="auto"/>
        </w:rPr>
        <w:t>Purchases of intangible assets and property, plant and equipment Receipts from sale and leaseback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-193675</wp:posOffset>
            </wp:positionV>
            <wp:extent cx="5212080"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Proceeds from sale (purchases) of financial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for loan to shareholder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disposal of a subsidiary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(6,357)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(6,907)</w:t>
            </w:r>
          </w:p>
        </w:tc>
        <w:tc>
          <w:tcPr>
            <w:tcW w:w="0" w:type="dxa"/>
            <w:vAlign w:val="bottom"/>
          </w:tcPr>
          <w:p>
            <w:pPr>
              <w:spacing w:after="0"/>
              <w:rPr>
                <w:sz w:val="1"/>
                <w:szCs w:val="1"/>
                <w:color w:val="auto"/>
              </w:rPr>
            </w:pPr>
          </w:p>
        </w:tc>
      </w:tr>
      <w:tr>
        <w:trPr>
          <w:trHeight w:val="90"/>
        </w:trPr>
        <w:tc>
          <w:tcPr>
            <w:tcW w:w="240" w:type="dxa"/>
            <w:vAlign w:val="bottom"/>
            <w:vMerge w:val="continue"/>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221"/>
              <w:spacing w:after="0" w:line="189" w:lineRule="exact"/>
              <w:rPr>
                <w:sz w:val="20"/>
                <w:szCs w:val="20"/>
                <w:color w:val="auto"/>
              </w:rPr>
            </w:pPr>
            <w:r>
              <w:rPr>
                <w:rFonts w:ascii="Times New Roman" w:cs="Times New Roman" w:eastAsia="Times New Roman" w:hAnsi="Times New Roman"/>
                <w:sz w:val="18"/>
                <w:szCs w:val="18"/>
                <w:color w:val="auto"/>
              </w:rPr>
              <w:t>123</w:t>
            </w:r>
          </w:p>
        </w:tc>
        <w:tc>
          <w:tcPr>
            <w:tcW w:w="6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30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40" w:type="dxa"/>
            <w:vAlign w:val="bottom"/>
            <w:vMerge w:val="continue"/>
          </w:tcPr>
          <w:p>
            <w:pPr>
              <w:spacing w:after="0"/>
              <w:rPr>
                <w:sz w:val="7"/>
                <w:szCs w:val="7"/>
                <w:color w:val="auto"/>
              </w:rPr>
            </w:pPr>
          </w:p>
        </w:tc>
        <w:tc>
          <w:tcPr>
            <w:tcW w:w="80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 ​​</w:t>
            </w: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70,000​</w:t>
            </w: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420" w:space="720"/>
            <w:col w:w="27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8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340" w:type="dxa"/>
            <w:vAlign w:val="bottom"/>
            <w:gridSpan w:val="2"/>
            <w:shd w:val="clear" w:color="auto" w:fill="CCEEFF"/>
          </w:tcPr>
          <w:p>
            <w:pPr>
              <w:ind w:left="60"/>
              <w:spacing w:after="0" w:line="285"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w:t>
            </w:r>
          </w:p>
        </w:tc>
        <w:tc>
          <w:tcPr>
            <w:tcW w:w="780" w:type="dxa"/>
            <w:vAlign w:val="bottom"/>
            <w:gridSpan w:val="3"/>
            <w:shd w:val="clear" w:color="auto" w:fill="CCEEFF"/>
          </w:tcPr>
          <w:p>
            <w:pPr>
              <w:jc w:val="right"/>
              <w:ind w:right="60"/>
              <w:spacing w:after="0" w:line="285" w:lineRule="exact"/>
              <w:rPr>
                <w:sz w:val="20"/>
                <w:szCs w:val="20"/>
                <w:color w:val="auto"/>
              </w:rPr>
            </w:pPr>
            <w:r>
              <w:rPr>
                <w:rFonts w:ascii="Times New Roman" w:cs="Times New Roman" w:eastAsia="Times New Roman" w:hAnsi="Times New Roman"/>
                <w:sz w:val="33"/>
                <w:szCs w:val="33"/>
                <w:color w:val="auto"/>
                <w:vertAlign w:val="superscript"/>
              </w:rPr>
              <w:t>7</w:t>
            </w: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w:t>
            </w:r>
          </w:p>
        </w:tc>
        <w:tc>
          <w:tcPr>
            <w:tcW w:w="920" w:type="dxa"/>
            <w:vAlign w:val="bottom"/>
            <w:gridSpan w:val="3"/>
            <w:shd w:val="clear" w:color="auto" w:fill="CCEEFF"/>
          </w:tcPr>
          <w:p>
            <w:pPr>
              <w:jc w:val="right"/>
              <w:ind w:right="180"/>
              <w:spacing w:after="0" w:line="285" w:lineRule="exact"/>
              <w:rPr>
                <w:sz w:val="20"/>
                <w:szCs w:val="20"/>
                <w:color w:val="auto"/>
              </w:rPr>
            </w:pPr>
            <w:r>
              <w:rPr>
                <w:rFonts w:ascii="Times New Roman" w:cs="Times New Roman" w:eastAsia="Times New Roman" w:hAnsi="Times New Roman"/>
                <w:sz w:val="33"/>
                <w:szCs w:val="33"/>
                <w:color w:val="auto"/>
                <w:vertAlign w:val="superscript"/>
              </w:rPr>
              <w:t>61</w:t>
            </w:r>
            <w:r>
              <w:rPr>
                <w:rFonts w:ascii="Times New Roman" w:cs="Times New Roman" w:eastAsia="Times New Roman" w:hAnsi="Times New Roman"/>
                <w:sz w:val="17"/>
                <w:szCs w:val="17"/>
                <w:color w:val="auto"/>
              </w:rPr>
              <w:t>​​ ​​</w:t>
            </w:r>
            <w:r>
              <w:rPr>
                <w:rFonts w:ascii="Times New Roman" w:cs="Times New Roman" w:eastAsia="Times New Roman" w:hAnsi="Times New Roman"/>
                <w:sz w:val="33"/>
                <w:szCs w:val="33"/>
                <w:color w:val="auto"/>
                <w:vertAlign w:val="superscript"/>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(provided by) investing activities</w:t>
            </w:r>
          </w:p>
        </w:tc>
        <w:tc>
          <w:tcPr>
            <w:tcW w:w="220" w:type="dxa"/>
            <w:vAlign w:val="bottom"/>
          </w:tcPr>
          <w:p>
            <w:pPr>
              <w:spacing w:after="0"/>
              <w:rPr>
                <w:sz w:val="18"/>
                <w:szCs w:val="18"/>
                <w:color w:val="auto"/>
              </w:rPr>
            </w:pPr>
          </w:p>
        </w:tc>
        <w:tc>
          <w:tcPr>
            <w:tcW w:w="222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 (6,227)  ​ (4,054)  ​ 72,019</w:t>
            </w:r>
          </w:p>
        </w:tc>
      </w:tr>
      <w:tr>
        <w:trPr>
          <w:trHeight w:val="68"/>
        </w:trPr>
        <w:tc>
          <w:tcPr>
            <w:tcW w:w="5820" w:type="dxa"/>
            <w:vAlign w:val="bottom"/>
          </w:tcPr>
          <w:p>
            <w:pPr>
              <w:spacing w:after="0"/>
              <w:rPr>
                <w:sz w:val="5"/>
                <w:szCs w:val="5"/>
                <w:color w:val="auto"/>
              </w:rPr>
            </w:pPr>
          </w:p>
        </w:tc>
        <w:tc>
          <w:tcPr>
            <w:tcW w:w="34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60" w:type="dxa"/>
            <w:vAlign w:val="bottom"/>
          </w:tcPr>
          <w:p>
            <w:pPr>
              <w:spacing w:after="0"/>
              <w:rPr>
                <w:sz w:val="5"/>
                <w:szCs w:val="5"/>
                <w:color w:val="auto"/>
              </w:rPr>
            </w:pPr>
          </w:p>
        </w:tc>
        <w:tc>
          <w:tcPr>
            <w:tcW w:w="320" w:type="dxa"/>
            <w:vAlign w:val="bottom"/>
            <w:gridSpan w:val="2"/>
          </w:tcPr>
          <w:p>
            <w:pPr>
              <w:jc w:val="right"/>
              <w:ind w:righ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80" w:type="dxa"/>
            <w:vAlign w:val="bottom"/>
          </w:tcPr>
          <w:p>
            <w:pPr>
              <w:spacing w:after="0"/>
              <w:rPr>
                <w:sz w:val="5"/>
                <w:szCs w:val="5"/>
                <w:color w:val="auto"/>
              </w:rPr>
            </w:pPr>
          </w:p>
        </w:tc>
        <w:tc>
          <w:tcPr>
            <w:tcW w:w="440" w:type="dxa"/>
            <w:vAlign w:val="bottom"/>
            <w:gridSpan w:val="2"/>
          </w:tcPr>
          <w:p>
            <w:pPr>
              <w:jc w:val="right"/>
              <w:ind w:right="18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34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r>
      <w:tr>
        <w:trPr>
          <w:trHeight w:val="20"/>
        </w:trPr>
        <w:tc>
          <w:tcPr>
            <w:tcW w:w="5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 financing</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7,572​​ ​​</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3,145​​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8520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Payments for debt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Proceeds from business combination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paid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Transaction with minority shareholder</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p>
      <w:pPr>
        <w:spacing w:after="0" w:line="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right="1080"/>
        <w:spacing w:after="0" w:line="383" w:lineRule="auto"/>
        <w:rPr>
          <w:sz w:val="20"/>
          <w:szCs w:val="20"/>
          <w:color w:val="auto"/>
        </w:rPr>
      </w:pPr>
      <w:r>
        <w:rPr>
          <w:rFonts w:ascii="Times New Roman" w:cs="Times New Roman" w:eastAsia="Times New Roman" w:hAnsi="Times New Roman"/>
          <w:sz w:val="17"/>
          <w:szCs w:val="17"/>
          <w:b w:val="1"/>
          <w:bCs w:val="1"/>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(2,296)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(264)</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(81,871)</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1"/>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14,443​​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
              <w:spacing w:after="0" w:line="189" w:lineRule="exact"/>
              <w:rPr>
                <w:sz w:val="20"/>
                <w:szCs w:val="20"/>
                <w:color w:val="auto"/>
              </w:rPr>
            </w:pPr>
            <w:r>
              <w:rPr>
                <w:rFonts w:ascii="Times New Roman" w:cs="Times New Roman" w:eastAsia="Times New Roman" w:hAnsi="Times New Roman"/>
                <w:sz w:val="18"/>
                <w:szCs w:val="18"/>
                <w:color w:val="auto"/>
              </w:rPr>
              <w:t>(1,513)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5"/>
              <w:spacing w:after="0" w:line="189" w:lineRule="exact"/>
              <w:rPr>
                <w:sz w:val="20"/>
                <w:szCs w:val="20"/>
                <w:color w:val="auto"/>
              </w:rPr>
            </w:pPr>
            <w:r>
              <w:rPr>
                <w:rFonts w:ascii="Times New Roman" w:cs="Times New Roman" w:eastAsia="Times New Roman" w:hAnsi="Times New Roman"/>
                <w:sz w:val="18"/>
                <w:szCs w:val="18"/>
                <w:color w:val="auto"/>
              </w:rPr>
              <w:t>(1,543)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8"/>
                <w:szCs w:val="18"/>
                <w:color w:val="auto"/>
              </w:rPr>
              <w:t>(899)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5"/>
              <w:spacing w:after="0" w:line="181" w:lineRule="exact"/>
              <w:rPr>
                <w:sz w:val="20"/>
                <w:szCs w:val="20"/>
                <w:color w:val="auto"/>
              </w:rPr>
            </w:pPr>
            <w:r>
              <w:rPr>
                <w:rFonts w:ascii="Times New Roman" w:cs="Times New Roman" w:eastAsia="Times New Roman" w:hAnsi="Times New Roman"/>
                <w:sz w:val="18"/>
                <w:szCs w:val="18"/>
                <w:color w:val="auto"/>
              </w:rPr>
              <w:t>(853)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(2,044)</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5"/>
              <w:spacing w:after="0" w:line="181" w:lineRule="exact"/>
              <w:rPr>
                <w:sz w:val="20"/>
                <w:szCs w:val="20"/>
                <w:color w:val="auto"/>
              </w:rPr>
            </w:pPr>
            <w:r>
              <w:rPr>
                <w:rFonts w:ascii="Times New Roman" w:cs="Times New Roman" w:eastAsia="Times New Roman" w:hAnsi="Times New Roman"/>
                <w:sz w:val="18"/>
                <w:szCs w:val="18"/>
                <w:color w:val="auto"/>
              </w:rPr>
              <w:t>(30)</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917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ind w:right="5"/>
              <w:spacing w:after="0" w:line="181" w:lineRule="exact"/>
              <w:rPr>
                <w:sz w:val="20"/>
                <w:szCs w:val="20"/>
                <w:color w:val="auto"/>
              </w:rPr>
            </w:pPr>
            <w:r>
              <w:rPr>
                <w:rFonts w:ascii="Times New Roman" w:cs="Times New Roman" w:eastAsia="Times New Roman" w:hAnsi="Times New Roman"/>
                <w:sz w:val="18"/>
                <w:szCs w:val="18"/>
                <w:color w:val="auto"/>
              </w:rPr>
              <w:t>(10,939)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80" w:type="dxa"/>
            <w:vAlign w:val="bottom"/>
            <w:gridSpan w:val="2"/>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500" w:type="dxa"/>
            <w:vAlign w:val="bottom"/>
          </w:tcPr>
          <w:p>
            <w:pPr>
              <w:spacing w:after="0"/>
              <w:rPr>
                <w:sz w:val="7"/>
                <w:szCs w:val="7"/>
                <w:color w:val="auto"/>
              </w:rPr>
            </w:pPr>
          </w:p>
        </w:tc>
        <w:tc>
          <w:tcPr>
            <w:tcW w:w="12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29"/>
                <w:szCs w:val="29"/>
                <w:b w:val="1"/>
                <w:bCs w:val="1"/>
                <w:color w:val="auto"/>
                <w:vertAlign w:val="superscript"/>
              </w:rPr>
              <w:t>​</w:t>
            </w:r>
          </w:p>
        </w:tc>
        <w:tc>
          <w:tcPr>
            <w:tcW w:w="620" w:type="dxa"/>
            <w:vAlign w:val="bottom"/>
            <w:gridSpan w:val="2"/>
          </w:tcPr>
          <w:p>
            <w:pPr>
              <w:jc w:val="right"/>
              <w:spacing w:after="0" w:line="252" w:lineRule="exact"/>
              <w:rPr>
                <w:sz w:val="20"/>
                <w:szCs w:val="20"/>
                <w:color w:val="auto"/>
              </w:rPr>
            </w:pPr>
            <w:r>
              <w:rPr>
                <w:rFonts w:ascii="Times New Roman" w:cs="Times New Roman" w:eastAsia="Times New Roman" w:hAnsi="Times New Roman"/>
                <w:sz w:val="16"/>
                <w:szCs w:val="16"/>
                <w:b w:val="1"/>
                <w:bCs w:val="1"/>
                <w:color w:val="auto"/>
              </w:rPr>
              <w:t>2,923</w:t>
            </w:r>
            <w:r>
              <w:rPr>
                <w:rFonts w:ascii="Times New Roman" w:cs="Times New Roman" w:eastAsia="Times New Roman" w:hAnsi="Times New Roman"/>
                <w:sz w:val="29"/>
                <w:szCs w:val="29"/>
                <w:b w:val="1"/>
                <w:bCs w:val="1"/>
                <w:color w:val="auto"/>
                <w:vertAlign w:val="subscript"/>
              </w:rPr>
              <w:t>​​</w:t>
            </w:r>
          </w:p>
        </w:tc>
        <w:tc>
          <w:tcPr>
            <w:tcW w:w="800" w:type="dxa"/>
            <w:vAlign w:val="bottom"/>
            <w:gridSpan w:val="4"/>
          </w:tcPr>
          <w:p>
            <w:pPr>
              <w:jc w:val="right"/>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3,959</w:t>
            </w:r>
            <w:r>
              <w:rPr>
                <w:rFonts w:ascii="Times New Roman" w:cs="Times New Roman" w:eastAsia="Times New Roman" w:hAnsi="Times New Roman"/>
                <w:sz w:val="29"/>
                <w:szCs w:val="29"/>
                <w:b w:val="1"/>
                <w:bCs w:val="1"/>
                <w:color w:val="auto"/>
                <w:vertAlign w:val="subscript"/>
              </w:rPr>
              <w:t>​​</w:t>
            </w:r>
          </w:p>
        </w:tc>
        <w:tc>
          <w:tcPr>
            <w:tcW w:w="720" w:type="dxa"/>
            <w:vAlign w:val="bottom"/>
            <w:gridSpan w:val="4"/>
          </w:tcPr>
          <w:p>
            <w:pPr>
              <w:jc w:val="right"/>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​(83,714</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(2,055)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(2,673)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(1,798)</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
              <w:spacing w:after="0" w:line="181" w:lineRule="exact"/>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755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62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3,791</w:t>
            </w:r>
            <w:r>
              <w:rPr>
                <w:rFonts w:ascii="Times New Roman" w:cs="Times New Roman" w:eastAsia="Times New Roman" w:hAnsi="Times New Roman"/>
                <w:sz w:val="32"/>
                <w:szCs w:val="32"/>
                <w:b w:val="1"/>
                <w:bCs w:val="1"/>
                <w:color w:val="auto"/>
                <w:vertAlign w:val="subscript"/>
              </w:rPr>
              <w:t>​​</w:t>
            </w:r>
          </w:p>
        </w:tc>
        <w:tc>
          <w:tcPr>
            <w:tcW w:w="1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62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5,710</w:t>
            </w:r>
            <w:r>
              <w:rPr>
                <w:rFonts w:ascii="Times New Roman" w:cs="Times New Roman" w:eastAsia="Times New Roman" w:hAnsi="Times New Roman"/>
                <w:sz w:val="32"/>
                <w:szCs w:val="32"/>
                <w:b w:val="1"/>
                <w:bCs w:val="1"/>
                <w:color w:val="auto"/>
                <w:vertAlign w:val="subscript"/>
              </w:rPr>
              <w:t>​​</w:t>
            </w:r>
          </w:p>
        </w:tc>
        <w:tc>
          <w:tcPr>
            <w:tcW w:w="1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54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8,332</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62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1,574</w:t>
            </w:r>
            <w:r>
              <w:rPr>
                <w:rFonts w:ascii="Times New Roman" w:cs="Times New Roman" w:eastAsia="Times New Roman" w:hAnsi="Times New Roman"/>
                <w:sz w:val="32"/>
                <w:szCs w:val="32"/>
                <w:b w:val="1"/>
                <w:bCs w:val="1"/>
                <w:color w:val="auto"/>
                <w:vertAlign w:val="subscript"/>
              </w:rPr>
              <w:t>​​</w:t>
            </w:r>
          </w:p>
        </w:tc>
        <w:tc>
          <w:tcPr>
            <w:tcW w:w="1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62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3,791</w:t>
            </w:r>
            <w:r>
              <w:rPr>
                <w:rFonts w:ascii="Times New Roman" w:cs="Times New Roman" w:eastAsia="Times New Roman" w:hAnsi="Times New Roman"/>
                <w:sz w:val="32"/>
                <w:szCs w:val="32"/>
                <w:b w:val="1"/>
                <w:bCs w:val="1"/>
                <w:color w:val="auto"/>
                <w:vertAlign w:val="subscript"/>
              </w:rPr>
              <w:t>​​</w:t>
            </w:r>
          </w:p>
        </w:tc>
        <w:tc>
          <w:tcPr>
            <w:tcW w:w="18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32"/>
                <w:szCs w:val="32"/>
                <w:b w:val="1"/>
                <w:bCs w:val="1"/>
                <w:color w:val="auto"/>
                <w:vertAlign w:val="superscript"/>
              </w:rPr>
              <w:t>​</w:t>
            </w:r>
          </w:p>
        </w:tc>
        <w:tc>
          <w:tcPr>
            <w:tcW w:w="54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17"/>
                <w:szCs w:val="17"/>
                <w:b w:val="1"/>
                <w:bCs w:val="1"/>
                <w:color w:val="auto"/>
              </w:rPr>
              <w:t>5,710</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ectPr>
          <w:pgSz w:w="11900" w:h="16838" w:orient="portrait"/>
          <w:cols w:equalWidth="0" w:num="2">
            <w:col w:w="6480" w:space="600"/>
            <w:col w:w="2799"/>
          </w:cols>
          <w:pgMar w:left="580" w:top="97" w:right="1440"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162" w:lineRule="exact"/>
        <w:rPr>
          <w:sz w:val="20"/>
          <w:szCs w:val="20"/>
          <w:color w:val="auto"/>
        </w:rPr>
      </w:pPr>
    </w:p>
    <w:p>
      <w:pPr>
        <w:ind w:left="1260" w:right="1320" w:firstLine="360"/>
        <w:spacing w:after="0" w:line="254" w:lineRule="auto"/>
        <w:rPr>
          <w:sz w:val="20"/>
          <w:szCs w:val="20"/>
          <w:color w:val="auto"/>
        </w:rPr>
      </w:pPr>
      <w:r>
        <w:rPr>
          <w:rFonts w:ascii="Times New Roman" w:cs="Times New Roman" w:eastAsia="Times New Roman" w:hAnsi="Times New Roman"/>
          <w:sz w:val="18"/>
          <w:szCs w:val="18"/>
          <w:color w:val="auto"/>
        </w:rPr>
        <w:t>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w:t>
      </w:r>
    </w:p>
    <w:p>
      <w:pPr>
        <w:spacing w:after="0" w:line="121" w:lineRule="exact"/>
        <w:rPr>
          <w:sz w:val="20"/>
          <w:szCs w:val="20"/>
          <w:color w:val="auto"/>
        </w:rPr>
      </w:pPr>
    </w:p>
    <w:p>
      <w:pPr>
        <w:ind w:left="1260" w:right="1280" w:firstLine="360"/>
        <w:spacing w:after="0" w:line="256" w:lineRule="auto"/>
        <w:rPr>
          <w:sz w:val="20"/>
          <w:szCs w:val="20"/>
          <w:color w:val="auto"/>
        </w:rPr>
      </w:pPr>
      <w:r>
        <w:rPr>
          <w:rFonts w:ascii="Times New Roman" w:cs="Times New Roman" w:eastAsia="Times New Roman" w:hAnsi="Times New Roman"/>
          <w:sz w:val="18"/>
          <w:szCs w:val="18"/>
          <w:color w:val="auto"/>
        </w:rPr>
        <w:t>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w:t>
      </w:r>
    </w:p>
    <w:p>
      <w:pPr>
        <w:spacing w:after="0" w:line="322" w:lineRule="exact"/>
        <w:rPr>
          <w:sz w:val="20"/>
          <w:szCs w:val="20"/>
          <w:color w:val="auto"/>
        </w:rPr>
      </w:pPr>
    </w:p>
    <w:p>
      <w:pPr>
        <w:ind w:left="1260" w:right="1300" w:firstLine="360"/>
        <w:spacing w:after="0" w:line="282" w:lineRule="auto"/>
        <w:rPr>
          <w:sz w:val="20"/>
          <w:szCs w:val="20"/>
          <w:color w:val="auto"/>
        </w:rPr>
      </w:pPr>
      <w:r>
        <w:rPr>
          <w:rFonts w:ascii="Times New Roman" w:cs="Times New Roman" w:eastAsia="Times New Roman" w:hAnsi="Times New Roman"/>
          <w:sz w:val="18"/>
          <w:szCs w:val="18"/>
          <w:color w:val="auto"/>
        </w:rPr>
        <w:t>Research and development is a crucial factor for SCHMID’s business success. The majority of research work and the development of SCHMID technologies are conducted in Freudenstadt.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62" w:lineRule="exact"/>
        <w:rPr>
          <w:sz w:val="20"/>
          <w:szCs w:val="20"/>
          <w:color w:val="auto"/>
        </w:rPr>
      </w:pPr>
    </w:p>
    <w:p>
      <w:pPr>
        <w:ind w:left="1260" w:right="1260" w:firstLine="360"/>
        <w:spacing w:after="0" w:line="282" w:lineRule="auto"/>
        <w:rPr>
          <w:sz w:val="20"/>
          <w:szCs w:val="20"/>
          <w:color w:val="auto"/>
        </w:rPr>
      </w:pPr>
      <w:r>
        <w:rPr>
          <w:rFonts w:ascii="Times New Roman" w:cs="Times New Roman" w:eastAsia="Times New Roman" w:hAnsi="Times New Roman"/>
          <w:sz w:val="18"/>
          <w:szCs w:val="18"/>
          <w:color w:val="auto"/>
        </w:rPr>
        <w:t>The financial statements as of and for the years ended December 31, 2025 and 2024 have been prepared on a consolidated basis.</w:t>
      </w:r>
    </w:p>
    <w:p>
      <w:pPr>
        <w:spacing w:after="0" w:line="94" w:lineRule="exact"/>
        <w:rPr>
          <w:sz w:val="20"/>
          <w:szCs w:val="20"/>
          <w:color w:val="auto"/>
        </w:rPr>
      </w:pPr>
    </w:p>
    <w:p>
      <w:pPr>
        <w:ind w:left="1260" w:right="1600" w:firstLine="360"/>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in conformity with International Financial Reporting Standards (“IFRS Accounting Standards”), as issued by the International Accounting Standards Board (“IASB”).</w:t>
      </w:r>
    </w:p>
    <w:p>
      <w:pPr>
        <w:spacing w:after="0" w:line="95" w:lineRule="exact"/>
        <w:rPr>
          <w:sz w:val="20"/>
          <w:szCs w:val="20"/>
          <w:color w:val="auto"/>
        </w:rPr>
      </w:pPr>
    </w:p>
    <w:p>
      <w:pPr>
        <w:ind w:left="1260" w:right="1640" w:firstLine="360"/>
        <w:spacing w:after="0" w:line="282" w:lineRule="auto"/>
        <w:rPr>
          <w:sz w:val="20"/>
          <w:szCs w:val="20"/>
          <w:color w:val="auto"/>
        </w:rPr>
      </w:pPr>
      <w:r>
        <w:rPr>
          <w:rFonts w:ascii="Times New Roman" w:cs="Times New Roman" w:eastAsia="Times New Roman" w:hAnsi="Times New Roman"/>
          <w:sz w:val="18"/>
          <w:szCs w:val="18"/>
          <w:color w:val="auto"/>
        </w:rPr>
        <w:t>The legal entities which comprise the consolidated financial statements and its investments in joint ventures accounted for using the equity method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14"/>
        </w:trPr>
        <w:tc>
          <w:tcPr>
            <w:tcW w:w="12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Pr>
          <w:p>
            <w:pPr>
              <w:spacing w:after="0"/>
              <w:rPr>
                <w:sz w:val="18"/>
                <w:szCs w:val="18"/>
                <w:color w:val="auto"/>
              </w:rPr>
            </w:pPr>
          </w:p>
        </w:tc>
        <w:tc>
          <w:tcPr>
            <w:tcW w:w="14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incorporation</w:t>
            </w:r>
          </w:p>
        </w:tc>
        <w:tc>
          <w:tcPr>
            <w:tcW w:w="304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12/31/2025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12/31/2024 </w:t>
            </w:r>
            <w:r>
              <w:rPr>
                <w:rFonts w:ascii="Times New Roman" w:cs="Times New Roman" w:eastAsia="Times New Roman" w:hAnsi="Times New Roman"/>
                <w:sz w:val="24"/>
                <w:szCs w:val="24"/>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SCHMID Group N.V.</w:t>
            </w:r>
          </w:p>
        </w:tc>
        <w:tc>
          <w:tcPr>
            <w:tcW w:w="1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​Netherlands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Gebr. SCHMID GmbH</w:t>
            </w:r>
          </w:p>
        </w:tc>
        <w:tc>
          <w:tcPr>
            <w:tcW w:w="12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​Germany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tc>
      </w:tr>
      <w:tr>
        <w:trPr>
          <w:trHeight w:val="257"/>
        </w:trPr>
        <w:tc>
          <w:tcPr>
            <w:tcW w:w="1260" w:type="dxa"/>
            <w:vAlign w:val="bottom"/>
          </w:tcPr>
          <w:p>
            <w:pPr>
              <w:spacing w:after="0"/>
              <w:rPr>
                <w:sz w:val="22"/>
                <w:szCs w:val="22"/>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SCHMID Systems, Inc.</w:t>
            </w:r>
          </w:p>
        </w:tc>
        <w:tc>
          <w:tcPr>
            <w:tcW w:w="1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​USA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Singapore Pte. Ltd.</w:t>
            </w:r>
          </w:p>
        </w:tc>
        <w:tc>
          <w:tcPr>
            <w:tcW w:w="12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​Singapore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90%</w:t>
            </w:r>
            <w:r>
              <w:rPr>
                <w:rFonts w:ascii="Times New Roman" w:cs="Times New Roman" w:eastAsia="Times New Roman" w:hAnsi="Times New Roman"/>
                <w:sz w:val="18"/>
                <w:szCs w:val="18"/>
                <w:b w:val="1"/>
                <w:bCs w:val="1"/>
                <w:color w:val="auto"/>
              </w:rPr>
              <w:t xml:space="preserve"> ​</w:t>
            </w:r>
          </w:p>
        </w:tc>
      </w:tr>
      <w:tr>
        <w:trPr>
          <w:trHeight w:val="256"/>
        </w:trPr>
        <w:tc>
          <w:tcPr>
            <w:tcW w:w="1260" w:type="dxa"/>
            <w:vAlign w:val="bottom"/>
          </w:tcPr>
          <w:p>
            <w:pPr>
              <w:spacing w:after="0"/>
              <w:rPr>
                <w:sz w:val="22"/>
                <w:szCs w:val="22"/>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SCHMID Korea Co., Ltd</w:t>
            </w:r>
          </w:p>
        </w:tc>
        <w:tc>
          <w:tcPr>
            <w:tcW w:w="1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​South Korea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Asia Ltd.</w:t>
            </w:r>
          </w:p>
        </w:tc>
        <w:tc>
          <w:tcPr>
            <w:tcW w:w="12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​Hong Kong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tc>
      </w:tr>
      <w:tr>
        <w:trPr>
          <w:trHeight w:val="297"/>
        </w:trPr>
        <w:tc>
          <w:tcPr>
            <w:tcW w:w="1260" w:type="dxa"/>
            <w:vAlign w:val="bottom"/>
          </w:tcPr>
          <w:p>
            <w:pPr>
              <w:spacing w:after="0"/>
              <w:rPr>
                <w:sz w:val="24"/>
                <w:szCs w:val="24"/>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SCHMID Technology Guangdong Co., Ltd.</w:t>
            </w:r>
            <w:r>
              <w:rPr>
                <w:rFonts w:ascii="Times New Roman" w:cs="Times New Roman" w:eastAsia="Times New Roman" w:hAnsi="Times New Roman"/>
                <w:sz w:val="16"/>
                <w:szCs w:val="16"/>
                <w:color w:val="auto"/>
                <w:vertAlign w:val="superscript"/>
              </w:rPr>
              <w:t>(1)</w:t>
            </w:r>
          </w:p>
        </w:tc>
        <w:tc>
          <w:tcPr>
            <w:tcW w:w="12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​China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84%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84%</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China Ltd.</w:t>
            </w:r>
          </w:p>
        </w:tc>
        <w:tc>
          <w:tcPr>
            <w:tcW w:w="12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​Hong Kong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tc>
      </w:tr>
      <w:tr>
        <w:trPr>
          <w:trHeight w:val="283"/>
        </w:trPr>
        <w:tc>
          <w:tcPr>
            <w:tcW w:w="1260" w:type="dxa"/>
            <w:vAlign w:val="bottom"/>
          </w:tcPr>
          <w:p>
            <w:pPr>
              <w:spacing w:after="0"/>
              <w:rPr>
                <w:sz w:val="24"/>
                <w:szCs w:val="24"/>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SCHMID Shenzhen Ltd.</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​China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(Kunshan) Co., Ltd.</w:t>
            </w:r>
          </w:p>
        </w:tc>
        <w:tc>
          <w:tcPr>
            <w:tcW w:w="12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​China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tc>
      </w:tr>
      <w:tr>
        <w:trPr>
          <w:trHeight w:val="256"/>
        </w:trPr>
        <w:tc>
          <w:tcPr>
            <w:tcW w:w="1260" w:type="dxa"/>
            <w:vAlign w:val="bottom"/>
          </w:tcPr>
          <w:p>
            <w:pPr>
              <w:spacing w:after="0"/>
              <w:rPr>
                <w:sz w:val="22"/>
                <w:szCs w:val="22"/>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SCHMID Taiwan Ltd.</w:t>
            </w:r>
          </w:p>
        </w:tc>
        <w:tc>
          <w:tcPr>
            <w:tcW w:w="1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​Taiwan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86%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86%</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Automation (Zhuhai) Co., Ltd.</w:t>
            </w:r>
          </w:p>
        </w:tc>
        <w:tc>
          <w:tcPr>
            <w:tcW w:w="1220" w:type="dxa"/>
            <w:vAlign w:val="bottom"/>
          </w:tcPr>
          <w:p>
            <w:pPr>
              <w:spacing w:after="0"/>
              <w:rPr>
                <w:sz w:val="23"/>
                <w:szCs w:val="23"/>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​China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tc>
      </w:tr>
      <w:tr>
        <w:trPr>
          <w:trHeight w:val="270"/>
        </w:trPr>
        <w:tc>
          <w:tcPr>
            <w:tcW w:w="1260" w:type="dxa"/>
            <w:vAlign w:val="bottom"/>
          </w:tcPr>
          <w:p>
            <w:pPr>
              <w:spacing w:after="0"/>
              <w:rPr>
                <w:sz w:val="23"/>
                <w:szCs w:val="23"/>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SCHMID Solar (Shenzhen) Ltd. 2)</w:t>
            </w:r>
          </w:p>
        </w:tc>
        <w:tc>
          <w:tcPr>
            <w:tcW w:w="12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​China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60" w:type="dxa"/>
            <w:vAlign w:val="bottom"/>
          </w:tcPr>
          <w:p>
            <w:pPr>
              <w:spacing w:after="0"/>
              <w:rPr>
                <w:sz w:val="23"/>
                <w:szCs w:val="23"/>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Trading (Zhongshan) Co. Ltd.</w:t>
            </w:r>
          </w:p>
        </w:tc>
        <w:tc>
          <w:tcPr>
            <w:tcW w:w="1220" w:type="dxa"/>
            <w:vAlign w:val="bottom"/>
          </w:tcPr>
          <w:p>
            <w:pPr>
              <w:spacing w:after="0"/>
              <w:rPr>
                <w:sz w:val="23"/>
                <w:szCs w:val="23"/>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​China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tc>
      </w:tr>
      <w:tr>
        <w:trPr>
          <w:trHeight w:val="270"/>
        </w:trPr>
        <w:tc>
          <w:tcPr>
            <w:tcW w:w="1260" w:type="dxa"/>
            <w:vAlign w:val="bottom"/>
          </w:tcPr>
          <w:p>
            <w:pPr>
              <w:spacing w:after="0"/>
              <w:rPr>
                <w:sz w:val="23"/>
                <w:szCs w:val="23"/>
                <w:color w:val="auto"/>
              </w:rPr>
            </w:pPr>
          </w:p>
        </w:tc>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Pegasus Digital Mobility Acquisition Corp.</w:t>
            </w:r>
          </w:p>
        </w:tc>
        <w:tc>
          <w:tcPr>
            <w:tcW w:w="122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​Cayman Islands ​ ​</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p>
        </w:tc>
        <w:tc>
          <w:tcPr>
            <w:tcW w:w="126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1260" w:type="dxa"/>
            <w:vAlign w:val="bottom"/>
          </w:tcPr>
          <w:p>
            <w:pPr>
              <w:spacing w:after="0"/>
              <w:rPr>
                <w:sz w:val="24"/>
                <w:szCs w:val="24"/>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Asia Pacific Sdn. Bhd</w:t>
            </w:r>
          </w:p>
        </w:tc>
        <w:tc>
          <w:tcPr>
            <w:tcW w:w="122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​Malaysia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 ​​ ​</w:t>
            </w:r>
          </w:p>
        </w:tc>
        <w:tc>
          <w:tcPr>
            <w:tcW w:w="19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w:t>
            </w:r>
          </w:p>
        </w:tc>
      </w:tr>
      <w:tr>
        <w:trPr>
          <w:trHeight w:val="580"/>
        </w:trPr>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F-7</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-3350895</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-3350895</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-3350895</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incorporation</w:t>
            </w:r>
          </w:p>
        </w:tc>
        <w:tc>
          <w:tcPr>
            <w:tcW w:w="180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12/31/2025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12/31/2024 </w:t>
            </w:r>
            <w:r>
              <w:rPr>
                <w:rFonts w:ascii="Times New Roman" w:cs="Times New Roman" w:eastAsia="Times New Roman" w:hAnsi="Times New Roman"/>
                <w:sz w:val="24"/>
                <w:szCs w:val="24"/>
                <w:b w:val="1"/>
                <w:bCs w:val="1"/>
                <w:color w:val="auto"/>
                <w:vertAlign w:val="subscript"/>
              </w:rPr>
              <w:t>​</w:t>
            </w:r>
          </w:p>
        </w:tc>
      </w:tr>
      <w:tr>
        <w:trPr>
          <w:trHeight w:val="20"/>
        </w:trPr>
        <w:tc>
          <w:tcPr>
            <w:tcW w:w="5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method investees</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  ​ ​ ​</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25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Avaco Korea, Co. Ltd.</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​South Korea</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​​50% ​ ​ ​</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​​50% ​​</w:t>
            </w:r>
          </w:p>
        </w:tc>
      </w:tr>
      <w:tr>
        <w:trPr>
          <w:trHeight w:val="257"/>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SCHMID Energy Systems GmbH (SES)</w:t>
            </w: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​Germany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​​48% ​ ​ ​</w:t>
            </w: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5212080" cy="1631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3" w:lineRule="exact"/>
        <w:rPr>
          <w:sz w:val="20"/>
          <w:szCs w:val="20"/>
          <w:color w:val="auto"/>
        </w:rPr>
      </w:pPr>
    </w:p>
    <w:p>
      <w:pPr>
        <w:ind w:left="1620" w:hanging="360"/>
        <w:spacing w:after="0"/>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transfer of the remaining minority shares not yet executed as of December 31, 2025.</w:t>
      </w:r>
    </w:p>
    <w:p>
      <w:pPr>
        <w:spacing w:after="0" w:line="6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SCHMID Shenzhen Ltd. was liquidated in September 2025 and SCHMID Solar (Shenzhen) Ltd. in January 2026</w:t>
      </w:r>
    </w:p>
    <w:p>
      <w:pPr>
        <w:spacing w:after="0" w:line="6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w:t>
      </w:r>
    </w:p>
    <w:p>
      <w:pPr>
        <w:spacing w:after="0" w:line="10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w:t>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SCHMID were authorized for issuance by the Board on May 12, 2026.</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Intra-reporting entity transactions and balances</w:t>
      </w:r>
    </w:p>
    <w:p>
      <w:pPr>
        <w:spacing w:after="0" w:line="14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15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w:t>
      </w:r>
    </w:p>
    <w:p>
      <w:pPr>
        <w:spacing w:after="0" w:line="3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preparation</w:t>
      </w:r>
    </w:p>
    <w:p>
      <w:pPr>
        <w:spacing w:after="0" w:line="16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and conditions</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Therefore, as of December 31, 2025, the Group had a significant working capital deficiency, reflecting the impact of continued operating losses and constrained access to financing during the year.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Measures implemented after the reporting date</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Group implemented several measures to strengthen liquidity and reduce near-term obligations, including:</w:t>
      </w:r>
    </w:p>
    <w:p>
      <w:pPr>
        <w:spacing w:after="0" w:line="95" w:lineRule="exact"/>
        <w:rPr>
          <w:sz w:val="20"/>
          <w:szCs w:val="20"/>
          <w:color w:val="auto"/>
        </w:rPr>
      </w:pPr>
    </w:p>
    <w:p>
      <w:pPr>
        <w:jc w:val="both"/>
        <w:ind w:left="1980" w:right="539" w:hanging="360"/>
        <w:spacing w:after="0" w:line="266" w:lineRule="auto"/>
        <w:tabs>
          <w:tab w:leader="none" w:pos="1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debt-for-equity set-off with XJ Harbour, effective in 2025 based on irrevocable contracts signed in November 2025, with the issuance of 12,540,539 shares being completed on January 16, 2026, eliminating the related payment obligation;</w:t>
      </w:r>
    </w:p>
    <w:p>
      <w:pPr>
        <w:spacing w:after="0" w:line="94" w:lineRule="exact"/>
        <w:rPr>
          <w:rFonts w:ascii="Times New Roman" w:cs="Times New Roman" w:eastAsia="Times New Roman" w:hAnsi="Times New Roman"/>
          <w:sz w:val="18"/>
          <w:szCs w:val="18"/>
          <w:color w:val="auto"/>
        </w:rPr>
      </w:pPr>
    </w:p>
    <w:p>
      <w:pPr>
        <w:ind w:left="1980" w:right="519" w:hanging="360"/>
        <w:spacing w:after="0" w:line="263" w:lineRule="auto"/>
        <w:tabs>
          <w:tab w:leader="none" w:pos="1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an Investment Agreement in January 2026 for the issuance of USD 30.0 million senior convertible notes and warrants structured in two tranches of USD 15.0 million. The first tranche was received on January 21, 2026 and the second tranche was received on March 5, 2026; and</w:t>
      </w:r>
    </w:p>
    <w:p>
      <w:pPr>
        <w:spacing w:after="0" w:line="318" w:lineRule="exact"/>
        <w:rPr>
          <w:rFonts w:ascii="Times New Roman" w:cs="Times New Roman" w:eastAsia="Times New Roman" w:hAnsi="Times New Roman"/>
          <w:sz w:val="18"/>
          <w:szCs w:val="18"/>
          <w:color w:val="auto"/>
        </w:rPr>
      </w:pPr>
    </w:p>
    <w:p>
      <w:pPr>
        <w:ind w:left="1980" w:right="679" w:hanging="360"/>
        <w:spacing w:after="0" w:line="261" w:lineRule="auto"/>
        <w:tabs>
          <w:tab w:leader="none" w:pos="1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a Standby Equity Purchase Agreement (“SEPA”) with an institutional investor on May 12, 2026, which provides the Company with the ability, at its discretion, to raise up to USD 30.0 million of additional equity capital over a 24-month period. See Note 38, Subsequent Events, for more detailed description of this facility.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Management’s plans and assumptions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Management has prepared detailed cash flow forecasts covering at least twelve months from the date of authorization of these consolidated financial statements. These forecasts reflect:</w:t>
      </w:r>
    </w:p>
    <w:p>
      <w:pPr>
        <w:spacing w:after="0" w:line="54" w:lineRule="exact"/>
        <w:rPr>
          <w:sz w:val="20"/>
          <w:szCs w:val="20"/>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conversion of the €51 million order backlog as of December 31, 2025 into revenues,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order intake during the forecast period,</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planned cost reduction measures, including a €4 million annual cost-savings program in Germany;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external financing, including the SEPA facility if needed.</w:t>
      </w:r>
    </w:p>
    <w:p>
      <w:pPr>
        <w:spacing w:after="0" w:line="14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 w:cs="Times New Roman" w:eastAsia="Times New Roman" w:hAnsi="Times New Roman"/>
          <w:sz w:val="18"/>
          <w:szCs w:val="18"/>
          <w:i w:val="1"/>
          <w:iCs w:val="1"/>
          <w:color w:val="auto"/>
        </w:rPr>
        <w:t>Kurzarbeit</w:t>
      </w:r>
      <w:r>
        <w:rPr>
          <w:rFonts w:ascii="Times New Roman" w:cs="Times New Roman" w:eastAsia="Times New Roman" w:hAnsi="Times New Roman"/>
          <w:sz w:val="18"/>
          <w:szCs w:val="18"/>
          <w:color w:val="auto"/>
        </w:rPr>
        <w:t>”) in Germany.</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Based on the assessment described above, including the measures implemented subsequent to the reporting date, the cash flow forecasts, the availability of additional equity financing through the SEPA facility, and the availability of short- term employment reduction programs, management has concluded that the Group has adequate resources to continue in operational existence for the foreseeable future.</w:t>
      </w:r>
    </w:p>
    <w:p>
      <w:pPr>
        <w:spacing w:after="0" w:line="11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 DE-SPAC</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Merger Sub, with Merger Sub as the surviving company, SCHMID GmbH N.V. would be the ultimate parent company of SCHMID GmbH (altogether: “Business Combination”).</w:t>
      </w:r>
    </w:p>
    <w:p>
      <w:pPr>
        <w:spacing w:after="0" w:line="94"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SCHMID Group N.V. was incorporated for the purpose of holding Merger Sub and SCHMID GmbH following the consummation of the Business Combination which occurred on April 30, 2024. Ordinary shares and warrants issued by SCHMID Group N.V. are listed on the Nasdaq.</w:t>
      </w:r>
    </w:p>
    <w:p>
      <w:pPr>
        <w:spacing w:after="0" w:line="10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merger of Pegasus constituted a transaction by SCHMID Group N.V., which is accounted for within the scope of IFRS 2 as a “reverse recapitalization”.</w:t>
      </w:r>
    </w:p>
    <w:p>
      <w:pPr>
        <w:spacing w:after="0" w:line="8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w:t>
      </w:r>
    </w:p>
    <w:p>
      <w:pPr>
        <w:spacing w:after="0" w:line="337"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w:t>
      </w:r>
    </w:p>
    <w:p>
      <w:pPr>
        <w:spacing w:after="0" w:line="10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w:t>
      </w:r>
    </w:p>
    <w:p>
      <w:pPr>
        <w:spacing w:after="0" w:line="179" w:lineRule="exact"/>
        <w:rPr>
          <w:sz w:val="20"/>
          <w:szCs w:val="20"/>
          <w:color w:val="auto"/>
        </w:rPr>
      </w:pPr>
    </w:p>
    <w:p>
      <w:pPr>
        <w:ind w:left="1260" w:right="5279"/>
        <w:spacing w:after="0" w:line="503" w:lineRule="auto"/>
        <w:tabs>
          <w:tab w:leader="none" w:pos="1512"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MATERIAL ACCOUNTING POLICIES </w:t>
      </w:r>
      <w:r>
        <w:rPr>
          <w:rFonts w:ascii="Times New Roman" w:cs="Times New Roman" w:eastAsia="Times New Roman" w:hAnsi="Times New Roman"/>
          <w:sz w:val="18"/>
          <w:szCs w:val="18"/>
          <w:b w:val="1"/>
          <w:bCs w:val="1"/>
          <w:u w:val="single" w:color="auto"/>
          <w:color w:val="auto"/>
        </w:rPr>
        <w:t>Intangible assets</w:t>
      </w:r>
    </w:p>
    <w:p>
      <w:pPr>
        <w:ind w:left="126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Research and development (R&amp;D) costs</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w:t>
      </w: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338" w:lineRule="exact"/>
        <w:rPr>
          <w:sz w:val="20"/>
          <w:szCs w:val="20"/>
          <w:color w:val="auto"/>
        </w:rPr>
      </w:pPr>
    </w:p>
    <w:p>
      <w:pPr>
        <w:jc w:val="both"/>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The Company capitalizes costs for the development of a technology until the time that development of such technology is completed. The capitalized development costs are amortized on a straight-line basis over the economic useful life of 4 – 10 years based on the expected useful life of such technology. Amortization of capitalized development costs commences upon completion of the development project (technology).</w:t>
      </w:r>
    </w:p>
    <w:p>
      <w:pPr>
        <w:spacing w:after="0" w:line="105"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Patents and licenses</w:t>
      </w:r>
    </w:p>
    <w:p>
      <w:pPr>
        <w:spacing w:after="0" w:line="144" w:lineRule="exact"/>
        <w:rPr>
          <w:sz w:val="20"/>
          <w:szCs w:val="20"/>
          <w:color w:val="auto"/>
        </w:rPr>
      </w:pPr>
    </w:p>
    <w:p>
      <w:pPr>
        <w:ind w:left="1260" w:right="919" w:firstLine="360"/>
        <w:spacing w:after="0" w:line="281" w:lineRule="auto"/>
        <w:rPr>
          <w:sz w:val="20"/>
          <w:szCs w:val="20"/>
          <w:color w:val="auto"/>
        </w:rPr>
      </w:pPr>
      <w:r>
        <w:rPr>
          <w:rFonts w:ascii="Times New Roman" w:cs="Times New Roman" w:eastAsia="Times New Roman" w:hAnsi="Times New Roman"/>
          <w:sz w:val="18"/>
          <w:szCs w:val="18"/>
          <w:color w:val="auto"/>
        </w:rPr>
        <w:t>Intangible assets acquired separately are measured on initial recognition at cost. Following initial recognition, intangible assets are carried at cost less any accumulated straight-line amortization and accumulated impairment losses. The useful life for patents and licenses is 5 – 8 years.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Impairment tests</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w:t>
      </w:r>
    </w:p>
    <w:p>
      <w:pPr>
        <w:spacing w:after="0" w:line="109"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162" w:lineRule="exact"/>
        <w:rPr>
          <w:sz w:val="20"/>
          <w:szCs w:val="20"/>
          <w:color w:val="auto"/>
        </w:rPr>
      </w:pPr>
    </w:p>
    <w:p>
      <w:pPr>
        <w:ind w:left="1260" w:right="1019" w:firstLine="360"/>
        <w:spacing w:after="0" w:line="271" w:lineRule="auto"/>
        <w:rPr>
          <w:sz w:val="20"/>
          <w:szCs w:val="20"/>
          <w:color w:val="auto"/>
        </w:rPr>
      </w:pPr>
      <w:r>
        <w:rPr>
          <w:rFonts w:ascii="Times New Roman" w:cs="Times New Roman" w:eastAsia="Times New Roman" w:hAnsi="Times New Roman"/>
          <w:sz w:val="18"/>
          <w:szCs w:val="18"/>
          <w:color w:val="auto"/>
        </w:rPr>
        <w:t>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w:t>
      </w:r>
    </w:p>
    <w:p>
      <w:pPr>
        <w:spacing w:after="0" w:line="105" w:lineRule="exact"/>
        <w:rPr>
          <w:sz w:val="20"/>
          <w:szCs w:val="20"/>
          <w:color w:val="auto"/>
        </w:rPr>
      </w:pPr>
    </w:p>
    <w:p>
      <w:pPr>
        <w:ind w:left="1260" w:right="679" w:firstLine="360"/>
        <w:spacing w:after="0" w:line="274" w:lineRule="auto"/>
        <w:rPr>
          <w:sz w:val="20"/>
          <w:szCs w:val="20"/>
          <w:color w:val="auto"/>
        </w:rPr>
      </w:pPr>
      <w:r>
        <w:rPr>
          <w:rFonts w:ascii="Times New Roman" w:cs="Times New Roman" w:eastAsia="Times New Roman" w:hAnsi="Times New Roman"/>
          <w:sz w:val="18"/>
          <w:szCs w:val="18"/>
          <w:color w:val="auto"/>
        </w:rPr>
        <w:t>Subsequent expenditures on assets are capitalized only when it is probable that future economic benefits associated with the expenditure will flow to SCHMID. Repairs and maintenance are expensed in profit or loss in the period the costs are incurred.</w:t>
      </w:r>
    </w:p>
    <w:p>
      <w:pPr>
        <w:spacing w:after="0" w:line="115"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If items of property, plant and equipment are sold or disposed of, the gain or loss arising from the disposal is recognized as other operating income or expense in the consolidated statement of profit or loss and other comprehensive income (loss).</w:t>
      </w: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 is calculated on a straight-line basis based on the following useful lives: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Useful life   </w:t>
            </w:r>
            <w:r>
              <w:rPr>
                <w:rFonts w:ascii="Times New Roman" w:cs="Times New Roman" w:eastAsia="Times New Roman" w:hAnsi="Times New Roman"/>
                <w:sz w:val="28"/>
                <w:szCs w:val="28"/>
                <w:b w:val="1"/>
                <w:bCs w:val="1"/>
                <w:color w:val="auto"/>
                <w:vertAlign w:val="subscript"/>
              </w:rPr>
              <w:t>​</w:t>
            </w:r>
          </w:p>
        </w:tc>
      </w:tr>
      <w:tr>
        <w:trPr>
          <w:trHeight w:val="20"/>
        </w:trPr>
        <w:tc>
          <w:tcPr>
            <w:tcW w:w="45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10 – 50 years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Technical equipment and machinery</w:t>
            </w:r>
          </w:p>
        </w:tc>
        <w:tc>
          <w:tcPr>
            <w:tcW w:w="19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 21 years​</w:t>
            </w:r>
          </w:p>
        </w:tc>
      </w:tr>
      <w:tr>
        <w:trPr>
          <w:trHeight w:val="25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194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 13 years</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1059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97"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residual values, useful lives and methods of depreciation of property, plant and equipment are reviewed at each financial year end and adjusted prospectively, if appropriate.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 – 10 years.</w:t>
      </w:r>
    </w:p>
    <w:p>
      <w:pPr>
        <w:spacing w:after="0" w:line="110"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As a lessee, at the inception of a contract, SCHMID assesses whether the contract is, or contains, a lease. A contract is, or contains, a lease if the contract conveys the right to control the use of an identified asset for a period in exchange for consideration.</w:t>
      </w:r>
    </w:p>
    <w:p>
      <w:pPr>
        <w:spacing w:after="0" w:line="10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w:t>
      </w:r>
    </w:p>
    <w:p>
      <w:pPr>
        <w:spacing w:after="0" w:line="114" w:lineRule="exact"/>
        <w:rPr>
          <w:sz w:val="20"/>
          <w:szCs w:val="20"/>
          <w:color w:val="auto"/>
        </w:rPr>
      </w:pPr>
    </w:p>
    <w:p>
      <w:pPr>
        <w:jc w:val="both"/>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Liabilities arising from a lease are initially measured at present value of lease payments discounted using interest rate implicit in the lease or incremental borrowing rate in case interest rate implicit in the lease is not readily determinable.</w:t>
      </w:r>
    </w:p>
    <w:p>
      <w:pPr>
        <w:spacing w:after="0" w:line="10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Main components of the lease payments included in the measurement of the lease liability comprise the following:</w:t>
      </w:r>
    </w:p>
    <w:p>
      <w:pPr>
        <w:spacing w:after="0" w:line="54" w:lineRule="exact"/>
        <w:rPr>
          <w:sz w:val="20"/>
          <w:szCs w:val="20"/>
          <w:color w:val="auto"/>
        </w:rPr>
      </w:pPr>
    </w:p>
    <w:p>
      <w:pPr>
        <w:ind w:left="1800" w:hanging="180"/>
        <w:spacing w:after="0"/>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lease payments;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depend on an index or rate, initially measured using the index or rate as at the commencement date;</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payments in an optional renewal period if SCHMID is reasonably certain to exercise an extension option;</w:t>
      </w:r>
    </w:p>
    <w:p>
      <w:pPr>
        <w:spacing w:after="0" w:line="53"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non-lease components are not separated from lease components but accounted for as single lease components.</w:t>
      </w:r>
    </w:p>
    <w:p>
      <w:pPr>
        <w:spacing w:after="0" w:line="94"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Assets related to retirement obligations for leased buildings are included in the cost of right of use assets for the respective underlying building lease.</w:t>
      </w:r>
    </w:p>
    <w:p>
      <w:pPr>
        <w:spacing w:after="0" w:line="81"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Sale and Leaseback Transaction</w:t>
      </w:r>
    </w:p>
    <w:p>
      <w:pPr>
        <w:spacing w:after="0" w:line="158"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w:t>
      </w:r>
    </w:p>
    <w:p>
      <w:pPr>
        <w:spacing w:after="0" w:line="110"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w:t>
      </w:r>
    </w:p>
    <w:p>
      <w:pPr>
        <w:spacing w:after="0" w:line="323"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 market rates, the excess amount will be considered as additional financing provided by the buyer-lessor to the seller-lessee (IFRS 16.101).</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148"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Cash and cash equivalents in the statement of financial position and statement of cash flows comprise cash at banks and short -term highly liquid deposits with original maturities of three months or less, that are readily convertible to a known amount of cash and subject to an insignificant risk of changes in value.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Instruments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14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SCHMID’s financial assets include cash and cash equivalents, trade and other receivables as well as other financial assets. Other financial assets consist of a loan to one shareholder and other loans.</w:t>
      </w:r>
    </w:p>
    <w:p>
      <w:pPr>
        <w:spacing w:after="0" w:line="94"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Financial assets are initially measured at fair value plus, in the case of a financial asset not measured at fair value through profit or loss, transaction costs. As an exception to this general rule, trade receivables are measured at their transaction price.</w:t>
      </w:r>
    </w:p>
    <w:p>
      <w:pPr>
        <w:spacing w:after="0" w:line="108" w:lineRule="exact"/>
        <w:rPr>
          <w:sz w:val="20"/>
          <w:szCs w:val="20"/>
          <w:color w:val="auto"/>
        </w:rPr>
      </w:pPr>
    </w:p>
    <w:p>
      <w:pPr>
        <w:ind w:left="1260" w:right="659" w:firstLine="360"/>
        <w:spacing w:after="0" w:line="259" w:lineRule="auto"/>
        <w:rPr>
          <w:sz w:val="20"/>
          <w:szCs w:val="20"/>
          <w:color w:val="auto"/>
        </w:rPr>
      </w:pPr>
      <w:r>
        <w:rPr>
          <w:rFonts w:ascii="Times New Roman" w:cs="Times New Roman" w:eastAsia="Times New Roman" w:hAnsi="Times New Roman"/>
          <w:sz w:val="18"/>
          <w:szCs w:val="18"/>
          <w:color w:val="auto"/>
        </w:rPr>
        <w:t>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w:t>
      </w:r>
    </w:p>
    <w:p>
      <w:pPr>
        <w:spacing w:after="0" w:line="337"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A financial asset is derecognized (i.e., removed from SCHMID’s consolidated statement of financial position) when the rights to receive cash flows from the financial asset have expired or have been transferred and SCHMID has transferred substantially all risks and rewards of ownership.</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Impairment of financial assets — expected credit losses (“ECLs”)</w:t>
      </w:r>
    </w:p>
    <w:p>
      <w:pPr>
        <w:spacing w:after="0" w:line="15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w:t>
      </w:r>
    </w:p>
    <w:p>
      <w:pPr>
        <w:spacing w:after="0" w:line="9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 allowance is required for credit losses expected over the remaining life of the exposure, irrespective of the timing of the default (Stage 2: a lifetime ECL). The same applies if objective indications exist that a default event has occurred (Stage 3: an incurred loss). In this case, any interest income is measured on the basis of the net carrying amount, while for Stage 1 and 2 the basis is the gross carrying amount.</w:t>
      </w:r>
    </w:p>
    <w:p>
      <w:pPr>
        <w:spacing w:after="0" w:line="34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w:t>
      </w:r>
    </w:p>
    <w:p>
      <w:pPr>
        <w:spacing w:after="0" w:line="12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liabilities</w:t>
      </w:r>
    </w:p>
    <w:p>
      <w:pPr>
        <w:spacing w:after="0" w:line="14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w:t>
      </w:r>
    </w:p>
    <w:p>
      <w:pPr>
        <w:spacing w:after="0" w:line="10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w:t>
      </w:r>
    </w:p>
    <w:p>
      <w:pPr>
        <w:spacing w:after="0" w:line="109"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Current income taxes</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w:t>
      </w:r>
    </w:p>
    <w:p>
      <w:pPr>
        <w:spacing w:after="0" w:line="11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Management periodically evaluates positions taken in the tax returns with respect to situations in which applicable tax regulations are subject to interpretation and establishes provisions where appropriate.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Deferred income taxes</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w:t>
      </w:r>
    </w:p>
    <w:p>
      <w:pPr>
        <w:spacing w:after="0" w:line="10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measured at the tax rates that are expected to apply in the year in which the asset is realized, or the liability is settled, based on tax rates (and tax laws) that have been enacted or substantively enacted at the reporting date.</w:t>
      </w:r>
    </w:p>
    <w:p>
      <w:pPr>
        <w:spacing w:after="0" w:line="108"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w:t>
      </w:r>
    </w:p>
    <w:p>
      <w:pPr>
        <w:spacing w:after="0" w:line="95"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w:t>
      </w:r>
    </w:p>
    <w:p>
      <w:pPr>
        <w:spacing w:after="0" w:line="120"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Deferred tax assets and deferred tax liabilities are not discounted and are always classified as non-current asset or liabilities in the consolidated statement of financial position.</w:t>
      </w:r>
    </w:p>
    <w:p>
      <w:pPr>
        <w:spacing w:after="0" w:line="9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Provisions</w:t>
      </w:r>
    </w:p>
    <w:p>
      <w:pPr>
        <w:spacing w:after="0" w:line="14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w:t>
      </w:r>
    </w:p>
    <w:p>
      <w:pPr>
        <w:spacing w:after="0" w:line="10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Fair Values of Assets and Liabilities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w:t>
      </w:r>
    </w:p>
    <w:p>
      <w:pPr>
        <w:spacing w:after="0" w:line="75" w:lineRule="exact"/>
        <w:rPr>
          <w:sz w:val="20"/>
          <w:szCs w:val="20"/>
          <w:color w:val="auto"/>
        </w:rPr>
      </w:pPr>
    </w:p>
    <w:p>
      <w:pPr>
        <w:ind w:left="1800" w:right="97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contains the use of unadjusted quoted prices in active markets for identical assets or liabilities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other than quoted prices included within Level 1 that are observable for the asset or liability either directly or indirectly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based on unobservable market data</w:t>
      </w:r>
    </w:p>
    <w:p>
      <w:pPr>
        <w:spacing w:after="0" w:line="14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w:t>
      </w:r>
    </w:p>
    <w:p>
      <w:pPr>
        <w:spacing w:after="0" w:line="10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SCHMID recognizes transfers between levels of the fair value hierarchy at the end of the reporting period during which the change has occurred.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Post-employment benefits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SCHMID granted a defined benefit pension to Christian Schmid. The cost of providing benefits under the defined benefit plan is determined using the projected unit credit method.</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w:t>
      </w:r>
    </w:p>
    <w:p>
      <w:pPr>
        <w:spacing w:after="0" w:line="10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Net interest is calculated by applying the discount rate to the net defined benefit liability. SCHMID recognizes the changes in the net defined benefit obligation under OCI.</w:t>
      </w:r>
    </w:p>
    <w:p>
      <w:pPr>
        <w:spacing w:after="0" w:line="9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 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w:t>
      </w:r>
    </w:p>
    <w:p>
      <w:pPr>
        <w:spacing w:after="0" w:line="119"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 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two to three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w:t>
      </w:r>
    </w:p>
    <w:p>
      <w:pPr>
        <w:spacing w:after="0" w:line="116"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two to three weeks. Services are invoiced after the service has been rendered and according to contractual terms and are typically payable within 30 days.</w:t>
      </w:r>
    </w:p>
    <w:p>
      <w:pPr>
        <w:spacing w:after="0" w:line="114"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case of these long -term development contracts, revenue is recognized over time as these contracts meet the criteria of IFRS 15.35. Revenue resulting from fixed payments that the Company receives — which</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4" w:lineRule="auto"/>
        <w:rPr>
          <w:sz w:val="20"/>
          <w:szCs w:val="20"/>
          <w:color w:val="auto"/>
        </w:rPr>
      </w:pPr>
      <w:r>
        <w:rPr>
          <w:rFonts w:ascii="Times New Roman" w:cs="Times New Roman" w:eastAsia="Times New Roman" w:hAnsi="Times New Roman"/>
          <w:sz w:val="18"/>
          <w:szCs w:val="18"/>
          <w:color w:val="auto"/>
        </w:rPr>
        <w:t>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Inventories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Grants</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14"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Government grants related to costs incurred by SCHMID are recognized in profit or loss as other operating income in the period in which the Company recognizes as expenses the related costs to be compensated by the grants.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Interests in equity-accounted investees</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Group’s interests in equity-accounted investees comprise interests in associates. Associates are those entities in which the Group has significant influence, but not control or joint control, over the financial and operating policies.</w:t>
      </w:r>
    </w:p>
    <w:p>
      <w:pPr>
        <w:spacing w:after="0" w:line="10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w:t>
      </w:r>
    </w:p>
    <w:p>
      <w:pPr>
        <w:spacing w:after="0" w:line="112"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New and amended standards adopted by SCHMID</w:t>
      </w:r>
    </w:p>
    <w:p>
      <w:pPr>
        <w:spacing w:after="0" w:line="162"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The Company has applied the following standards and amendments for the first time for its annual reporting period commencing January 1, 2025: Amendment to IAS 21 — Lack of Exchangeability</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firstLine="360"/>
        <w:spacing w:after="0" w:line="297" w:lineRule="auto"/>
        <w:rPr>
          <w:sz w:val="20"/>
          <w:szCs w:val="20"/>
          <w:color w:val="auto"/>
        </w:rPr>
      </w:pPr>
      <w:r>
        <w:rPr>
          <w:rFonts w:ascii="Times New Roman" w:cs="Times New Roman" w:eastAsia="Times New Roman" w:hAnsi="Times New Roman"/>
          <w:sz w:val="18"/>
          <w:szCs w:val="18"/>
          <w:color w:val="auto"/>
        </w:rPr>
        <w:t>The amendment listed above did not have any material impact on the amounts recognized in prior periods and is not expected to significantly affect the current or future periods.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New Standards and Interpretations not yet adopted by SCHMID</w:t>
      </w:r>
    </w:p>
    <w:p>
      <w:pPr>
        <w:spacing w:after="0" w:line="148"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color w:val="auto"/>
        </w:rPr>
        <w:t>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28"/>
                <w:szCs w:val="28"/>
                <w:b w:val="1"/>
                <w:bCs w:val="1"/>
                <w:color w:val="auto"/>
                <w:vertAlign w:val="subscript"/>
              </w:rPr>
              <w:t>​</w:t>
            </w:r>
          </w:p>
        </w:tc>
      </w:tr>
      <w:tr>
        <w:trPr>
          <w:trHeight w:val="250"/>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Referencing Nature-dependent Electricity – Amendments to IFRS 9 and IFRS 7</w:t>
            </w: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1/1/2026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Annual Improvements Volume 11</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1/1/2026</w:t>
            </w:r>
            <w:r>
              <w:rPr>
                <w:rFonts w:ascii="Times New Roman" w:cs="Times New Roman" w:eastAsia="Times New Roman" w:hAnsi="Times New Roman"/>
                <w:sz w:val="18"/>
                <w:szCs w:val="18"/>
                <w:b w:val="1"/>
                <w:bCs w:val="1"/>
                <w:color w:val="auto"/>
              </w:rPr>
              <w:t xml:space="preserve"> ​</w:t>
            </w:r>
          </w:p>
        </w:tc>
      </w:tr>
      <w:tr>
        <w:trPr>
          <w:trHeight w:val="257"/>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Amendments to the Classification and Measurement of Financial Instruments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1/1/2026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IFRS 18 – Presentation and Disclosure in Financial Statements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1/1/2027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-676910</wp:posOffset>
            </wp:positionV>
            <wp:extent cx="137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IFRS 18 Presentation and Disclosure in Financial Statements</w:t>
      </w:r>
    </w:p>
    <w:p>
      <w:pPr>
        <w:spacing w:after="0" w:line="158"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color w:val="auto"/>
        </w:rPr>
        <w:t>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w:t>
      </w:r>
    </w:p>
    <w:p>
      <w:pPr>
        <w:spacing w:after="0" w:line="113"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SCHMID is currently working to identify all impacts the amendments will have on the primary financial statements and notes to the financial statements.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5. SIGNIFICANT ACCOUNTING JUDGMENTS, ESTIMATES AND ASSUMPTIONS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 the financial period presented and are reviewed on an ongoing basis. Actual results may differ from these estimates under different assumptions and conditions and may materially affect the financial results or the financial position reported in future periods.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Judgments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Debt to equity swap</w:t>
      </w:r>
    </w:p>
    <w:p>
      <w:pPr>
        <w:spacing w:after="0" w:line="15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w:t>
      </w:r>
    </w:p>
    <w:p>
      <w:pPr>
        <w:spacing w:after="0" w:line="1" w:lineRule="exact"/>
        <w:rPr>
          <w:sz w:val="20"/>
          <w:szCs w:val="20"/>
          <w:color w:val="auto"/>
        </w:rPr>
      </w:pPr>
    </w:p>
    <w:p>
      <w:pPr>
        <w:ind w:left="1260" w:right="1059"/>
        <w:spacing w:after="0" w:line="260" w:lineRule="auto"/>
        <w:rPr>
          <w:sz w:val="20"/>
          <w:szCs w:val="20"/>
          <w:color w:val="auto"/>
        </w:rPr>
      </w:pPr>
      <w:r>
        <w:rPr>
          <w:rFonts w:ascii="Times New Roman" w:cs="Times New Roman" w:eastAsia="Times New Roman" w:hAnsi="Times New Roman"/>
          <w:sz w:val="18"/>
          <w:szCs w:val="18"/>
          <w:color w:val="auto"/>
        </w:rPr>
        <w:t>(€54,846 thousand) as well as embedded derivative assets and liabilities resulting from a share price protection clause amounting to a net €2,156 thousand liability. See note 29 for further details.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Estimates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Impairment test</w:t>
      </w:r>
    </w:p>
    <w:p>
      <w:pPr>
        <w:spacing w:after="0" w:line="158" w:lineRule="exact"/>
        <w:rPr>
          <w:sz w:val="20"/>
          <w:szCs w:val="20"/>
          <w:color w:val="auto"/>
        </w:rPr>
      </w:pPr>
    </w:p>
    <w:p>
      <w:pPr>
        <w:ind w:left="1260" w:right="1260" w:firstLine="360"/>
        <w:spacing w:after="0" w:line="274" w:lineRule="auto"/>
        <w:rPr>
          <w:sz w:val="20"/>
          <w:szCs w:val="20"/>
          <w:color w:val="auto"/>
        </w:rPr>
      </w:pPr>
      <w:r>
        <w:rPr>
          <w:rFonts w:ascii="Times New Roman" w:cs="Times New Roman" w:eastAsia="Times New Roman" w:hAnsi="Times New Roman"/>
          <w:sz w:val="18"/>
          <w:szCs w:val="18"/>
          <w:color w:val="auto"/>
        </w:rPr>
        <w:t>An impairment test on R&amp;D costs capitalized on assets that are not yet ready for use is performed at each reporting date. For detailed information on key assumptions underlying recoverable amounts please see note 19. Intangible Assets.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158" w:lineRule="exact"/>
        <w:rPr>
          <w:sz w:val="20"/>
          <w:szCs w:val="20"/>
          <w:color w:val="auto"/>
        </w:rPr>
      </w:pPr>
    </w:p>
    <w:p>
      <w:pPr>
        <w:ind w:left="1260" w:right="1500" w:firstLine="360"/>
        <w:spacing w:after="0" w:line="274" w:lineRule="auto"/>
        <w:rPr>
          <w:sz w:val="20"/>
          <w:szCs w:val="20"/>
          <w:color w:val="auto"/>
        </w:rPr>
      </w:pPr>
      <w:r>
        <w:rPr>
          <w:rFonts w:ascii="Times New Roman" w:cs="Times New Roman" w:eastAsia="Times New Roman" w:hAnsi="Times New Roman"/>
          <w:sz w:val="18"/>
          <w:szCs w:val="18"/>
          <w:color w:val="auto"/>
        </w:rPr>
        <w:t>Our investment in Group14 shares, a private company whose share are not publicly traded, require significant estimates to determine the fair value of the Group14 shares. For further detail refer to note 22. Financial Assets.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6. SEGMENT AND GEOGRAPHIC INFORMATION</w:t>
      </w:r>
    </w:p>
    <w:p>
      <w:pPr>
        <w:spacing w:after="0" w:line="148" w:lineRule="exact"/>
        <w:rPr>
          <w:sz w:val="20"/>
          <w:szCs w:val="20"/>
          <w:color w:val="auto"/>
        </w:rPr>
      </w:pPr>
    </w:p>
    <w:p>
      <w:pPr>
        <w:ind w:left="1260" w:right="1380" w:firstLine="360"/>
        <w:spacing w:after="0" w:line="270" w:lineRule="auto"/>
        <w:rPr>
          <w:sz w:val="20"/>
          <w:szCs w:val="20"/>
          <w:color w:val="auto"/>
        </w:rPr>
      </w:pPr>
      <w:r>
        <w:rPr>
          <w:rFonts w:ascii="Times New Roman" w:cs="Times New Roman" w:eastAsia="Times New Roman" w:hAnsi="Times New Roman"/>
          <w:sz w:val="18"/>
          <w:szCs w:val="18"/>
          <w:color w:val="auto"/>
        </w:rPr>
        <w:t>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w:t>
      </w:r>
    </w:p>
    <w:p>
      <w:pPr>
        <w:spacing w:after="0" w:line="105" w:lineRule="exact"/>
        <w:rPr>
          <w:sz w:val="20"/>
          <w:szCs w:val="20"/>
          <w:color w:val="auto"/>
        </w:rPr>
      </w:pPr>
    </w:p>
    <w:p>
      <w:pPr>
        <w:ind w:left="1260" w:right="1660" w:firstLine="360"/>
        <w:spacing w:after="0" w:line="282" w:lineRule="auto"/>
        <w:rPr>
          <w:sz w:val="20"/>
          <w:szCs w:val="20"/>
          <w:color w:val="auto"/>
        </w:rPr>
      </w:pPr>
      <w:r>
        <w:rPr>
          <w:rFonts w:ascii="Times New Roman" w:cs="Times New Roman" w:eastAsia="Times New Roman" w:hAnsi="Times New Roman"/>
          <w:sz w:val="18"/>
          <w:szCs w:val="18"/>
          <w:color w:val="auto"/>
        </w:rPr>
        <w:t>As the CODM examines the Company’s performance from a product perspective and has therefore identified two operating segments:</w:t>
      </w:r>
    </w:p>
    <w:p>
      <w:pPr>
        <w:spacing w:after="0" w:line="108" w:lineRule="exact"/>
        <w:rPr>
          <w:sz w:val="20"/>
          <w:szCs w:val="20"/>
          <w:color w:val="auto"/>
        </w:rPr>
      </w:pPr>
    </w:p>
    <w:p>
      <w:pPr>
        <w:ind w:left="1980" w:right="1280" w:hanging="360"/>
        <w:spacing w:after="0" w:line="282" w:lineRule="auto"/>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equipment and processes includes mainly the sale of machines including installation and extended warranties.</w:t>
      </w:r>
    </w:p>
    <w:p>
      <w:pPr>
        <w:spacing w:after="0" w:line="121" w:lineRule="exact"/>
        <w:rPr>
          <w:rFonts w:ascii="Times New Roman" w:cs="Times New Roman" w:eastAsia="Times New Roman" w:hAnsi="Times New Roman"/>
          <w:sz w:val="18"/>
          <w:szCs w:val="18"/>
          <w:color w:val="auto"/>
        </w:rPr>
      </w:pPr>
    </w:p>
    <w:p>
      <w:pPr>
        <w:ind w:left="1980" w:right="1740" w:hanging="360"/>
        <w:spacing w:after="0" w:line="282" w:lineRule="auto"/>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Spare parts and services includes the sale of spare parts as well as services including repairs, modifications of machines and inspections.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operating segments are also the reporting segments of the Company.</w:t>
      </w:r>
    </w:p>
    <w:p>
      <w:pPr>
        <w:spacing w:after="0" w:line="158" w:lineRule="exact"/>
        <w:rPr>
          <w:sz w:val="20"/>
          <w:szCs w:val="20"/>
          <w:color w:val="auto"/>
        </w:rPr>
      </w:pPr>
    </w:p>
    <w:p>
      <w:pPr>
        <w:ind w:left="1260" w:right="1340" w:firstLine="360"/>
        <w:spacing w:after="0" w:line="271" w:lineRule="auto"/>
        <w:rPr>
          <w:sz w:val="20"/>
          <w:szCs w:val="20"/>
          <w:color w:val="auto"/>
        </w:rPr>
      </w:pPr>
      <w:r>
        <w:rPr>
          <w:rFonts w:ascii="Times New Roman" w:cs="Times New Roman" w:eastAsia="Times New Roman" w:hAnsi="Times New Roman"/>
          <w:sz w:val="18"/>
          <w:szCs w:val="18"/>
          <w:color w:val="auto"/>
        </w:rPr>
        <w:t>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Assets are neither allocated to the operating segments nor regularly provided to the CODM.</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SCHMID’s key financial metrics by segment are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tcPr>
          <w:p>
            <w:pPr>
              <w:spacing w:after="0"/>
              <w:rPr>
                <w:sz w:val="19"/>
                <w:szCs w:val="19"/>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Technical</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1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0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Spare parts</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management</w:t>
            </w:r>
          </w:p>
        </w:tc>
      </w:tr>
      <w:tr>
        <w:trPr>
          <w:trHeight w:val="214"/>
        </w:trPr>
        <w:tc>
          <w:tcPr>
            <w:tcW w:w="1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and processes </w:t>
            </w:r>
            <w:r>
              <w:rPr>
                <w:rFonts w:ascii="Times New Roman" w:cs="Times New Roman" w:eastAsia="Times New Roman" w:hAnsi="Times New Roman"/>
                <w:sz w:val="24"/>
                <w:szCs w:val="24"/>
                <w:b w:val="1"/>
                <w:bCs w:val="1"/>
                <w:color w:val="auto"/>
                <w:vertAlign w:val="subscript"/>
              </w:rPr>
              <w:t>​</w:t>
            </w:r>
          </w:p>
        </w:tc>
        <w:tc>
          <w:tcPr>
            <w:tcW w:w="164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and services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8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reporting  </w:t>
            </w:r>
            <w:r>
              <w:rPr>
                <w:rFonts w:ascii="Times New Roman" w:cs="Times New Roman" w:eastAsia="Times New Roman" w:hAnsi="Times New Roman"/>
                <w:sz w:val="24"/>
                <w:szCs w:val="24"/>
                <w:b w:val="1"/>
                <w:bCs w:val="1"/>
                <w:color w:val="auto"/>
                <w:vertAlign w:val="subscript"/>
              </w:rPr>
              <w:t>​</w:t>
            </w:r>
          </w:p>
        </w:tc>
      </w:tr>
      <w:tr>
        <w:trPr>
          <w:trHeight w:val="20"/>
        </w:trPr>
        <w:tc>
          <w:tcPr>
            <w:tcW w:w="1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​54,446</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11,885</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 ​615 ​​ ​</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66,945</w:t>
            </w:r>
          </w:p>
        </w:tc>
        <w:tc>
          <w:tcPr>
            <w:tcW w:w="1620" w:type="dxa"/>
            <w:vAlign w:val="bottom"/>
          </w:tcPr>
          <w:p>
            <w:pPr>
              <w:jc w:val="center"/>
              <w:ind w:right="1496"/>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1"/>
        </w:trPr>
        <w:tc>
          <w:tcPr>
            <w:tcW w:w="44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3,415</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2,261</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 ​591 ​​ ​</w:t>
            </w: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6,267</w:t>
            </w:r>
          </w:p>
        </w:tc>
        <w:tc>
          <w:tcPr>
            <w:tcW w:w="1620" w:type="dxa"/>
            <w:vAlign w:val="bottom"/>
          </w:tcPr>
          <w:p>
            <w:pPr>
              <w:jc w:val="center"/>
              <w:ind w:right="1496"/>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5"/>
        </w:trPr>
        <w:tc>
          <w:tcPr>
            <w:tcW w:w="44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jc w:val="center"/>
              <w:ind w:right="14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Technical</w:t>
            </w: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Spare parts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management</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2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and processes </w:t>
            </w:r>
            <w:r>
              <w:rPr>
                <w:rFonts w:ascii="Times New Roman" w:cs="Times New Roman" w:eastAsia="Times New Roman" w:hAnsi="Times New Roman"/>
                <w:sz w:val="24"/>
                <w:szCs w:val="24"/>
                <w:b w:val="1"/>
                <w:bCs w:val="1"/>
                <w:color w:val="auto"/>
                <w:vertAlign w:val="subscript"/>
              </w:rPr>
              <w:t>​</w:t>
            </w:r>
          </w:p>
        </w:tc>
        <w:tc>
          <w:tcPr>
            <w:tcW w:w="940" w:type="dxa"/>
            <w:vAlign w:val="bottom"/>
            <w:gridSpan w:val="5"/>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and services </w:t>
            </w:r>
            <w:r>
              <w:rPr>
                <w:rFonts w:ascii="Times New Roman" w:cs="Times New Roman" w:eastAsia="Times New Roman" w:hAnsi="Times New Roman"/>
                <w:sz w:val="24"/>
                <w:szCs w:val="24"/>
                <w:b w:val="1"/>
                <w:bCs w:val="1"/>
                <w:color w:val="auto"/>
                <w:vertAlign w:val="subscript"/>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24"/>
                <w:szCs w:val="24"/>
                <w:b w:val="1"/>
                <w:bCs w:val="1"/>
                <w:color w:val="auto"/>
                <w:vertAlign w:val="subscript"/>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reporting</w:t>
            </w:r>
          </w:p>
        </w:tc>
        <w:tc>
          <w:tcPr>
            <w:tcW w:w="1620" w:type="dxa"/>
            <w:vAlign w:val="bottom"/>
          </w:tcPr>
          <w:p>
            <w:pPr>
              <w:jc w:val="center"/>
              <w:ind w:right="14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20" w:type="dxa"/>
            <w:vAlign w:val="bottom"/>
            <w:tcBorders>
              <w:right w:val="single" w:sz="8" w:color="auto"/>
            </w:tcBorders>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​49,593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11,192 ​​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60,836</w:t>
            </w:r>
          </w:p>
        </w:tc>
        <w:tc>
          <w:tcPr>
            <w:tcW w:w="1620" w:type="dxa"/>
            <w:vAlign w:val="bottom"/>
          </w:tcPr>
          <w:p>
            <w:pPr>
              <w:jc w:val="center"/>
              <w:ind w:right="14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420" w:type="dxa"/>
            <w:vAlign w:val="bottom"/>
          </w:tcPr>
          <w:p>
            <w:pPr>
              <w:ind w:left="1620"/>
              <w:spacing w:after="0" w:line="202" w:lineRule="exact"/>
              <w:rPr>
                <w:sz w:val="20"/>
                <w:szCs w:val="20"/>
                <w:color w:val="auto"/>
              </w:rPr>
            </w:pPr>
            <w:r>
              <w:rPr>
                <w:rFonts w:ascii="Times New Roman" w:cs="Times New Roman" w:eastAsia="Times New Roman" w:hAnsi="Times New Roman"/>
                <w:sz w:val="18"/>
                <w:szCs w:val="18"/>
                <w:color w:val="auto"/>
              </w:rPr>
              <w:t>Segment adjusted EBITDA</w:t>
            </w:r>
          </w:p>
        </w:tc>
        <w:tc>
          <w:tcPr>
            <w:tcW w:w="11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611</w:t>
            </w:r>
          </w:p>
        </w:tc>
        <w:tc>
          <w:tcPr>
            <w:tcW w:w="4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2,459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4"/>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(77,527)</w:t>
            </w:r>
          </w:p>
        </w:tc>
        <w:tc>
          <w:tcPr>
            <w:tcW w:w="80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(74,457)</w:t>
            </w:r>
          </w:p>
        </w:tc>
        <w:tc>
          <w:tcPr>
            <w:tcW w:w="1620" w:type="dxa"/>
            <w:vAlign w:val="bottom"/>
            <w:vMerge w:val="restart"/>
          </w:tcPr>
          <w:p>
            <w:pPr>
              <w:jc w:val="center"/>
              <w:ind w:right="149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5"/>
        </w:trPr>
        <w:tc>
          <w:tcPr>
            <w:tcW w:w="44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gridSpan w:val="4"/>
            <w:vMerge w:val="continue"/>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420" w:type="dxa"/>
            <w:vAlign w:val="bottom"/>
          </w:tcPr>
          <w:p>
            <w:pPr>
              <w:spacing w:after="0"/>
              <w:rPr>
                <w:sz w:val="24"/>
                <w:szCs w:val="24"/>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9"/>
              </w:rPr>
              <w:t>F-20</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-985520</wp:posOffset>
            </wp:positionV>
            <wp:extent cx="4749165"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Technical</w:t>
            </w:r>
          </w:p>
        </w:tc>
        <w:tc>
          <w:tcPr>
            <w:tcW w:w="2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4"/>
                <w:szCs w:val="14"/>
                <w:color w:val="auto"/>
              </w:rPr>
            </w:pPr>
          </w:p>
        </w:tc>
      </w:tr>
      <w:tr>
        <w:trPr>
          <w:trHeight w:val="162"/>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Spare parts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management</w:t>
            </w:r>
          </w:p>
        </w:tc>
        <w:tc>
          <w:tcPr>
            <w:tcW w:w="40" w:type="dxa"/>
            <w:vAlign w:val="bottom"/>
          </w:tcPr>
          <w:p>
            <w:pPr>
              <w:spacing w:after="0"/>
              <w:rPr>
                <w:sz w:val="14"/>
                <w:szCs w:val="14"/>
                <w:color w:val="auto"/>
              </w:rPr>
            </w:pP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84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and processes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and services </w:t>
            </w:r>
            <w:r>
              <w:rPr>
                <w:rFonts w:ascii="Times New Roman" w:cs="Times New Roman" w:eastAsia="Times New Roman" w:hAnsi="Times New Roman"/>
                <w:sz w:val="24"/>
                <w:szCs w:val="24"/>
                <w:b w:val="1"/>
                <w:bCs w:val="1"/>
                <w:color w:val="auto"/>
                <w:vertAlign w:val="subscript"/>
              </w:rPr>
              <w:t>​ ​</w:t>
            </w:r>
          </w:p>
        </w:tc>
        <w:tc>
          <w:tcPr>
            <w:tcW w:w="68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24"/>
                <w:szCs w:val="24"/>
                <w:b w:val="1"/>
                <w:bCs w:val="1"/>
                <w:color w:val="auto"/>
                <w:vertAlign w:val="subscript"/>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reporting</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9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Pr>
          <w:p>
            <w:pPr>
              <w:spacing w:after="0"/>
              <w:rPr>
                <w:sz w:val="21"/>
                <w:szCs w:val="21"/>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​78,743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11,503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90,246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840" w:type="dxa"/>
            <w:vAlign w:val="bottom"/>
          </w:tcPr>
          <w:p>
            <w:pPr>
              <w:spacing w:after="0"/>
              <w:rPr>
                <w:sz w:val="24"/>
                <w:szCs w:val="24"/>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​12,872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3,787</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​​22,440​​ ​</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39,099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-350520</wp:posOffset>
            </wp:positionV>
            <wp:extent cx="4749165"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column “Other” includes costs related to head office and group services as well as certain effects not directly attributable to the operating segments.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the year ended December 31, 2025 the column “Other” include legal and consulting expenses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(€3,390 thousand) and G&amp;A costs like insurances and salaries (€6,149 thousand). The income in “Other”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mainly due to the waiver with debtor warrant which was granted for €5,000 thousand and the income from</w:t>
      </w:r>
    </w:p>
    <w:p>
      <w:pPr>
        <w:ind w:left="1260"/>
        <w:spacing w:after="0"/>
        <w:rPr>
          <w:sz w:val="20"/>
          <w:szCs w:val="20"/>
          <w:color w:val="auto"/>
        </w:rPr>
      </w:pPr>
      <w:r>
        <w:rPr>
          <w:rFonts w:ascii="Times New Roman" w:cs="Times New Roman" w:eastAsia="Times New Roman" w:hAnsi="Times New Roman"/>
          <w:sz w:val="18"/>
          <w:szCs w:val="18"/>
          <w:color w:val="auto"/>
        </w:rPr>
        <w:t>currency conversion of €5,100 thousand.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2024, the expense in “Other” is mainly due to the share listing expense amounting to</w:t>
      </w:r>
    </w:p>
    <w:p>
      <w:pPr>
        <w:spacing w:after="0" w:line="16"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€71,631 thousand as well as other cost associated with the listing (€ 1,765 thousand), legal and consulting (€3,607 thousand) as well as general and administration costs (€3,250 thousand).</w:t>
      </w:r>
    </w:p>
    <w:p>
      <w:pPr>
        <w:spacing w:after="0" w:line="102" w:lineRule="exact"/>
        <w:rPr>
          <w:sz w:val="20"/>
          <w:szCs w:val="20"/>
          <w:color w:val="auto"/>
        </w:rPr>
      </w:pPr>
    </w:p>
    <w:p>
      <w:pPr>
        <w:jc w:val="both"/>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w:t>
      </w: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from total Segment Adjusted EBITDA to income (loss) for the period according to</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IFRS:</w:t>
      </w:r>
    </w:p>
    <w:p>
      <w:pPr>
        <w:sectPr>
          <w:pgSz w:w="11900" w:h="16838" w:orient="portrait"/>
          <w:cols w:equalWidth="0" w:num="1">
            <w:col w:w="9879"/>
          </w:cols>
          <w:pgMar w:left="580" w:top="97" w:right="1440" w:bottom="1440" w:gutter="0" w:footer="0" w:header="0"/>
        </w:sectPr>
      </w:pPr>
    </w:p>
    <w:p>
      <w:pPr>
        <w:spacing w:after="0" w:line="1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segment adjusted EBITDA</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Amortization and depreciation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 of loss from 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Income tax benefit (expense)</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Net income (loss) for the period</w:t>
      </w:r>
    </w:p>
    <w:p>
      <w:pPr>
        <w:spacing w:after="0" w:line="2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can be split into the following geographical areas: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6,267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rPr>
              <w:t>(74,457)</w:t>
            </w:r>
          </w:p>
        </w:tc>
        <w:tc>
          <w:tcPr>
            <w:tcW w:w="6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39,099</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gridSpan w:val="2"/>
          </w:tcPr>
          <w:p>
            <w:pPr>
              <w:ind w:left="40"/>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tcPr>
          <w:p>
            <w:pPr>
              <w:ind w:left="40"/>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(72,178)</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(3,824)</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9,594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(4,824)</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(7,315)</w:t>
            </w:r>
          </w:p>
        </w:tc>
        <w:tc>
          <w:tcPr>
            <w:tcW w:w="6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(6,904)</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spacing w:after="0"/>
              <w:rPr>
                <w:sz w:val="6"/>
                <w:szCs w:val="6"/>
                <w:color w:val="auto"/>
              </w:rPr>
            </w:pPr>
          </w:p>
        </w:tc>
        <w:tc>
          <w:tcPr>
            <w:tcW w:w="6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2"/>
              <w:spacing w:after="0" w:line="181" w:lineRule="exact"/>
              <w:rPr>
                <w:sz w:val="20"/>
                <w:szCs w:val="20"/>
                <w:color w:val="auto"/>
              </w:rPr>
            </w:pPr>
            <w:r>
              <w:rPr>
                <w:rFonts w:ascii="Times New Roman" w:cs="Times New Roman" w:eastAsia="Times New Roman" w:hAnsi="Times New Roman"/>
                <w:sz w:val="18"/>
                <w:szCs w:val="18"/>
                <w:color w:val="auto"/>
              </w:rPr>
              <w:t>(406)</w:t>
            </w: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60" w:type="dxa"/>
            <w:vAlign w:val="bottom"/>
          </w:tcPr>
          <w:p>
            <w:pPr>
              <w:ind w:left="40"/>
              <w:spacing w:after="0" w:line="76" w:lineRule="exact"/>
              <w:rPr>
                <w:sz w:val="20"/>
                <w:szCs w:val="20"/>
                <w:color w:val="auto"/>
              </w:rPr>
            </w:pPr>
            <w:r>
              <w:rPr>
                <w:rFonts w:ascii="Times New Roman" w:cs="Times New Roman" w:eastAsia="Times New Roman" w:hAnsi="Times New Roman"/>
                <w:sz w:val="8"/>
                <w:szCs w:val="8"/>
                <w:color w:val="auto"/>
              </w:rPr>
              <w:t>​​</w:t>
            </w:r>
          </w:p>
        </w:tc>
        <w:tc>
          <w:tcPr>
            <w:tcW w:w="440" w:type="dxa"/>
            <w:vAlign w:val="bottom"/>
          </w:tcPr>
          <w:p>
            <w:pPr>
              <w:spacing w:after="0"/>
              <w:rPr>
                <w:sz w:val="6"/>
                <w:szCs w:val="6"/>
                <w:color w:val="auto"/>
              </w:rPr>
            </w:pPr>
          </w:p>
        </w:tc>
        <w:tc>
          <w:tcPr>
            <w:tcW w:w="6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48"/>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41</w:t>
            </w:r>
            <w:r>
              <w:rPr>
                <w:rFonts w:ascii="Times New Roman" w:cs="Times New Roman" w:eastAsia="Times New Roman" w:hAnsi="Times New Roman"/>
                <w:sz w:val="15"/>
                <w:szCs w:val="15"/>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1,492</w:t>
            </w:r>
            <w:r>
              <w:rPr>
                <w:rFonts w:ascii="Times New Roman" w:cs="Times New Roman" w:eastAsia="Times New Roman" w:hAnsi="Times New Roman"/>
                <w:sz w:val="28"/>
                <w:szCs w:val="28"/>
                <w:color w:val="auto"/>
                <w:vertAlign w:val="subscript"/>
              </w:rPr>
              <w:t>​​</w:t>
            </w:r>
          </w:p>
        </w:tc>
        <w:tc>
          <w:tcPr>
            <w:tcW w:w="66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​(2,778</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620" w:type="dxa"/>
            <w:vAlign w:val="bottom"/>
            <w:gridSpan w:val="2"/>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w w:val="87"/>
              </w:rPr>
              <w:t>​(71,100)</w:t>
            </w:r>
          </w:p>
        </w:tc>
        <w:tc>
          <w:tcPr>
            <w:tcW w:w="100" w:type="dxa"/>
            <w:vAlign w:val="bottom"/>
          </w:tcPr>
          <w:p>
            <w:pPr>
              <w:spacing w:after="0"/>
              <w:rPr>
                <w:sz w:val="17"/>
                <w:szCs w:val="17"/>
                <w:color w:val="auto"/>
              </w:rPr>
            </w:pPr>
          </w:p>
        </w:tc>
        <w:tc>
          <w:tcPr>
            <w:tcW w:w="700" w:type="dxa"/>
            <w:vAlign w:val="bottom"/>
            <w:gridSpan w:val="3"/>
          </w:tcPr>
          <w:p>
            <w:pPr>
              <w:jc w:val="right"/>
              <w:ind w:right="12"/>
              <w:spacing w:after="0" w:line="196" w:lineRule="exact"/>
              <w:rPr>
                <w:sz w:val="20"/>
                <w:szCs w:val="20"/>
                <w:color w:val="auto"/>
              </w:rPr>
            </w:pPr>
            <w:r>
              <w:rPr>
                <w:rFonts w:ascii="Times New Roman" w:cs="Times New Roman" w:eastAsia="Times New Roman" w:hAnsi="Times New Roman"/>
                <w:sz w:val="18"/>
                <w:szCs w:val="18"/>
                <w:b w:val="1"/>
                <w:bCs w:val="1"/>
                <w:color w:val="auto"/>
              </w:rPr>
              <w:t>​(84,104)</w:t>
            </w:r>
          </w:p>
        </w:tc>
        <w:tc>
          <w:tcPr>
            <w:tcW w:w="1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4"/>
              </w:rPr>
              <w:t>​37,953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5" w:lineRule="exact"/>
        <w:rPr>
          <w:sz w:val="20"/>
          <w:szCs w:val="20"/>
          <w:color w:val="auto"/>
        </w:rPr>
      </w:pPr>
    </w:p>
    <w:p>
      <w:pPr>
        <w:sectPr>
          <w:pgSz w:w="11900" w:h="16838" w:orient="portrait"/>
          <w:cols w:equalWidth="0" w:num="2">
            <w:col w:w="6100" w:space="680"/>
            <w:col w:w="309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364"/>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w:t>
            </w:r>
          </w:p>
        </w:tc>
        <w:tc>
          <w:tcPr>
            <w:tcW w:w="10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r>
      <w:tr>
        <w:trPr>
          <w:trHeight w:val="20"/>
        </w:trPr>
        <w:tc>
          <w:tcPr>
            <w:tcW w:w="5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21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​​25,702​​ ​​16,480​​ ​​16,942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​​19,770​​ ​​22,207​​ ​​17,522​</w:t>
            </w:r>
          </w:p>
        </w:tc>
      </w:tr>
      <w:tr>
        <w:trPr>
          <w:trHeight w:val="2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4,154​​ ​​ 3,819​​ ​​ 9,577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EMEA w/o Germany</w:t>
            </w:r>
          </w:p>
        </w:tc>
        <w:tc>
          <w:tcPr>
            <w:tcW w:w="22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 9,841​​ ​​12,728​​ ​​24,791​</w:t>
            </w:r>
          </w:p>
        </w:tc>
      </w:tr>
      <w:tr>
        <w:trPr>
          <w:trHeight w:val="257"/>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Asia w/o China</w:t>
            </w:r>
          </w:p>
        </w:tc>
        <w:tc>
          <w:tcPr>
            <w:tcW w:w="2180" w:type="dxa"/>
            <w:vAlign w:val="bottom"/>
            <w:gridSpan w:val="8"/>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7,477​​ ​​ 5,551​​ ​​21,370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6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40" w:type="dxa"/>
            <w:vAlign w:val="bottom"/>
            <w:gridSpan w:val="3"/>
          </w:tcPr>
          <w:p>
            <w:pPr>
              <w:ind w:left="260"/>
              <w:spacing w:after="0" w:line="269" w:lineRule="exact"/>
              <w:rPr>
                <w:sz w:val="20"/>
                <w:szCs w:val="20"/>
                <w:color w:val="auto"/>
              </w:rPr>
            </w:pPr>
            <w:r>
              <w:rPr>
                <w:rFonts w:ascii="Times New Roman" w:cs="Times New Roman" w:eastAsia="Times New Roman" w:hAnsi="Times New Roman"/>
                <w:sz w:val="31"/>
                <w:szCs w:val="31"/>
                <w:color w:val="auto"/>
                <w:vertAlign w:val="superscript"/>
              </w:rPr>
              <w:t>49</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44</w:t>
            </w:r>
            <w:r>
              <w:rPr>
                <w:rFonts w:ascii="Times New Roman" w:cs="Times New Roman" w:eastAsia="Times New Roman" w:hAnsi="Times New Roman"/>
                <w:sz w:val="31"/>
                <w:szCs w:val="31"/>
                <w:color w:val="auto"/>
                <w:vertAlign w:val="subscript"/>
              </w:rPr>
              <w:t>​</w:t>
            </w: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80" w:type="dxa"/>
            <w:vAlign w:val="bottom"/>
            <w:gridSpan w:val="8"/>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​66,945</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​60,836</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​90,246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3166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-1182370</wp:posOffset>
            </wp:positionV>
            <wp:extent cx="137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-1182370</wp:posOffset>
            </wp:positionV>
            <wp:extent cx="1371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-1182370</wp:posOffset>
            </wp:positionV>
            <wp:extent cx="137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revenues are presented based on the location of the customer receiving the service or goods. In 2025, no customer had a revenue share of more 10% individually of the total revenues.</w:t>
      </w:r>
    </w:p>
    <w:p>
      <w:pPr>
        <w:spacing w:after="0" w:line="94"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There are three customers in 2024 with a revenue share of more than 10% individually of the total revenues. The revenue with the first customer amounts to €7,866 thousand (2023: €17,649 thousand), €6,500 thousand for the second customer (2023: €16,361 thousand) and €6,232 thousand for the third</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customer (2023: €12,280 thousand). Revenue for these three customers is recognized within both the “Technical equipment and processes” and “Spare parts and services” operating segments.</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Non-current assets are distributed among geographical areas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880" w:type="dxa"/>
            <w:vAlign w:val="bottom"/>
            <w:gridSpan w:val="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w:t>
            </w: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250"/>
        </w:trPr>
        <w:tc>
          <w:tcPr>
            <w:tcW w:w="5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28,058</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25,833</w:t>
            </w:r>
          </w:p>
        </w:tc>
        <w:tc>
          <w:tcPr>
            <w:tcW w:w="8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tcPr>
          <w:p>
            <w:pPr>
              <w:spacing w:after="0"/>
              <w:rPr>
                <w:sz w:val="22"/>
                <w:szCs w:val="22"/>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2"/>
                <w:szCs w:val="22"/>
                <w:color w:val="auto"/>
              </w:rPr>
            </w:pPr>
          </w:p>
        </w:tc>
        <w:tc>
          <w:tcPr>
            <w:tcW w:w="580" w:type="dxa"/>
            <w:vAlign w:val="bottom"/>
            <w:gridSpan w:val="3"/>
          </w:tcPr>
          <w:p>
            <w:pPr>
              <w:jc w:val="right"/>
              <w:ind w:right="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29,495</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28,034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-693420</wp:posOffset>
            </wp:positionV>
            <wp:extent cx="137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-693420</wp:posOffset>
            </wp:positionV>
            <wp:extent cx="137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non-current assets include property, plant and equipment as well as intangible assets.</w:t>
      </w:r>
    </w:p>
    <w:p>
      <w:pPr>
        <w:spacing w:after="0" w:line="221" w:lineRule="exact"/>
        <w:rPr>
          <w:sz w:val="20"/>
          <w:szCs w:val="20"/>
          <w:color w:val="auto"/>
        </w:rPr>
      </w:pPr>
    </w:p>
    <w:p>
      <w:pPr>
        <w:ind w:left="1620" w:right="1979" w:hanging="360"/>
        <w:spacing w:after="0" w:line="341" w:lineRule="auto"/>
        <w:tabs>
          <w:tab w:leader="none" w:pos="151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AND COST OF SALES </w:t>
      </w:r>
      <w:r>
        <w:rPr>
          <w:rFonts w:ascii="Times New Roman" w:cs="Times New Roman" w:eastAsia="Times New Roman" w:hAnsi="Times New Roman"/>
          <w:sz w:val="18"/>
          <w:szCs w:val="18"/>
          <w:color w:val="auto"/>
        </w:rPr>
        <w:t>The split of SCHMID revenues according to types of sales categories is as follows:</w:t>
      </w:r>
    </w:p>
    <w:p>
      <w:pPr>
        <w:sectPr>
          <w:pgSz w:w="11900" w:h="16838" w:orient="portrait"/>
          <w:cols w:equalWidth="0" w:num="1">
            <w:col w:w="9879"/>
          </w:cols>
          <w:pgMar w:left="580" w:top="97" w:right="1440" w:bottom="1440" w:gutter="0" w:footer="0" w:header="0"/>
        </w:sectPr>
      </w:pP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Technical equipment and processes</w:t>
      </w:r>
      <w:r>
        <w:rPr>
          <w:rFonts w:ascii="Times New Roman" w:cs="Times New Roman" w:eastAsia="Times New Roman" w:hAnsi="Times New Roman"/>
          <w:sz w:val="23"/>
          <w:szCs w:val="23"/>
          <w:color w:val="auto"/>
          <w:vertAlign w:val="superscript"/>
        </w:rPr>
        <w:t>(1)</w:t>
      </w:r>
    </w:p>
    <w:p>
      <w:pPr>
        <w:spacing w:after="0" w:line="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Spare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Service</w:t>
      </w:r>
      <w:r>
        <w:rPr>
          <w:rFonts w:ascii="Times New Roman" w:cs="Times New Roman" w:eastAsia="Times New Roman" w:hAnsi="Times New Roman"/>
          <w:sz w:val="23"/>
          <w:szCs w:val="23"/>
          <w:color w:val="auto"/>
          <w:vertAlign w:val="superscript"/>
        </w:rPr>
        <w:t>(2)</w:t>
      </w:r>
    </w:p>
    <w:p>
      <w:pPr>
        <w:spacing w:after="0" w:line="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22225</wp:posOffset>
            </wp:positionV>
            <wp:extent cx="4749165"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105410</wp:posOffset>
            </wp:positionV>
            <wp:extent cx="12344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8"/>
        </w:trPr>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9"/>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​​54,446​​</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​​47,443​​</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​​77,554​</w:t>
            </w:r>
          </w:p>
        </w:tc>
      </w:tr>
      <w:tr>
        <w:trPr>
          <w:trHeight w:val="261"/>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7,767​​</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8,976​​</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9,722​</w:t>
            </w:r>
          </w:p>
        </w:tc>
      </w:tr>
      <w:tr>
        <w:trPr>
          <w:trHeight w:val="279"/>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4,117​​</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3,971​​</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1,781​</w:t>
            </w:r>
          </w:p>
        </w:tc>
      </w:tr>
      <w:tr>
        <w:trPr>
          <w:trHeight w:val="248"/>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ind w:right="40"/>
              <w:spacing w:after="0" w:line="247" w:lineRule="exact"/>
              <w:rPr>
                <w:sz w:val="20"/>
                <w:szCs w:val="20"/>
                <w:color w:val="auto"/>
              </w:rPr>
            </w:pPr>
            <w:r>
              <w:rPr>
                <w:rFonts w:ascii="Times New Roman" w:cs="Times New Roman" w:eastAsia="Times New Roman" w:hAnsi="Times New Roman"/>
                <w:sz w:val="15"/>
                <w:szCs w:val="15"/>
                <w:color w:val="auto"/>
              </w:rPr>
              <w:t>615</w:t>
            </w:r>
            <w:r>
              <w:rPr>
                <w:rFonts w:ascii="Times New Roman" w:cs="Times New Roman" w:eastAsia="Times New Roman" w:hAnsi="Times New Roman"/>
                <w:sz w:val="28"/>
                <w:szCs w:val="28"/>
                <w:color w:val="auto"/>
                <w:vertAlign w:val="subscript"/>
              </w:rPr>
              <w:t>​​</w:t>
            </w:r>
          </w:p>
        </w:tc>
        <w:tc>
          <w:tcPr>
            <w:tcW w:w="160" w:type="dxa"/>
            <w:vAlign w:val="bottom"/>
          </w:tcPr>
          <w:p>
            <w:pPr>
              <w:ind w:left="2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60" w:type="dxa"/>
            <w:vAlign w:val="bottom"/>
            <w:gridSpan w:val="2"/>
          </w:tcPr>
          <w:p>
            <w:pPr>
              <w:jc w:val="right"/>
              <w:ind w:right="40"/>
              <w:spacing w:after="0" w:line="247" w:lineRule="exact"/>
              <w:rPr>
                <w:sz w:val="20"/>
                <w:szCs w:val="20"/>
                <w:color w:val="auto"/>
              </w:rPr>
            </w:pPr>
            <w:r>
              <w:rPr>
                <w:rFonts w:ascii="Times New Roman" w:cs="Times New Roman" w:eastAsia="Times New Roman" w:hAnsi="Times New Roman"/>
                <w:sz w:val="15"/>
                <w:szCs w:val="15"/>
                <w:color w:val="auto"/>
              </w:rPr>
              <w:t>446</w:t>
            </w:r>
            <w:r>
              <w:rPr>
                <w:rFonts w:ascii="Times New Roman" w:cs="Times New Roman" w:eastAsia="Times New Roman" w:hAnsi="Times New Roman"/>
                <w:sz w:val="28"/>
                <w:szCs w:val="28"/>
                <w:color w:val="auto"/>
                <w:vertAlign w:val="subscript"/>
              </w:rPr>
              <w:t>​​</w:t>
            </w:r>
          </w:p>
        </w:tc>
        <w:tc>
          <w:tcPr>
            <w:tcW w:w="640" w:type="dxa"/>
            <w:vAlign w:val="bottom"/>
            <w:gridSpan w:val="3"/>
          </w:tcPr>
          <w:p>
            <w:pPr>
              <w:ind w:left="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1,189</w:t>
            </w:r>
            <w:r>
              <w:rPr>
                <w:rFonts w:ascii="Times New Roman" w:cs="Times New Roman" w:eastAsia="Times New Roman" w:hAnsi="Times New Roman"/>
                <w:sz w:val="28"/>
                <w:szCs w:val="28"/>
                <w:color w:val="auto"/>
                <w:vertAlign w:val="subscript"/>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​66,945</w:t>
            </w:r>
            <w:r>
              <w:rPr>
                <w:rFonts w:ascii="Times New Roman" w:cs="Times New Roman" w:eastAsia="Times New Roman" w:hAnsi="Times New Roman"/>
                <w:sz w:val="30"/>
                <w:szCs w:val="30"/>
                <w:b w:val="1"/>
                <w:bCs w:val="1"/>
                <w:color w:val="auto"/>
                <w:vertAlign w:val="subscript"/>
              </w:rPr>
              <w:t>​​</w:t>
            </w:r>
          </w:p>
        </w:tc>
        <w:tc>
          <w:tcPr>
            <w:tcW w:w="720" w:type="dxa"/>
            <w:vAlign w:val="bottom"/>
            <w:gridSpan w:val="3"/>
          </w:tcPr>
          <w:p>
            <w:pPr>
              <w:ind w:left="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​60,836</w:t>
            </w:r>
            <w:r>
              <w:rPr>
                <w:rFonts w:ascii="Times New Roman" w:cs="Times New Roman" w:eastAsia="Times New Roman" w:hAnsi="Times New Roman"/>
                <w:sz w:val="30"/>
                <w:szCs w:val="30"/>
                <w:b w:val="1"/>
                <w:bCs w:val="1"/>
                <w:color w:val="auto"/>
                <w:vertAlign w:val="subscript"/>
              </w:rPr>
              <w:t>​​</w:t>
            </w:r>
          </w:p>
        </w:tc>
        <w:tc>
          <w:tcPr>
            <w:tcW w:w="640" w:type="dxa"/>
            <w:vAlign w:val="bottom"/>
            <w:gridSpan w:val="3"/>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​90,246</w:t>
            </w:r>
            <w:r>
              <w:rPr>
                <w:rFonts w:ascii="Times New Roman" w:cs="Times New Roman" w:eastAsia="Times New Roman" w:hAnsi="Times New Roman"/>
                <w:sz w:val="30"/>
                <w:szCs w:val="30"/>
                <w:b w:val="1"/>
                <w:bCs w:val="1"/>
                <w:color w:val="auto"/>
                <w:vertAlign w:val="subscript"/>
              </w:rPr>
              <w:t>​</w:t>
            </w: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2959"/>
          </w:cols>
          <w:pgMar w:left="580" w:top="97" w:right="1440" w:bottom="1440" w:gutter="0" w:footer="0" w:header="0"/>
          <w:type w:val="continuous"/>
        </w:sectPr>
      </w:pPr>
    </w:p>
    <w:p>
      <w:pPr>
        <w:spacing w:after="0" w:line="38" w:lineRule="exact"/>
        <w:rPr>
          <w:sz w:val="20"/>
          <w:szCs w:val="20"/>
          <w:color w:val="auto"/>
        </w:rPr>
      </w:pPr>
    </w:p>
    <w:p>
      <w:pPr>
        <w:ind w:left="1620" w:right="1059" w:hanging="360"/>
        <w:spacing w:after="0" w:line="282"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“Technical equipment and processes” category is revenue from the sale and installation of machines, long-term development and extended warranties.</w:t>
      </w:r>
    </w:p>
    <w:p>
      <w:pPr>
        <w:spacing w:after="0" w:line="26" w:lineRule="exact"/>
        <w:rPr>
          <w:rFonts w:ascii="Times New Roman" w:cs="Times New Roman" w:eastAsia="Times New Roman" w:hAnsi="Times New Roman"/>
          <w:sz w:val="18"/>
          <w:szCs w:val="18"/>
          <w:color w:val="auto"/>
        </w:rPr>
      </w:pPr>
    </w:p>
    <w:p>
      <w:pPr>
        <w:ind w:left="1620" w:right="559" w:hanging="360"/>
        <w:spacing w:after="0" w:line="282"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“Services” category is revenue from repair services, installations of modifications and inspections.</w:t>
      </w:r>
    </w:p>
    <w:p>
      <w:pPr>
        <w:spacing w:after="0" w:line="81"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w:t>
      </w:r>
    </w:p>
    <w:p>
      <w:pPr>
        <w:spacing w:after="0" w:line="11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Changes to contract liabilities for years ended December 31, 2025 and 2024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w:t>
            </w:r>
          </w:p>
        </w:tc>
        <w:tc>
          <w:tcPr>
            <w:tcW w:w="8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154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11,284​​ ​​ 17,931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2"/>
        </w:trPr>
        <w:tc>
          <w:tcPr>
            <w:tcW w:w="5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Sales revenues included in contractual liabilities at the beginning of the period</w:t>
            </w:r>
          </w:p>
        </w:tc>
        <w:tc>
          <w:tcPr>
            <w:tcW w:w="980" w:type="dxa"/>
            <w:vAlign w:val="bottom"/>
            <w:gridSpan w:val="4"/>
          </w:tcPr>
          <w:p>
            <w:pPr>
              <w:ind w:left="200"/>
              <w:spacing w:after="0" w:line="202" w:lineRule="exact"/>
              <w:rPr>
                <w:sz w:val="20"/>
                <w:szCs w:val="20"/>
                <w:color w:val="auto"/>
              </w:rPr>
            </w:pPr>
            <w:r>
              <w:rPr>
                <w:rFonts w:ascii="Times New Roman" w:cs="Times New Roman" w:eastAsia="Times New Roman" w:hAnsi="Times New Roman"/>
                <w:sz w:val="18"/>
                <w:szCs w:val="18"/>
                <w:color w:val="auto"/>
              </w:rPr>
              <w:t>(11,153)</w:t>
            </w:r>
          </w:p>
        </w:tc>
        <w:tc>
          <w:tcPr>
            <w:tcW w:w="6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(17,769)</w:t>
            </w:r>
          </w:p>
        </w:tc>
      </w:tr>
      <w:tr>
        <w:trPr>
          <w:trHeight w:val="54"/>
        </w:trPr>
        <w:tc>
          <w:tcPr>
            <w:tcW w:w="5940" w:type="dxa"/>
            <w:vAlign w:val="bottom"/>
          </w:tcPr>
          <w:p>
            <w:pPr>
              <w:spacing w:after="0"/>
              <w:rPr>
                <w:sz w:val="4"/>
                <w:szCs w:val="4"/>
                <w:color w:val="auto"/>
              </w:rPr>
            </w:pPr>
          </w:p>
        </w:tc>
        <w:tc>
          <w:tcPr>
            <w:tcW w:w="68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860" w:type="dxa"/>
            <w:vAlign w:val="bottom"/>
            <w:gridSpan w:val="3"/>
          </w:tcPr>
          <w:p>
            <w:pPr>
              <w:jc w:val="center"/>
              <w:ind w:right="359"/>
              <w:spacing w:after="0" w:line="54" w:lineRule="exact"/>
              <w:rPr>
                <w:sz w:val="20"/>
                <w:szCs w:val="20"/>
                <w:color w:val="auto"/>
              </w:rPr>
            </w:pPr>
            <w:r>
              <w:rPr>
                <w:rFonts w:ascii="Times New Roman" w:cs="Times New Roman" w:eastAsia="Times New Roman" w:hAnsi="Times New Roman"/>
                <w:sz w:val="6"/>
                <w:szCs w:val="6"/>
                <w:color w:val="auto"/>
              </w:rPr>
              <w:t>​​ ​​</w:t>
            </w: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due to customer payments received</w:t>
            </w:r>
          </w:p>
        </w:tc>
        <w:tc>
          <w:tcPr>
            <w:tcW w:w="1540" w:type="dxa"/>
            <w:vAlign w:val="bottom"/>
            <w:gridSpan w:val="5"/>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​13,425</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11,121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600" w:type="dxa"/>
            <w:vAlign w:val="bottom"/>
            <w:gridSpan w:val="6"/>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​13,555</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11,284</w:t>
            </w:r>
            <w:r>
              <w:rPr>
                <w:rFonts w:ascii="Times New Roman" w:cs="Times New Roman" w:eastAsia="Times New Roman" w:hAnsi="Times New Roman"/>
                <w:sz w:val="30"/>
                <w:szCs w:val="30"/>
                <w:b w:val="1"/>
                <w:bCs w:val="1"/>
                <w:color w:val="auto"/>
                <w:vertAlign w:val="subscript"/>
              </w:rPr>
              <w:t>​</w:t>
            </w:r>
          </w:p>
        </w:tc>
      </w:tr>
      <w:tr>
        <w:trPr>
          <w:trHeight w:val="20"/>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-693420</wp:posOffset>
            </wp:positionV>
            <wp:extent cx="1289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-693420</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At the end of fiscal year 2025, the Order Backlog for the machine sales amounts to €50,886 thousand (December 31, 2024: €27,713 thousand,December 31, 2023: €48,651 thousand). All order backlog is expected to be realized within 12 months.</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99" w:firstLine="360"/>
        <w:spacing w:after="0" w:line="297" w:lineRule="auto"/>
        <w:rPr>
          <w:sz w:val="20"/>
          <w:szCs w:val="20"/>
          <w:color w:val="auto"/>
        </w:rPr>
      </w:pPr>
      <w:r>
        <w:rPr>
          <w:rFonts w:ascii="Times New Roman" w:cs="Times New Roman" w:eastAsia="Times New Roman" w:hAnsi="Times New Roman"/>
          <w:sz w:val="18"/>
          <w:szCs w:val="18"/>
          <w:color w:val="auto"/>
        </w:rPr>
        <w:t>Order Backlog represents the goods or services contractually committed by customers but not delivered/​provided as of the date of the statement of financial position.</w:t>
      </w:r>
    </w:p>
    <w:p>
      <w:pPr>
        <w:sectPr>
          <w:pgSz w:w="11900" w:h="16838" w:orient="portrait"/>
          <w:cols w:equalWidth="0" w:num="1">
            <w:col w:w="9879"/>
          </w:cols>
          <w:pgMar w:left="580" w:top="97" w:right="1440" w:bottom="1440" w:gutter="0" w:footer="0" w:header="0"/>
        </w:sectPr>
      </w:pP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SCHMID’s cost of sales include the following cost types: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Personnel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Material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Depreciation/amortization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cost of sales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right="699"/>
        <w:spacing w:after="0"/>
        <w:tabs>
          <w:tab w:leader="none" w:pos="160" w:val="left"/>
          <w:tab w:leader="none" w:pos="180" w:val="left"/>
          <w:tab w:leader="none" w:pos="160" w:val="left"/>
          <w:tab w:leader="none" w:pos="180" w:val="left"/>
          <w:tab w:leader="none" w:pos="160" w:val="left"/>
          <w:tab w:leader="none" w:pos="1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2025</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81" w:lineRule="exact"/>
        <w:rPr>
          <w:sz w:val="20"/>
          <w:szCs w:val="20"/>
          <w:color w:val="auto"/>
        </w:rPr>
      </w:pPr>
    </w:p>
    <w:p>
      <w:pPr>
        <w:ind w:left="160" w:hanging="116"/>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​​(17,983​​) ​​(17,545​​) ​​(16,690​)</w:t>
      </w:r>
    </w:p>
    <w:p>
      <w:pPr>
        <w:spacing w:after="0" w:line="54" w:lineRule="exact"/>
        <w:rPr>
          <w:rFonts w:ascii="Times New Roman" w:cs="Times New Roman" w:eastAsia="Times New Roman" w:hAnsi="Times New Roman"/>
          <w:sz w:val="18"/>
          <w:szCs w:val="18"/>
          <w:color w:val="auto"/>
        </w:rPr>
      </w:pPr>
    </w:p>
    <w:p>
      <w:pPr>
        <w:ind w:left="160" w:hanging="116"/>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​​(24,911​​) ​​(21,821​​) ​​(35,767​)</w:t>
      </w:r>
    </w:p>
    <w:p>
      <w:pPr>
        <w:spacing w:after="0" w:line="49" w:lineRule="exact"/>
        <w:rPr>
          <w:rFonts w:ascii="Times New Roman" w:cs="Times New Roman" w:eastAsia="Times New Roman" w:hAnsi="Times New Roman"/>
          <w:sz w:val="18"/>
          <w:szCs w:val="18"/>
          <w:color w:val="auto"/>
        </w:rPr>
      </w:pPr>
    </w:p>
    <w:p>
      <w:pPr>
        <w:ind w:left="160" w:hanging="116"/>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(3,006​​) ​​ (5,209​​) ​​ (4,904​)</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(5,028)</w:t>
            </w: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(4,217)</w:t>
            </w:r>
          </w:p>
        </w:tc>
        <w:tc>
          <w:tcPr>
            <w:tcW w:w="1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(6,488)</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4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ind w:left="26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ind w:left="260"/>
              <w:spacing w:after="0" w:line="68" w:lineRule="exact"/>
              <w:rPr>
                <w:sz w:val="20"/>
                <w:szCs w:val="20"/>
                <w:color w:val="auto"/>
              </w:rPr>
            </w:pPr>
            <w:r>
              <w:rPr>
                <w:rFonts w:ascii="Times New Roman" w:cs="Times New Roman" w:eastAsia="Times New Roman" w:hAnsi="Times New Roman"/>
                <w:sz w:val="7"/>
                <w:szCs w:val="7"/>
                <w:color w:val="auto"/>
              </w:rPr>
              <w:t>​​</w:t>
            </w:r>
          </w:p>
        </w:tc>
        <w:tc>
          <w:tcPr>
            <w:tcW w:w="6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​(50,928)</w:t>
            </w:r>
          </w:p>
        </w:tc>
        <w:tc>
          <w:tcPr>
            <w:tcW w:w="80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​(48,791)</w:t>
            </w:r>
          </w:p>
        </w:tc>
        <w:tc>
          <w:tcPr>
            <w:tcW w:w="100" w:type="dxa"/>
            <w:vAlign w:val="bottom"/>
          </w:tcPr>
          <w:p>
            <w:pPr>
              <w:spacing w:after="0"/>
              <w:rPr>
                <w:sz w:val="17"/>
                <w:szCs w:val="17"/>
                <w:color w:val="auto"/>
              </w:rPr>
            </w:pPr>
          </w:p>
        </w:tc>
        <w:tc>
          <w:tcPr>
            <w:tcW w:w="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​(63,849)</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40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0" w:type="dxa"/>
            <w:vAlign w:val="bottom"/>
            <w:gridSpan w:val="2"/>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0" w:type="dxa"/>
            <w:vAlign w:val="bottom"/>
            <w:gridSpan w:val="2"/>
          </w:tcPr>
          <w:p>
            <w:pPr>
              <w:ind w:left="26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00" w:space="720"/>
            <w:col w:w="3159"/>
          </w:cols>
          <w:pgMar w:left="580" w:top="97" w:right="1440" w:bottom="1440" w:gutter="0" w:footer="0" w:header="0"/>
          <w:type w:val="continuous"/>
        </w:sectPr>
      </w:pPr>
    </w:p>
    <w:p>
      <w:pPr>
        <w:spacing w:after="0" w:line="3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Other expenses include a variety of positions such as cost for outward freight, production-related short-term leases and facility costs.</w:t>
      </w:r>
    </w:p>
    <w:p>
      <w:pPr>
        <w:sectPr>
          <w:pgSz w:w="11900" w:h="16838" w:orient="portrait"/>
          <w:cols w:equalWidth="0" w:num="1">
            <w:col w:w="9879"/>
          </w:cols>
          <w:pgMar w:left="580" w:top="97" w:right="1440" w:bottom="1440" w:gutter="0" w:footer="0" w:header="0"/>
          <w:type w:val="continuous"/>
        </w:sectPr>
      </w:pP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8. SELLING EXPENSES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Selling expenses consist of the following:</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Personnel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and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Commission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Distribution related external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Advertisement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selling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w w:val="98"/>
              </w:rPr>
              <w:t>(8,938)</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(8,720)</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(8,295)</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6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6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(449)</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(528)</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6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6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(462)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(1,309)</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6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6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(741)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(747)</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6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6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(595)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(678)</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76"/>
        </w:trPr>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6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gridSpan w:val="2"/>
            <w:vMerge w:val="continue"/>
          </w:tcPr>
          <w:p>
            <w:pPr>
              <w:spacing w:after="0"/>
              <w:rPr>
                <w:sz w:val="6"/>
                <w:szCs w:val="6"/>
                <w:color w:val="auto"/>
              </w:rPr>
            </w:pPr>
          </w:p>
        </w:tc>
        <w:tc>
          <w:tcPr>
            <w:tcW w:w="6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(913)</w:t>
            </w:r>
          </w:p>
        </w:tc>
        <w:tc>
          <w:tcPr>
            <w:tcW w:w="160" w:type="dxa"/>
            <w:vAlign w:val="bottom"/>
          </w:tcPr>
          <w:p>
            <w:pPr>
              <w:spacing w:after="0"/>
              <w:rPr>
                <w:sz w:val="15"/>
                <w:szCs w:val="15"/>
                <w:color w:val="auto"/>
              </w:rPr>
            </w:pPr>
          </w:p>
        </w:tc>
        <w:tc>
          <w:tcPr>
            <w:tcW w:w="5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4"/>
              </w:rPr>
              <w:t>​ (1,021)</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6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​(11,999)</w:t>
            </w:r>
          </w:p>
        </w:tc>
        <w:tc>
          <w:tcPr>
            <w:tcW w:w="100" w:type="dxa"/>
            <w:vAlign w:val="bottom"/>
          </w:tcPr>
          <w:p>
            <w:pPr>
              <w:spacing w:after="0"/>
              <w:rPr>
                <w:sz w:val="17"/>
                <w:szCs w:val="17"/>
                <w:color w:val="auto"/>
              </w:rPr>
            </w:pPr>
          </w:p>
        </w:tc>
        <w:tc>
          <w:tcPr>
            <w:tcW w:w="70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​(12,895)</w:t>
            </w:r>
          </w:p>
        </w:tc>
        <w:tc>
          <w:tcPr>
            <w:tcW w:w="16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7"/>
              </w:rPr>
              <w:t>​(12,577)</w:t>
            </w:r>
          </w:p>
        </w:tc>
        <w:tc>
          <w:tcPr>
            <w:tcW w:w="0" w:type="dxa"/>
            <w:vAlign w:val="bottom"/>
          </w:tcPr>
          <w:p>
            <w:pPr>
              <w:spacing w:after="0"/>
              <w:rPr>
                <w:sz w:val="1"/>
                <w:szCs w:val="1"/>
                <w:color w:val="auto"/>
              </w:rPr>
            </w:pPr>
          </w:p>
        </w:tc>
      </w:tr>
      <w:tr>
        <w:trPr>
          <w:trHeight w:val="68"/>
        </w:trPr>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00" w:space="720"/>
            <w:col w:w="3159"/>
          </w:cols>
          <w:pgMar w:left="580" w:top="97" w:right="1440" w:bottom="1440" w:gutter="0" w:footer="0" w:header="0"/>
          <w:type w:val="continuous"/>
        </w:sectPr>
      </w:pPr>
    </w:p>
    <w:p>
      <w:pPr>
        <w:spacing w:after="0" w:line="38"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Distribution-related external administration comprises costs including utilities, insurance, travel expenses or expenses for short-term leases. Other expenses include mainly depreciation.</w:t>
      </w:r>
    </w:p>
    <w:p>
      <w:pPr>
        <w:spacing w:after="0" w:line="81"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Sales Commission expenses in 2024 include €900 thousand compensation from a settlement agreement with a former sales agent.</w:t>
      </w:r>
    </w:p>
    <w:p>
      <w:pPr>
        <w:sectPr>
          <w:pgSz w:w="11900" w:h="16838" w:orient="portrait"/>
          <w:cols w:equalWidth="0" w:num="1">
            <w:col w:w="9879"/>
          </w:cols>
          <w:pgMar w:left="580" w:top="97" w:right="1440" w:bottom="1440" w:gutter="0" w:footer="0" w:header="0"/>
          <w:type w:val="continuous"/>
        </w:sectPr>
      </w:pP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9. GENERAL ADMINISTRATION EXPENSES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administrative expenses consist of the following:</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Personnel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and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External administrative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administrative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tabs>
          <w:tab w:leader="none" w:pos="340" w:val="left"/>
          <w:tab w:leader="none" w:pos="820" w:val="left"/>
          <w:tab w:leader="none" w:pos="1120" w:val="left"/>
          <w:tab w:leader="none" w:pos="1600" w:val="left"/>
          <w:tab w:leader="none" w:pos="1920" w:val="left"/>
          <w:tab w:leader="none" w:pos="23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2025</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81" w:lineRule="exact"/>
        <w:rPr>
          <w:sz w:val="20"/>
          <w:szCs w:val="20"/>
          <w:color w:val="auto"/>
        </w:rPr>
      </w:pPr>
    </w:p>
    <w:p>
      <w:pPr>
        <w:ind w:left="160" w:hanging="109"/>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(4,451​​) ​​ (4,344​​) ​​ (4,131​)</w:t>
      </w:r>
    </w:p>
    <w:p>
      <w:pPr>
        <w:spacing w:after="0" w:line="54" w:lineRule="exact"/>
        <w:rPr>
          <w:rFonts w:ascii="Times New Roman" w:cs="Times New Roman" w:eastAsia="Times New Roman" w:hAnsi="Times New Roman"/>
          <w:sz w:val="18"/>
          <w:szCs w:val="18"/>
          <w:color w:val="auto"/>
        </w:rPr>
      </w:pPr>
    </w:p>
    <w:p>
      <w:pPr>
        <w:ind w:left="160" w:hanging="109"/>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(3,391​​) ​​ (4,567​​) ​​ (4,401​)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(2,333)</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(1,716)</w:t>
            </w: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vMerge w:val="continue"/>
          </w:tcPr>
          <w:p>
            <w:pPr>
              <w:spacing w:after="0"/>
              <w:rPr>
                <w:sz w:val="6"/>
                <w:szCs w:val="6"/>
                <w:color w:val="auto"/>
              </w:rPr>
            </w:pPr>
          </w:p>
        </w:tc>
        <w:tc>
          <w:tcPr>
            <w:tcW w:w="62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 (1,229)</w:t>
            </w:r>
          </w:p>
        </w:tc>
        <w:tc>
          <w:tcPr>
            <w:tcW w:w="780" w:type="dxa"/>
            <w:vAlign w:val="bottom"/>
            <w:gridSpan w:val="3"/>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 (1,165)</w:t>
            </w:r>
          </w:p>
        </w:tc>
        <w:tc>
          <w:tcPr>
            <w:tcW w:w="100" w:type="dxa"/>
            <w:vAlign w:val="bottom"/>
          </w:tcPr>
          <w:p>
            <w:pPr>
              <w:spacing w:after="0"/>
              <w:rPr>
                <w:sz w:val="15"/>
                <w:szCs w:val="15"/>
                <w:color w:val="auto"/>
              </w:rPr>
            </w:pPr>
          </w:p>
        </w:tc>
        <w:tc>
          <w:tcPr>
            <w:tcW w:w="62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 (3,042)</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6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​(11,404)</w:t>
            </w:r>
          </w:p>
        </w:tc>
        <w:tc>
          <w:tcPr>
            <w:tcW w:w="7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​(11,792)</w:t>
            </w:r>
          </w:p>
        </w:tc>
        <w:tc>
          <w:tcPr>
            <w:tcW w:w="10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​(12,538)</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2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4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20" w:space="720"/>
            <w:col w:w="3139"/>
          </w:cols>
          <w:pgMar w:left="580" w:top="97" w:right="1440" w:bottom="1440" w:gutter="0" w:footer="0" w:header="0"/>
          <w:type w:val="continuous"/>
        </w:sectPr>
      </w:pPr>
    </w:p>
    <w:p>
      <w:pPr>
        <w:spacing w:after="0" w:line="38" w:lineRule="exact"/>
        <w:rPr>
          <w:sz w:val="20"/>
          <w:szCs w:val="20"/>
          <w:color w:val="auto"/>
        </w:rPr>
      </w:pPr>
    </w:p>
    <w:p>
      <w:pPr>
        <w:ind w:left="1260" w:right="459" w:firstLine="360"/>
        <w:spacing w:after="0" w:line="272" w:lineRule="auto"/>
        <w:rPr>
          <w:sz w:val="20"/>
          <w:szCs w:val="20"/>
          <w:color w:val="auto"/>
        </w:rPr>
      </w:pPr>
      <w:r>
        <w:rPr>
          <w:rFonts w:ascii="Times New Roman" w:cs="Times New Roman" w:eastAsia="Times New Roman" w:hAnsi="Times New Roman"/>
          <w:sz w:val="18"/>
          <w:szCs w:val="18"/>
          <w:color w:val="auto"/>
        </w:rPr>
        <w:t>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RESEARCH AND DEVELOPMENT EXPENSES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R&amp;D expenses that do not fulfill the recognition criteria according to IAS 38 consist of the following:</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Personnel expenses</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700" w:type="dxa"/>
            <w:vAlign w:val="bottom"/>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5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(1,504</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38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Depreciation/amortization</w:t>
            </w:r>
          </w:p>
        </w:tc>
        <w:tc>
          <w:tcPr>
            <w:tcW w:w="820" w:type="dxa"/>
            <w:vAlign w:val="bottom"/>
            <w:gridSpan w:val="4"/>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(1,294)</w:t>
            </w:r>
          </w:p>
        </w:tc>
        <w:tc>
          <w:tcPr>
            <w:tcW w:w="700" w:type="dxa"/>
            <w:vAlign w:val="bottom"/>
            <w:gridSpan w:val="4"/>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(1,423)</w:t>
            </w:r>
          </w:p>
        </w:tc>
        <w:tc>
          <w:tcPr>
            <w:tcW w:w="64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30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Legal and consulting fees</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(587</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38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R&amp;D related external administration</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0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research and development expenses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(283)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3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gridSpan w:val="4"/>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gridSpan w:val="4"/>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220" w:type="dxa"/>
            <w:vAlign w:val="bottom"/>
          </w:tcPr>
          <w:p>
            <w:pPr>
              <w:spacing w:after="0"/>
              <w:rPr>
                <w:sz w:val="17"/>
                <w:szCs w:val="17"/>
                <w:color w:val="auto"/>
              </w:rPr>
            </w:pPr>
          </w:p>
        </w:tc>
        <w:tc>
          <w:tcPr>
            <w:tcW w:w="60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​(2,781)</w:t>
            </w:r>
          </w:p>
        </w:tc>
        <w:tc>
          <w:tcPr>
            <w:tcW w:w="100" w:type="dxa"/>
            <w:vAlign w:val="bottom"/>
          </w:tcPr>
          <w:p>
            <w:pPr>
              <w:spacing w:after="0"/>
              <w:rPr>
                <w:sz w:val="17"/>
                <w:szCs w:val="17"/>
                <w:color w:val="auto"/>
              </w:rPr>
            </w:pPr>
          </w:p>
        </w:tc>
        <w:tc>
          <w:tcPr>
            <w:tcW w:w="60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​(3,974)</w:t>
            </w:r>
          </w:p>
        </w:tc>
        <w:tc>
          <w:tcPr>
            <w:tcW w:w="12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​(5,148)</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3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700" w:type="dxa"/>
            <w:vAlign w:val="bottom"/>
            <w:gridSpan w:val="4"/>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700" w:type="dxa"/>
            <w:vAlign w:val="bottom"/>
            <w:gridSpan w:val="4"/>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-1019175</wp:posOffset>
            </wp:positionV>
            <wp:extent cx="137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-1019175</wp:posOffset>
            </wp:positionV>
            <wp:extent cx="137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-1019175</wp:posOffset>
            </wp:positionV>
            <wp:extent cx="137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R&amp;D related external administration comprises allocated costs such as utilities, insurance, travel expenses or expenses for short-term leases.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OTHER INCOME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income consists of the following:</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 ​</w:t>
            </w: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r>
      <w:tr>
        <w:trPr>
          <w:trHeight w:val="20"/>
        </w:trPr>
        <w:tc>
          <w:tcPr>
            <w:tcW w:w="5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SES transaction</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​​3,703​​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212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 5,923​​ ​​5,315​​ ​​ 3,815​</w:t>
            </w:r>
          </w:p>
        </w:tc>
      </w:tr>
      <w:tr>
        <w:trPr>
          <w:trHeight w:val="257"/>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gains</w:t>
            </w:r>
          </w:p>
        </w:tc>
        <w:tc>
          <w:tcPr>
            <w:tcW w:w="100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6,294​​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2,969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Bonus payments</w:t>
            </w:r>
          </w:p>
        </w:tc>
        <w:tc>
          <w:tcPr>
            <w:tcW w:w="3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700" w:type="dxa"/>
            <w:vAlign w:val="bottom"/>
            <w:gridSpan w:val="2"/>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1120" w:type="dxa"/>
            <w:vAlign w:val="bottom"/>
            <w:gridSpan w:val="5"/>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9,200</w:t>
            </w:r>
            <w:r>
              <w:rPr>
                <w:rFonts w:ascii="Times New Roman" w:cs="Times New Roman" w:eastAsia="Times New Roman" w:hAnsi="Times New Roman"/>
                <w:sz w:val="31"/>
                <w:szCs w:val="31"/>
                <w:color w:val="auto"/>
                <w:vertAlign w:val="subscript"/>
              </w:rPr>
              <w:t>​</w:t>
            </w:r>
          </w:p>
        </w:tc>
      </w:tr>
      <w:tr>
        <w:trPr>
          <w:trHeight w:val="20"/>
        </w:trPr>
        <w:tc>
          <w:tcPr>
            <w:tcW w:w="5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080" w:type="dxa"/>
            <w:vAlign w:val="bottom"/>
            <w:gridSpan w:val="8"/>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​12,217</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​9,018</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​15,985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4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316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-856615</wp:posOffset>
            </wp:positionV>
            <wp:extent cx="137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-856615</wp:posOffset>
            </wp:positionV>
            <wp:extent cx="137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-856615</wp:posOffset>
            </wp:positionV>
            <wp:extent cx="137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miscellaneous income in 2025 includes government grants related to income in an amount of</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€381 thousand as well as income from the derecognition of €4,988 thousand liabilities that were waived by</w:t>
      </w:r>
    </w:p>
    <w:p>
      <w:pPr>
        <w:ind w:left="1260"/>
        <w:spacing w:after="0"/>
        <w:rPr>
          <w:sz w:val="20"/>
          <w:szCs w:val="20"/>
          <w:color w:val="auto"/>
        </w:rPr>
      </w:pPr>
      <w:r>
        <w:rPr>
          <w:rFonts w:ascii="Times New Roman" w:cs="Times New Roman" w:eastAsia="Times New Roman" w:hAnsi="Times New Roman"/>
          <w:sz w:val="18"/>
          <w:szCs w:val="18"/>
          <w:color w:val="auto"/>
        </w:rPr>
        <w:t>shareholders in 2025. For further detail refer to note 29. Non-current and current financial liabilities.</w:t>
      </w:r>
    </w:p>
    <w:p>
      <w:pPr>
        <w:spacing w:after="0" w:line="124"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foreign currency gains for the financial year ended December 31, 2025 are mainly related to USD denominated liabilities.</w:t>
      </w:r>
    </w:p>
    <w:p>
      <w:pPr>
        <w:spacing w:after="0" w:line="95"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As of January 1, 2024, SCHMID acquired the remaining shares in the former at-equity participation SES. The majority of the shares have been transferred to a third-party investor in 2024 resulting in a gain of €3,703 thousand. For further detail refer to note 35. Equity method investments.</w:t>
      </w:r>
    </w:p>
    <w:p>
      <w:pPr>
        <w:spacing w:after="0" w:line="108"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Other miscellaneous income for the financial year ended December 31, 2024 includes income of the derecognition of liabilities as they have expired due to the statute of limitations at the amount of</w:t>
      </w: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€2,194 thousand, government grants related to income amounting to €550 thousand and research allowances under the Act on Tax Incentives for Research and Development (Research Allowance Act — FZulG) amounting to €319 thousand.</w:t>
      </w:r>
    </w:p>
    <w:p>
      <w:pPr>
        <w:spacing w:after="0" w:line="11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w:t>
      </w:r>
    </w:p>
    <w:p>
      <w:pPr>
        <w:spacing w:after="0" w:line="10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 Silicon Group was a related party of SCHMID and controlled by Christian Schmid (hereinafter referred to as “CS”), one of the owners of SCHMID. The proceeds from the sale of the Silicon Group were, among other things, used to repay the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shareholder loan between CS and SCHMID. The proceeds from the shareholder loan were used to repay certain borrowings of SCHMID.</w:t>
      </w:r>
    </w:p>
    <w:p>
      <w:pPr>
        <w:spacing w:after="0" w:line="40" w:lineRule="exact"/>
        <w:rPr>
          <w:sz w:val="20"/>
          <w:szCs w:val="20"/>
          <w:color w:val="auto"/>
        </w:rPr>
      </w:pPr>
    </w:p>
    <w:p>
      <w:pPr>
        <w:ind w:left="1800" w:right="57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receivables from the Silicon Group which had been impaired in 2017 by SCHMID became recoverable as a result of the SPA resulting in an impairment reversal of €21,375 thousand.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as part of the SPA, certain liabilities of the Silicon Group due to SCHMID were settled with the transfer of shares of Group14 to SCHMID valued at €17,664 thousand.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9"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agreement reached between CS, the Silicon Group and SCHMID in 2021, SCHMID was granted a bonus payment (hereinafter referred to as “Silicon exit bonus”) to be paid upon a successful sale of the Silicon Group to a third party. The Silicon exit bonus of €4,700 thousand was determined based on 5% of the net proceeds (after repayment of third-party debt) received from a sale.</w:t>
      </w:r>
    </w:p>
    <w:p>
      <w:pPr>
        <w:spacing w:after="0" w:line="281" w:lineRule="exact"/>
        <w:rPr>
          <w:rFonts w:ascii="Times New Roman" w:cs="Times New Roman" w:eastAsia="Times New Roman" w:hAnsi="Times New Roman"/>
          <w:sz w:val="18"/>
          <w:szCs w:val="18"/>
          <w:color w:val="auto"/>
        </w:rPr>
      </w:pPr>
    </w:p>
    <w:p>
      <w:pPr>
        <w:ind w:left="1800" w:right="161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CS repaid the shareholder loan to SCHMID with a total cash amount of €70,000 thousand.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credit loss of €1,418 thousand was therefore reversed.</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other part is an exit bonus related to Montratec. In 2018, the Company sold one of its subsidiaries, Montratec GmbH, to Montratec Sarl. The underlying stock purchase agreement included a clause on potential exit events, which requires Montratec Sarl to pay SCHMID up to €4,500 thousand (hereinafter referred to as “Montratec exit bonus”) upon a future exit of Montratec Sarl from Montratec GmbH. Additionally, SCHMID entered into a guarantee agreement with Schmid Grundstücke GmbH&amp; Co. KG (referred to as “SGG”), an entity jointly controlled by shareholders of SCHMID, wherein SGG would reimburse the difference between the exit sale consideration actually received from Montratec Sarl and €4,500 thousand (hereinafter referred to as “Montratec guarantee”) in the event that the exit sale consideration is below €4,500 thousand. As a remuneration for this guarantee, SCHMID was required to pay SGG an amount equal to 1.5% p.a. of the €4,500 thousand per year until an exit event would occur. SCHMID was informed in April 2023 about this exit event, i.e. that Montratec GmbH was sold by Montratec Sarl in April 2023 which resulted in an exit bonus of €3,954 thousand being owed by Montratec Sarl to SCHMID and €546 thousand being owed by SGG. The bonus from Montratec has been received in cash during 2023, the payment from SGG has been netted with payables of SCHMID against SGG.</w:t>
      </w:r>
    </w:p>
    <w:p>
      <w:pPr>
        <w:sectPr>
          <w:pgSz w:w="11900" w:h="16838" w:orient="portrait"/>
          <w:cols w:equalWidth="0" w:num="1">
            <w:col w:w="9879"/>
          </w:cols>
          <w:pgMar w:left="580" w:top="97" w:right="1440" w:bottom="1440" w:gutter="0" w:footer="0" w:header="0"/>
        </w:sectPr>
      </w:pP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OTHER EXPENSES</w:t>
      </w:r>
    </w:p>
    <w:p>
      <w:pPr>
        <w:spacing w:after="0" w:line="148" w:lineRule="exact"/>
        <w:rPr>
          <w:sz w:val="20"/>
          <w:szCs w:val="20"/>
          <w:color w:val="auto"/>
        </w:rPr>
      </w:pPr>
    </w:p>
    <w:p>
      <w:pPr>
        <w:jc w:val="right"/>
        <w:ind w:right="1760"/>
        <w:spacing w:after="0"/>
        <w:rPr>
          <w:sz w:val="20"/>
          <w:szCs w:val="20"/>
          <w:color w:val="auto"/>
        </w:rPr>
      </w:pPr>
      <w:r>
        <w:rPr>
          <w:rFonts w:ascii="Times New Roman" w:cs="Times New Roman" w:eastAsia="Times New Roman" w:hAnsi="Times New Roman"/>
          <w:sz w:val="18"/>
          <w:szCs w:val="18"/>
          <w:color w:val="auto"/>
        </w:rPr>
        <w:t>Other expenses consist of the following:</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Foreign currency losses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on disposal of assets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Miscellaneous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other expenses</w:t>
      </w: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SHARE LISTING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860" w:val="left"/>
          <w:tab w:leader="none" w:pos="1300" w:val="left"/>
          <w:tab w:leader="none" w:pos="15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2024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p>
      <w:pPr>
        <w:spacing w:after="0" w:line="81" w:lineRule="exact"/>
        <w:rPr>
          <w:sz w:val="20"/>
          <w:szCs w:val="20"/>
          <w:color w:val="auto"/>
        </w:rPr>
      </w:pPr>
    </w:p>
    <w:p>
      <w:pPr>
        <w:ind w:left="160" w:hanging="118"/>
        <w:spacing w:after="0"/>
        <w:tabs>
          <w:tab w:leader="none" w:pos="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​​(2,347​​) ​​(2,388​)</w:t>
      </w:r>
    </w:p>
    <w:p>
      <w:pPr>
        <w:spacing w:after="0" w:line="54" w:lineRule="exact"/>
        <w:rPr>
          <w:rFonts w:ascii="Times New Roman" w:cs="Times New Roman" w:eastAsia="Times New Roman" w:hAnsi="Times New Roman"/>
          <w:sz w:val="18"/>
          <w:szCs w:val="18"/>
          <w:color w:val="auto"/>
        </w:rPr>
      </w:pPr>
    </w:p>
    <w:p>
      <w:pPr>
        <w:ind w:left="160" w:hanging="118"/>
        <w:spacing w:after="0"/>
        <w:tabs>
          <w:tab w:leader="none" w:pos="1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 ​​ (130​​) ​​ (166​)</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400" w:type="dxa"/>
            <w:vAlign w:val="bottom"/>
            <w:gridSpan w:val="2"/>
          </w:tcPr>
          <w:p>
            <w:pPr>
              <w:jc w:val="right"/>
              <w:ind w:right="20"/>
              <w:spacing w:after="0" w:line="76" w:lineRule="exact"/>
              <w:rPr>
                <w:sz w:val="20"/>
                <w:szCs w:val="20"/>
                <w:color w:val="auto"/>
              </w:rPr>
            </w:pPr>
            <w:r>
              <w:rPr>
                <w:rFonts w:ascii="Times New Roman" w:cs="Times New Roman" w:eastAsia="Times New Roman" w:hAnsi="Times New Roman"/>
                <w:sz w:val="8"/>
                <w:szCs w:val="8"/>
                <w:color w:val="auto"/>
              </w:rPr>
              <w:t>​​</w:t>
            </w:r>
          </w:p>
        </w:tc>
        <w:tc>
          <w:tcPr>
            <w:tcW w:w="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ind w:right="60"/>
              <w:spacing w:after="0" w:line="181" w:lineRule="exact"/>
              <w:rPr>
                <w:sz w:val="20"/>
                <w:szCs w:val="20"/>
                <w:color w:val="auto"/>
              </w:rPr>
            </w:pPr>
            <w:r>
              <w:rPr>
                <w:rFonts w:ascii="Times New Roman" w:cs="Times New Roman" w:eastAsia="Times New Roman" w:hAnsi="Times New Roman"/>
                <w:sz w:val="18"/>
                <w:szCs w:val="18"/>
                <w:color w:val="auto"/>
              </w:rPr>
              <w:t>​ (44)</w:t>
            </w:r>
          </w:p>
        </w:tc>
        <w:tc>
          <w:tcPr>
            <w:tcW w:w="24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8"/>
              <w:spacing w:after="0" w:line="181" w:lineRule="exact"/>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4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3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​(607)</w:t>
            </w:r>
          </w:p>
        </w:tc>
        <w:tc>
          <w:tcPr>
            <w:tcW w:w="700" w:type="dxa"/>
            <w:vAlign w:val="bottom"/>
            <w:gridSpan w:val="4"/>
          </w:tcPr>
          <w:p>
            <w:pPr>
              <w:jc w:val="right"/>
              <w:ind w:right="8"/>
              <w:spacing w:after="0" w:line="196" w:lineRule="exact"/>
              <w:rPr>
                <w:sz w:val="20"/>
                <w:szCs w:val="20"/>
                <w:color w:val="auto"/>
              </w:rPr>
            </w:pPr>
            <w:r>
              <w:rPr>
                <w:rFonts w:ascii="Times New Roman" w:cs="Times New Roman" w:eastAsia="Times New Roman" w:hAnsi="Times New Roman"/>
                <w:sz w:val="18"/>
                <w:szCs w:val="18"/>
                <w:b w:val="1"/>
                <w:bCs w:val="1"/>
                <w:color w:val="auto"/>
              </w:rPr>
              <w:t>​(2,564)</w:t>
            </w:r>
          </w:p>
        </w:tc>
        <w:tc>
          <w:tcPr>
            <w:tcW w:w="12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​(2,620)</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6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4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4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4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4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6420" w:space="720"/>
            <w:col w:w="2739"/>
          </w:cols>
          <w:pgMar w:left="580" w:top="97" w:right="1440" w:bottom="1440" w:gutter="0" w:footer="0" w:header="0"/>
          <w:type w:val="continuous"/>
        </w:sect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contributed, represents a non-cash expense in accordance with IFRS 2. This one-time expense as a result of the Pegasus Merger, in the amount of €71.6 million, is recognized as Share listing expense within the Consolidated Statement of Profit or Loss. Details of the calculation of the Share listing expense are as follows:</w:t>
      </w:r>
    </w:p>
    <w:p>
      <w:pPr>
        <w:sectPr>
          <w:pgSz w:w="11900" w:h="16838" w:orient="portrait"/>
          <w:cols w:equalWidth="0" w:num="1">
            <w:col w:w="9879"/>
          </w:cols>
          <w:pgMar w:left="580" w:top="97" w:right="1440" w:bottom="1440" w:gutter="0" w:footer="0" w:header="0"/>
        </w:sectPr>
      </w:pPr>
    </w:p>
    <w:p>
      <w:pPr>
        <w:spacing w:after="0" w:line="3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 to be issued by TopCo to Pegasus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Pegasus closing price as of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Fair value of shares deemed issued (AxB)</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Pegasus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Excess of Fair value of shares over Pegasus’s net assets acquired (C – D)</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7"/>
        <w:spacing w:after="0"/>
        <w:tabs>
          <w:tab w:leader="none" w:pos="607" w:val="left"/>
        </w:tabs>
        <w:rPr>
          <w:sz w:val="20"/>
          <w:szCs w:val="20"/>
          <w:color w:val="auto"/>
        </w:rPr>
      </w:pPr>
      <w:r>
        <w:rPr>
          <w:rFonts w:ascii="Times New Roman" w:cs="Times New Roman" w:eastAsia="Times New Roman" w:hAnsi="Times New Roman"/>
          <w:sz w:val="14"/>
          <w:szCs w:val="14"/>
          <w:b w:val="1"/>
          <w:bCs w:val="1"/>
          <w:color w:val="auto"/>
        </w:rPr>
        <w:t>​ ​ ​ ​ ​</w:t>
      </w:r>
      <w:r>
        <w:rPr>
          <w:sz w:val="20"/>
          <w:szCs w:val="20"/>
          <w:color w:val="auto"/>
        </w:rPr>
        <w:tab/>
      </w:r>
      <w:r>
        <w:rPr>
          <w:rFonts w:ascii="Times New Roman" w:cs="Times New Roman" w:eastAsia="Times New Roman" w:hAnsi="Times New Roman"/>
          <w:sz w:val="26"/>
          <w:szCs w:val="26"/>
          <w:b w:val="1"/>
          <w:bCs w:val="1"/>
          <w:color w:val="auto"/>
          <w:vertAlign w:val="superscript"/>
        </w:rPr>
        <w:t xml:space="preserve">2024  </w:t>
      </w:r>
      <w:r>
        <w:rPr>
          <w:rFonts w:ascii="Times New Roman" w:cs="Times New Roman" w:eastAsia="Times New Roman" w:hAnsi="Times New Roman"/>
          <w:sz w:val="26"/>
          <w:szCs w:val="26"/>
          <w:b w:val="1"/>
          <w:bCs w:val="1"/>
          <w:color w:val="auto"/>
        </w:rPr>
        <w:t>​</w:t>
      </w:r>
    </w:p>
    <w:p>
      <w:pPr>
        <w:ind w:left="7"/>
        <w:spacing w:after="0"/>
        <w:rPr>
          <w:sz w:val="20"/>
          <w:szCs w:val="20"/>
          <w:color w:val="auto"/>
        </w:rPr>
      </w:pPr>
      <w:r>
        <w:rPr>
          <w:rFonts w:ascii="Times New Roman" w:cs="Times New Roman" w:eastAsia="Times New Roman" w:hAnsi="Times New Roman"/>
          <w:sz w:val="18"/>
          <w:szCs w:val="18"/>
          <w:color w:val="auto"/>
        </w:rPr>
        <w:t>​ ​A ​ ​​ 7,087​</w:t>
      </w:r>
    </w:p>
    <w:p>
      <w:pPr>
        <w:spacing w:after="0" w:line="34" w:lineRule="exact"/>
        <w:rPr>
          <w:sz w:val="20"/>
          <w:szCs w:val="20"/>
          <w:color w:val="auto"/>
        </w:rPr>
      </w:pPr>
    </w:p>
    <w:p>
      <w:pPr>
        <w:ind w:left="7"/>
        <w:spacing w:after="0"/>
        <w:tabs>
          <w:tab w:leader="none" w:pos="687" w:val="left"/>
        </w:tabs>
        <w:rPr>
          <w:sz w:val="20"/>
          <w:szCs w:val="20"/>
          <w:color w:val="auto"/>
        </w:rPr>
      </w:pPr>
      <w:r>
        <w:rPr>
          <w:rFonts w:ascii="Times New Roman" w:cs="Times New Roman" w:eastAsia="Times New Roman" w:hAnsi="Times New Roman"/>
          <w:sz w:val="18"/>
          <w:szCs w:val="18"/>
          <w:color w:val="auto"/>
        </w:rPr>
        <w:t>​ ​B ​ ​​</w:t>
        <w:tab/>
        <w:t>9.61​</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 ​C ​ ​​68.106​</w:t>
      </w:r>
    </w:p>
    <w:p>
      <w:pPr>
        <w:ind w:left="107" w:hanging="107"/>
        <w:spacing w:after="0" w:line="185" w:lineRule="auto"/>
        <w:tabs>
          <w:tab w:leader="none" w:pos="107" w:val="left"/>
        </w:tabs>
        <w:numPr>
          <w:ilvl w:val="0"/>
          <w:numId w:val="9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​(3,529</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36"/>
          <w:szCs w:val="36"/>
          <w:color w:val="auto"/>
          <w:vertAlign w:val="subscript"/>
        </w:rPr>
      </w:pPr>
    </w:p>
    <w:p>
      <w:pPr>
        <w:ind w:left="107" w:hanging="107"/>
        <w:spacing w:after="0"/>
        <w:tabs>
          <w:tab w:leader="none" w:pos="107"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r>
        <w:rPr>
          <w:rFonts w:ascii="Times New Roman" w:cs="Times New Roman" w:eastAsia="Times New Roman" w:hAnsi="Times New Roman"/>
          <w:sz w:val="35"/>
          <w:szCs w:val="35"/>
          <w:b w:val="1"/>
          <w:bCs w:val="1"/>
          <w:u w:val="single" w:color="auto"/>
          <w:color w:val="auto"/>
          <w:vertAlign w:val="superscript"/>
        </w:rPr>
        <w:t>​71,630</w:t>
      </w:r>
      <w:r>
        <w:rPr>
          <w:rFonts w:ascii="Times New Roman" w:cs="Times New Roman" w:eastAsia="Times New Roman" w:hAnsi="Times New Roman"/>
          <w:sz w:val="18"/>
          <w:szCs w:val="18"/>
          <w:b w:val="1"/>
          <w:bCs w:val="1"/>
          <w:color w:val="auto"/>
        </w:rPr>
        <w:t>​</w:t>
      </w:r>
    </w:p>
    <w:p>
      <w:pPr>
        <w:spacing w:after="0" w:line="76" w:lineRule="exact"/>
        <w:rPr>
          <w:sz w:val="20"/>
          <w:szCs w:val="20"/>
          <w:color w:val="auto"/>
        </w:rPr>
      </w:pPr>
    </w:p>
    <w:p>
      <w:pPr>
        <w:sectPr>
          <w:pgSz w:w="11900" w:h="16838" w:orient="portrait"/>
          <w:cols w:equalWidth="0" w:num="2">
            <w:col w:w="7353" w:space="720"/>
            <w:col w:w="1806"/>
          </w:cols>
          <w:pgMar w:left="580" w:top="97" w:right="1440" w:bottom="1440" w:gutter="0" w:footer="0" w:header="0"/>
          <w:type w:val="continuous"/>
        </w:sect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14. IMPAIRMENT REVERSAL OF FINANCIAL ASSETS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Reversals of impairments of financial assets includes the following amounts: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340" w:type="dxa"/>
            <w:vAlign w:val="bottom"/>
            <w:gridSpan w:val="6"/>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r>
      <w:tr>
        <w:trPr>
          <w:trHeight w:val="20"/>
        </w:trPr>
        <w:tc>
          <w:tcPr>
            <w:tcW w:w="57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receivables from the Silicon Group</w:t>
            </w:r>
          </w:p>
        </w:tc>
        <w:tc>
          <w:tcPr>
            <w:tcW w:w="1760" w:type="dxa"/>
            <w:vAlign w:val="bottom"/>
            <w:gridSpan w:val="7"/>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​​21,375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Reversal of impairment of shareholder loan (included in trade and other</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182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1,418​</w:t>
            </w:r>
          </w:p>
        </w:tc>
      </w:tr>
      <w:tr>
        <w:trPr>
          <w:trHeight w:val="27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20</w:t>
            </w:r>
          </w:p>
        </w:tc>
        <w:tc>
          <w:tcPr>
            <w:tcW w:w="360" w:type="dxa"/>
            <w:vAlign w:val="bottom"/>
            <w:tcBorders>
              <w:left w:val="single" w:sz="8" w:color="CCEEFF"/>
            </w:tcBorders>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line="270" w:lineRule="exact"/>
              <w:rPr>
                <w:sz w:val="20"/>
                <w:szCs w:val="20"/>
                <w:color w:val="auto"/>
              </w:rPr>
            </w:pP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25"/>
                <w:szCs w:val="25"/>
                <w:color w:val="auto"/>
                <w:w w:val="71"/>
                <w:vertAlign w:val="superscript"/>
              </w:rPr>
              <w:t>)</w:t>
            </w:r>
          </w:p>
        </w:tc>
      </w:tr>
      <w:tr>
        <w:trPr>
          <w:trHeight w:val="20"/>
        </w:trPr>
        <w:tc>
          <w:tcPr>
            <w:tcW w:w="57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4"/>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w:t>
            </w:r>
            <w:r>
              <w:rPr>
                <w:rFonts w:ascii="Times New Roman" w:cs="Times New Roman" w:eastAsia="Times New Roman" w:hAnsi="Times New Roman"/>
                <w:sz w:val="16"/>
                <w:szCs w:val="16"/>
                <w:b w:val="1"/>
                <w:bCs w:val="1"/>
                <w:color w:val="auto"/>
              </w:rPr>
              <w:t xml:space="preserve"> ​​ ​ ​</w:t>
            </w:r>
            <w:r>
              <w:rPr>
                <w:rFonts w:ascii="Times New Roman" w:cs="Times New Roman" w:eastAsia="Times New Roman" w:hAnsi="Times New Roman"/>
                <w:sz w:val="30"/>
                <w:szCs w:val="30"/>
                <w:b w:val="1"/>
                <w:bCs w:val="1"/>
                <w:color w:val="auto"/>
                <w:vertAlign w:val="superscript"/>
              </w:rPr>
              <w:t>20</w:t>
            </w:r>
          </w:p>
        </w:tc>
        <w:tc>
          <w:tcPr>
            <w:tcW w:w="840" w:type="dxa"/>
            <w:vAlign w:val="bottom"/>
            <w:gridSpan w:val="4"/>
          </w:tcPr>
          <w:p>
            <w:pPr>
              <w:ind w:left="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​22,696</w:t>
            </w:r>
            <w:r>
              <w:rPr>
                <w:rFonts w:ascii="Times New Roman" w:cs="Times New Roman" w:eastAsia="Times New Roman" w:hAnsi="Times New Roman"/>
                <w:sz w:val="30"/>
                <w:szCs w:val="30"/>
                <w:b w:val="1"/>
                <w:bCs w:val="1"/>
                <w:color w:val="auto"/>
                <w:vertAlign w:val="subscript"/>
              </w:rPr>
              <w:t>​</w:t>
            </w:r>
          </w:p>
        </w:tc>
      </w:tr>
      <w:tr>
        <w:trPr>
          <w:trHeight w:val="20"/>
        </w:trPr>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-831215</wp:posOffset>
            </wp:positionV>
            <wp:extent cx="137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-831215</wp:posOffset>
            </wp:positionV>
            <wp:extent cx="137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-831215</wp:posOffset>
            </wp:positionV>
            <wp:extent cx="137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15. FINANCIAL RESULT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result includes the following:</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300" w:type="dxa"/>
            <w:vAlign w:val="bottom"/>
            <w:gridSpan w:val="2"/>
            <w:shd w:val="clear" w:color="auto" w:fill="CCEEFF"/>
          </w:tcPr>
          <w:p>
            <w:pPr>
              <w:ind w:left="60"/>
              <w:spacing w:after="0" w:line="276"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2"/>
                <w:szCs w:val="32"/>
                <w:b w:val="1"/>
                <w:bCs w:val="1"/>
                <w:color w:val="auto"/>
                <w:vertAlign w:val="superscript"/>
              </w:rPr>
              <w:t>​</w:t>
            </w:r>
          </w:p>
        </w:tc>
        <w:tc>
          <w:tcPr>
            <w:tcW w:w="640" w:type="dxa"/>
            <w:vAlign w:val="bottom"/>
            <w:gridSpan w:val="2"/>
            <w:shd w:val="clear" w:color="auto" w:fill="CCEEFF"/>
          </w:tcPr>
          <w:p>
            <w:pPr>
              <w:jc w:val="right"/>
              <w:ind w:right="40"/>
              <w:spacing w:after="0" w:line="276" w:lineRule="exact"/>
              <w:rPr>
                <w:sz w:val="20"/>
                <w:szCs w:val="20"/>
                <w:color w:val="auto"/>
              </w:rPr>
            </w:pPr>
            <w:r>
              <w:rPr>
                <w:rFonts w:ascii="Times New Roman" w:cs="Times New Roman" w:eastAsia="Times New Roman" w:hAnsi="Times New Roman"/>
                <w:sz w:val="17"/>
                <w:szCs w:val="17"/>
                <w:b w:val="1"/>
                <w:bCs w:val="1"/>
                <w:color w:val="auto"/>
              </w:rPr>
              <w:t>66</w:t>
            </w:r>
            <w:r>
              <w:rPr>
                <w:rFonts w:ascii="Times New Roman" w:cs="Times New Roman" w:eastAsia="Times New Roman" w:hAnsi="Times New Roman"/>
                <w:sz w:val="32"/>
                <w:szCs w:val="32"/>
                <w:b w:val="1"/>
                <w:bCs w:val="1"/>
                <w:color w:val="auto"/>
                <w:vertAlign w:val="subscript"/>
              </w:rPr>
              <w:t>​​</w:t>
            </w:r>
          </w:p>
        </w:tc>
        <w:tc>
          <w:tcPr>
            <w:tcW w:w="700" w:type="dxa"/>
            <w:vAlign w:val="bottom"/>
            <w:gridSpan w:val="3"/>
            <w:shd w:val="clear" w:color="auto" w:fill="CCEEFF"/>
          </w:tcPr>
          <w:p>
            <w:pPr>
              <w:ind w:left="2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​1,888</w:t>
            </w:r>
            <w:r>
              <w:rPr>
                <w:rFonts w:ascii="Times New Roman" w:cs="Times New Roman" w:eastAsia="Times New Roman" w:hAnsi="Times New Roman"/>
                <w:sz w:val="32"/>
                <w:szCs w:val="32"/>
                <w:b w:val="1"/>
                <w:bCs w:val="1"/>
                <w:color w:val="auto"/>
                <w:vertAlign w:val="subscript"/>
              </w:rPr>
              <w:t>​​</w:t>
            </w:r>
          </w:p>
        </w:tc>
        <w:tc>
          <w:tcPr>
            <w:tcW w:w="660" w:type="dxa"/>
            <w:vAlign w:val="bottom"/>
            <w:gridSpan w:val="3"/>
            <w:shd w:val="clear" w:color="auto" w:fill="CCEEFF"/>
          </w:tcPr>
          <w:p>
            <w:pPr>
              <w:ind w:left="2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19,685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fair value changes of warrants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1,028​​</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thereof interest income and similar proceeds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gain from loan extinguishment</w:t>
            </w:r>
          </w:p>
        </w:tc>
        <w:tc>
          <w:tcPr>
            <w:tcW w:w="30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640" w:type="dxa"/>
            <w:vAlign w:val="bottom"/>
            <w:gridSpan w:val="2"/>
          </w:tcPr>
          <w:p>
            <w:pPr>
              <w:jc w:val="right"/>
              <w:ind w:right="4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160" w:type="dxa"/>
            <w:vAlign w:val="bottom"/>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w:t>
            </w:r>
          </w:p>
        </w:tc>
        <w:tc>
          <w:tcPr>
            <w:tcW w:w="540" w:type="dxa"/>
            <w:vAlign w:val="bottom"/>
            <w:gridSpan w:val="2"/>
          </w:tcPr>
          <w:p>
            <w:pPr>
              <w:jc w:val="right"/>
              <w:ind w:right="4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720" w:type="dxa"/>
            <w:vAlign w:val="bottom"/>
            <w:gridSpan w:val="4"/>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15,802</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9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​​(72,244​​)</w:t>
            </w:r>
          </w:p>
        </w:tc>
        <w:tc>
          <w:tcPr>
            <w:tcW w:w="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​​(5,712​​)</w:t>
            </w: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fair value changes of warrants and derivatives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(25,920​​)</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thereof modification loss XJ Harbour Set-off agreement</w:t>
            </w:r>
          </w:p>
        </w:tc>
        <w:tc>
          <w:tcPr>
            <w:tcW w:w="9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(34,337​​)</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change in estimate XJ host liability</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thereof interest portion of lease payments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16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thereof interest expense</w:t>
            </w:r>
          </w:p>
        </w:tc>
        <w:tc>
          <w:tcPr>
            <w:tcW w:w="2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(2,951)</w:t>
            </w:r>
          </w:p>
        </w:tc>
        <w:tc>
          <w:tcPr>
            <w:tcW w:w="16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3"/>
              </w:rPr>
              <w:t>​(5,071)</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(9,988)</w:t>
            </w:r>
          </w:p>
        </w:tc>
        <w:tc>
          <w:tcPr>
            <w:tcW w:w="0" w:type="dxa"/>
            <w:vAlign w:val="bottom"/>
          </w:tcPr>
          <w:p>
            <w:pPr>
              <w:spacing w:after="0"/>
              <w:rPr>
                <w:sz w:val="1"/>
                <w:szCs w:val="1"/>
                <w:color w:val="auto"/>
              </w:rPr>
            </w:pPr>
          </w:p>
        </w:tc>
      </w:tr>
      <w:tr>
        <w:trPr>
          <w:trHeight w:val="68"/>
        </w:trPr>
        <w:tc>
          <w:tcPr>
            <w:tcW w:w="5180" w:type="dxa"/>
            <w:vAlign w:val="bottom"/>
          </w:tcPr>
          <w:p>
            <w:pPr>
              <w:spacing w:after="0"/>
              <w:rPr>
                <w:sz w:val="5"/>
                <w:szCs w:val="5"/>
                <w:color w:val="auto"/>
              </w:rPr>
            </w:pPr>
          </w:p>
        </w:tc>
        <w:tc>
          <w:tcPr>
            <w:tcW w:w="3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6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result</w:t>
            </w:r>
          </w:p>
        </w:tc>
        <w:tc>
          <w:tcPr>
            <w:tcW w:w="24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​(72,178)</w:t>
            </w:r>
          </w:p>
        </w:tc>
        <w:tc>
          <w:tcPr>
            <w:tcW w:w="160" w:type="dxa"/>
            <w:vAlign w:val="bottom"/>
            <w:tcBorders>
              <w:right w:val="single" w:sz="8" w:color="CCEEFF"/>
            </w:tcBorders>
            <w:shd w:val="clear" w:color="auto" w:fill="CCEEFF"/>
          </w:tcPr>
          <w:p>
            <w:pPr>
              <w:spacing w:after="0"/>
              <w:rPr>
                <w:sz w:val="19"/>
                <w:szCs w:val="19"/>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3"/>
              </w:rPr>
              <w:t>​(3,824)</w:t>
            </w: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180" w:type="dxa"/>
            <w:vAlign w:val="bottom"/>
            <w:shd w:val="clear" w:color="auto" w:fill="CCEEFF"/>
          </w:tcPr>
          <w:p>
            <w:pPr>
              <w:spacing w:after="0"/>
              <w:rPr>
                <w:sz w:val="5"/>
                <w:szCs w:val="5"/>
                <w:color w:val="auto"/>
              </w:rPr>
            </w:pPr>
          </w:p>
        </w:tc>
        <w:tc>
          <w:tcPr>
            <w:tcW w:w="30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6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60" w:type="dxa"/>
            <w:vAlign w:val="bottom"/>
            <w:tcBorders>
              <w:right w:val="single" w:sz="8" w:color="CCEEFF"/>
            </w:tcBorders>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4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891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-1165225</wp:posOffset>
            </wp:positionV>
            <wp:extent cx="43891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-1851025</wp:posOffset>
            </wp:positionV>
            <wp:extent cx="137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-1851025</wp:posOffset>
            </wp:positionV>
            <wp:extent cx="137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-1851025</wp:posOffset>
            </wp:positionV>
            <wp:extent cx="137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00" w:firstLine="360"/>
        <w:spacing w:after="0" w:line="258" w:lineRule="auto"/>
        <w:rPr>
          <w:sz w:val="20"/>
          <w:szCs w:val="20"/>
          <w:color w:val="auto"/>
        </w:rPr>
      </w:pPr>
      <w:r>
        <w:rPr>
          <w:rFonts w:ascii="Times New Roman" w:cs="Times New Roman" w:eastAsia="Times New Roman" w:hAnsi="Times New Roman"/>
          <w:sz w:val="18"/>
          <w:szCs w:val="18"/>
          <w:color w:val="auto"/>
        </w:rPr>
        <w:t>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w:t>
      </w:r>
    </w:p>
    <w:p>
      <w:pPr>
        <w:spacing w:after="0" w:line="102" w:lineRule="exact"/>
        <w:rPr>
          <w:sz w:val="20"/>
          <w:szCs w:val="20"/>
          <w:color w:val="auto"/>
        </w:rPr>
      </w:pPr>
    </w:p>
    <w:p>
      <w:pPr>
        <w:ind w:left="1260" w:right="1360" w:firstLine="360"/>
        <w:spacing w:after="0" w:line="266" w:lineRule="auto"/>
        <w:rPr>
          <w:sz w:val="20"/>
          <w:szCs w:val="20"/>
          <w:color w:val="auto"/>
        </w:rPr>
      </w:pPr>
      <w:r>
        <w:rPr>
          <w:rFonts w:ascii="Times New Roman" w:cs="Times New Roman" w:eastAsia="Times New Roman" w:hAnsi="Times New Roman"/>
          <w:sz w:val="18"/>
          <w:szCs w:val="18"/>
          <w:color w:val="auto"/>
        </w:rPr>
        <w:t>For the modification loss XJ Harbour Set-off agreement see note 29. Non-current and current financial liabilities.</w:t>
      </w:r>
    </w:p>
    <w:p>
      <w:pPr>
        <w:spacing w:after="0" w:line="95" w:lineRule="exact"/>
        <w:rPr>
          <w:sz w:val="20"/>
          <w:szCs w:val="20"/>
          <w:color w:val="auto"/>
        </w:rPr>
      </w:pPr>
    </w:p>
    <w:p>
      <w:pPr>
        <w:ind w:left="1260" w:right="1260" w:firstLine="360"/>
        <w:spacing w:after="0" w:line="282" w:lineRule="auto"/>
        <w:rPr>
          <w:sz w:val="20"/>
          <w:szCs w:val="20"/>
          <w:color w:val="auto"/>
        </w:rPr>
      </w:pPr>
      <w:r>
        <w:rPr>
          <w:rFonts w:ascii="Times New Roman" w:cs="Times New Roman" w:eastAsia="Times New Roman" w:hAnsi="Times New Roman"/>
          <w:sz w:val="18"/>
          <w:szCs w:val="18"/>
          <w:color w:val="auto"/>
        </w:rPr>
        <w:t>Interest income includes in 2023 the interest received on loans, mainly the shareholder loan. For further information on the extinguishment, see note 29. Non-current and current financial liabilities.</w:t>
      </w:r>
    </w:p>
    <w:p>
      <w:pPr>
        <w:spacing w:after="0" w:line="81" w:lineRule="exact"/>
        <w:rPr>
          <w:sz w:val="20"/>
          <w:szCs w:val="20"/>
          <w:color w:val="auto"/>
        </w:rPr>
      </w:pPr>
    </w:p>
    <w:p>
      <w:pPr>
        <w:ind w:left="1260" w:right="1900" w:firstLine="360"/>
        <w:spacing w:after="0" w:line="266" w:lineRule="auto"/>
        <w:rPr>
          <w:sz w:val="20"/>
          <w:szCs w:val="20"/>
          <w:color w:val="auto"/>
        </w:rPr>
      </w:pPr>
      <w:r>
        <w:rPr>
          <w:rFonts w:ascii="Times New Roman" w:cs="Times New Roman" w:eastAsia="Times New Roman" w:hAnsi="Times New Roman"/>
          <w:sz w:val="18"/>
          <w:szCs w:val="18"/>
          <w:color w:val="auto"/>
        </w:rPr>
        <w:t>Interest expenses are mainly resulting from financial liabilities and are recognized based on the effective interest method and the additional payment for the debt fund during 2023.</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16. PROFIT (LOSS) IN EQUITY METHOD INVESTMENTS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loss in 2025 result from the share of loss from the equity method investee located in Germany.</w:t>
      </w:r>
    </w:p>
    <w:p>
      <w:pPr>
        <w:spacing w:after="0" w:line="158" w:lineRule="exact"/>
        <w:rPr>
          <w:sz w:val="20"/>
          <w:szCs w:val="20"/>
          <w:color w:val="auto"/>
        </w:rPr>
      </w:pPr>
    </w:p>
    <w:p>
      <w:pPr>
        <w:ind w:left="1260" w:right="1400" w:firstLine="360"/>
        <w:spacing w:after="0" w:line="250" w:lineRule="auto"/>
        <w:rPr>
          <w:sz w:val="20"/>
          <w:szCs w:val="20"/>
          <w:color w:val="auto"/>
        </w:rPr>
      </w:pPr>
      <w:r>
        <w:rPr>
          <w:rFonts w:ascii="Times New Roman" w:cs="Times New Roman" w:eastAsia="Times New Roman" w:hAnsi="Times New Roman"/>
          <w:sz w:val="18"/>
          <w:szCs w:val="18"/>
          <w:color w:val="auto"/>
        </w:rPr>
        <w:t>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Income taxes recognized in the Consolidated Statement of Profit or Loss and Other Comprehensive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Income are as follows:</w:t>
      </w:r>
    </w:p>
    <w:p>
      <w:pPr>
        <w:spacing w:after="0" w:line="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3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4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income tax (expense) / income</w:t>
            </w:r>
          </w:p>
        </w:tc>
        <w:tc>
          <w:tcPr>
            <w:tcW w:w="30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416</w:t>
            </w:r>
          </w:p>
        </w:tc>
        <w:tc>
          <w:tcPr>
            <w:tcW w:w="28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(372)</w:t>
            </w:r>
          </w:p>
        </w:tc>
        <w:tc>
          <w:tcPr>
            <w:tcW w:w="5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(1,044</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5440" w:type="dxa"/>
            <w:vAlign w:val="bottom"/>
            <w:shd w:val="clear" w:color="auto" w:fill="CCEEFF"/>
          </w:tcPr>
          <w:p>
            <w:pPr>
              <w:spacing w:after="0"/>
              <w:rPr>
                <w:sz w:val="4"/>
                <w:szCs w:val="4"/>
                <w:color w:val="auto"/>
              </w:rPr>
            </w:pPr>
          </w:p>
        </w:tc>
        <w:tc>
          <w:tcPr>
            <w:tcW w:w="300" w:type="dxa"/>
            <w:vAlign w:val="bottom"/>
            <w:tcBorders>
              <w:right w:val="single" w:sz="8" w:color="CCEEFF"/>
            </w:tcBorders>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vMerge w:val="continue"/>
            <w:shd w:val="clear" w:color="auto" w:fill="CCEEFF"/>
          </w:tcPr>
          <w:p>
            <w:pPr>
              <w:spacing w:after="0"/>
              <w:rPr>
                <w:sz w:val="4"/>
                <w:szCs w:val="4"/>
                <w:color w:val="auto"/>
              </w:rPr>
            </w:pPr>
          </w:p>
        </w:tc>
        <w:tc>
          <w:tcPr>
            <w:tcW w:w="660" w:type="dxa"/>
            <w:vAlign w:val="bottom"/>
            <w:tcBorders>
              <w:right w:val="single" w:sz="8" w:color="CCEEFF"/>
            </w:tcBorders>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54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thereof prior years</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66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Deferred income tax (expense) / income</w:t>
            </w:r>
          </w:p>
        </w:tc>
        <w:tc>
          <w:tcPr>
            <w:tcW w:w="30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gridSpan w:val="2"/>
            <w:shd w:val="clear" w:color="auto" w:fill="CCEEFF"/>
          </w:tcPr>
          <w:p>
            <w:pPr>
              <w:jc w:val="right"/>
              <w:ind w:right="16"/>
              <w:spacing w:after="0" w:line="202" w:lineRule="exact"/>
              <w:rPr>
                <w:sz w:val="20"/>
                <w:szCs w:val="20"/>
                <w:color w:val="auto"/>
              </w:rPr>
            </w:pPr>
            <w:r>
              <w:rPr>
                <w:rFonts w:ascii="Times New Roman" w:cs="Times New Roman" w:eastAsia="Times New Roman" w:hAnsi="Times New Roman"/>
                <w:sz w:val="18"/>
                <w:szCs w:val="18"/>
                <w:b w:val="1"/>
                <w:bCs w:val="1"/>
                <w:color w:val="auto"/>
              </w:rPr>
              <w:t>(375)</w:t>
            </w:r>
          </w:p>
        </w:tc>
        <w:tc>
          <w:tcPr>
            <w:tcW w:w="5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1,864</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(1,735</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54"/>
        </w:trPr>
        <w:tc>
          <w:tcPr>
            <w:tcW w:w="5440" w:type="dxa"/>
            <w:vAlign w:val="bottom"/>
            <w:shd w:val="clear" w:color="auto" w:fill="CCEEFF"/>
          </w:tcPr>
          <w:p>
            <w:pPr>
              <w:spacing w:after="0"/>
              <w:rPr>
                <w:sz w:val="4"/>
                <w:szCs w:val="4"/>
                <w:color w:val="auto"/>
              </w:rPr>
            </w:pPr>
          </w:p>
        </w:tc>
        <w:tc>
          <w:tcPr>
            <w:tcW w:w="300" w:type="dxa"/>
            <w:vAlign w:val="bottom"/>
            <w:tcBorders>
              <w:right w:val="single" w:sz="8" w:color="CCEEFF"/>
            </w:tcBorders>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8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660" w:type="dxa"/>
            <w:vAlign w:val="bottom"/>
            <w:tcBorders>
              <w:right w:val="single" w:sz="8" w:color="CCEEFF"/>
            </w:tcBorders>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b w:val="1"/>
                <w:bCs w:val="1"/>
                <w:color w:val="auto"/>
              </w:rPr>
              <w:t>​​ ​​</w:t>
            </w: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0" w:type="dxa"/>
            <w:vAlign w:val="bottom"/>
          </w:tcPr>
          <w:p>
            <w:pPr>
              <w:spacing w:after="0"/>
              <w:rPr>
                <w:sz w:val="1"/>
                <w:szCs w:val="1"/>
                <w:color w:val="auto"/>
              </w:rPr>
            </w:pPr>
          </w:p>
        </w:tc>
      </w:tr>
      <w:tr>
        <w:trPr>
          <w:trHeight w:val="203"/>
        </w:trPr>
        <w:tc>
          <w:tcPr>
            <w:tcW w:w="54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thereof from temporary differences</w:t>
            </w:r>
          </w:p>
        </w:tc>
        <w:tc>
          <w:tcPr>
            <w:tcW w:w="820" w:type="dxa"/>
            <w:vAlign w:val="bottom"/>
            <w:gridSpan w:val="3"/>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(1,035)</w:t>
            </w:r>
          </w:p>
        </w:tc>
        <w:tc>
          <w:tcPr>
            <w:tcW w:w="5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5,008</w:t>
            </w:r>
          </w:p>
        </w:tc>
        <w:tc>
          <w:tcPr>
            <w:tcW w:w="120" w:type="dxa"/>
            <w:vAlign w:val="bottom"/>
          </w:tcPr>
          <w:p>
            <w:pPr>
              <w:spacing w:after="0"/>
              <w:rPr>
                <w:sz w:val="17"/>
                <w:szCs w:val="17"/>
                <w:color w:val="auto"/>
              </w:rPr>
            </w:pPr>
          </w:p>
        </w:tc>
        <w:tc>
          <w:tcPr>
            <w:tcW w:w="6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300" w:type="dxa"/>
            <w:vAlign w:val="bottom"/>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2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66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thereof from tax loss carryforwards</w:t>
            </w:r>
          </w:p>
        </w:tc>
        <w:tc>
          <w:tcPr>
            <w:tcW w:w="300" w:type="dxa"/>
            <w:vAlign w:val="bottom"/>
            <w:tcBorders>
              <w:right w:val="single" w:sz="8" w:color="CCEEFF"/>
            </w:tcBorders>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1340" w:type="dxa"/>
            <w:vAlign w:val="bottom"/>
            <w:tcBorders>
              <w:right w:val="single" w:sz="8" w:color="CCEEFF"/>
            </w:tcBorders>
            <w:gridSpan w:val="6"/>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660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​3,144</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 income</w:t>
            </w:r>
          </w:p>
        </w:tc>
        <w:tc>
          <w:tcPr>
            <w:tcW w:w="300" w:type="dxa"/>
            <w:vAlign w:val="bottom"/>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800" w:type="dxa"/>
            <w:vAlign w:val="bottom"/>
            <w:gridSpan w:val="8"/>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41</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​1,492</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​(2,778</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-1019175</wp:posOffset>
            </wp:positionV>
            <wp:extent cx="137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-1019175</wp:posOffset>
            </wp:positionV>
            <wp:extent cx="137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-1019175</wp:posOffset>
            </wp:positionV>
            <wp:extent cx="137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260" w:right="1580" w:firstLine="360"/>
        <w:spacing w:after="0" w:line="250" w:lineRule="auto"/>
        <w:rPr>
          <w:sz w:val="20"/>
          <w:szCs w:val="20"/>
          <w:color w:val="auto"/>
        </w:rPr>
      </w:pPr>
      <w:r>
        <w:rPr>
          <w:rFonts w:ascii="Times New Roman" w:cs="Times New Roman" w:eastAsia="Times New Roman" w:hAnsi="Times New Roman"/>
          <w:sz w:val="18"/>
          <w:szCs w:val="18"/>
          <w:color w:val="auto"/>
        </w:rPr>
        <w:t>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w:t>
      </w:r>
    </w:p>
    <w:p>
      <w:pPr>
        <w:spacing w:after="0" w:line="110" w:lineRule="exact"/>
        <w:rPr>
          <w:sz w:val="20"/>
          <w:szCs w:val="20"/>
          <w:color w:val="auto"/>
        </w:rPr>
      </w:pPr>
    </w:p>
    <w:p>
      <w:pPr>
        <w:jc w:val="both"/>
        <w:ind w:left="1260" w:right="1320"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presents the reconciliation of expected income taxes and reported effective income taxes. Expected income taxes were determined by multiplying consolidated profit before tax by SCHMID’s applicable income tax rate:</w:t>
      </w:r>
    </w:p>
    <w:tbl>
      <w:tblPr>
        <w:tblLayout w:type="fixed"/>
        <w:tblInd w:w="0" w:type="dxa"/>
        <w:tblCellMar>
          <w:top w:w="0" w:type="dxa"/>
          <w:left w:w="0" w:type="dxa"/>
          <w:bottom w:w="0" w:type="dxa"/>
          <w:right w:w="0" w:type="dxa"/>
        </w:tblCellMar>
      </w:tblPr>
      <w:tr>
        <w:trPr>
          <w:trHeight w:val="379"/>
        </w:trPr>
        <w:tc>
          <w:tcPr>
            <w:tcW w:w="16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 ​</w:t>
            </w: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r>
      <w:tr>
        <w:trPr>
          <w:trHeight w:val="20"/>
        </w:trPr>
        <w:tc>
          <w:tcPr>
            <w:tcW w:w="16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3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​​(72,994​​) ​​(85,596​​) ​​40,732​</w:t>
            </w:r>
          </w:p>
        </w:tc>
        <w:tc>
          <w:tcPr>
            <w:tcW w:w="1620" w:type="dxa"/>
            <w:vAlign w:val="bottom"/>
          </w:tcPr>
          <w:p>
            <w:pPr>
              <w:spacing w:after="0"/>
              <w:rPr>
                <w:sz w:val="21"/>
                <w:szCs w:val="21"/>
                <w:color w:val="auto"/>
              </w:rPr>
            </w:pPr>
          </w:p>
        </w:tc>
      </w:tr>
      <w:tr>
        <w:trPr>
          <w:trHeight w:val="257"/>
        </w:trPr>
        <w:tc>
          <w:tcPr>
            <w:tcW w:w="6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Applicable income tax rate</w:t>
            </w:r>
          </w:p>
        </w:tc>
        <w:tc>
          <w:tcPr>
            <w:tcW w:w="396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29.125​​%​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29.125​​%​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29.125​%</w:t>
            </w:r>
          </w:p>
        </w:tc>
      </w:tr>
      <w:tr>
        <w:trPr>
          <w:trHeight w:val="256"/>
        </w:trPr>
        <w:tc>
          <w:tcPr>
            <w:tcW w:w="16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Expected income tax (expense) / income</w:t>
            </w:r>
          </w:p>
        </w:tc>
        <w:tc>
          <w:tcPr>
            <w:tcW w:w="23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21,260​​ ​​ 24,930​​ ​​(11,863​)</w:t>
            </w:r>
          </w:p>
        </w:tc>
        <w:tc>
          <w:tcPr>
            <w:tcW w:w="1620" w:type="dxa"/>
            <w:vAlign w:val="bottom"/>
          </w:tcPr>
          <w:p>
            <w:pPr>
              <w:spacing w:after="0"/>
              <w:rPr>
                <w:sz w:val="22"/>
                <w:szCs w:val="22"/>
                <w:color w:val="auto"/>
              </w:rPr>
            </w:pPr>
          </w:p>
        </w:tc>
      </w:tr>
      <w:tr>
        <w:trPr>
          <w:trHeight w:val="257"/>
        </w:trPr>
        <w:tc>
          <w:tcPr>
            <w:tcW w:w="6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b w:val="1"/>
                <w:bCs w:val="1"/>
                <w:color w:val="auto"/>
              </w:rPr>
              <w:t>​</w:t>
            </w:r>
          </w:p>
        </w:tc>
        <w:tc>
          <w:tcPr>
            <w:tcW w:w="208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891​</w:t>
            </w:r>
          </w:p>
        </w:tc>
      </w:tr>
      <w:tr>
        <w:trPr>
          <w:trHeight w:val="256"/>
        </w:trPr>
        <w:tc>
          <w:tcPr>
            <w:tcW w:w="16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3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(14,173​​)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(19,503​​)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(2,833​)</w:t>
            </w:r>
          </w:p>
        </w:tc>
        <w:tc>
          <w:tcPr>
            <w:tcW w:w="1620" w:type="dxa"/>
            <w:vAlign w:val="bottom"/>
          </w:tcPr>
          <w:p>
            <w:pPr>
              <w:spacing w:after="0"/>
              <w:rPr>
                <w:sz w:val="22"/>
                <w:szCs w:val="22"/>
                <w:color w:val="auto"/>
              </w:rPr>
            </w:pPr>
          </w:p>
        </w:tc>
      </w:tr>
      <w:tr>
        <w:trPr>
          <w:trHeight w:val="257"/>
        </w:trPr>
        <w:tc>
          <w:tcPr>
            <w:tcW w:w="6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Tax-free income</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1,064​​ ​</w:t>
            </w:r>
            <w:r>
              <w:rPr>
                <w:rFonts w:ascii="Times New Roman" w:cs="Times New Roman" w:eastAsia="Times New Roman" w:hAnsi="Times New Roman"/>
                <w:sz w:val="18"/>
                <w:szCs w:val="18"/>
                <w:b w:val="1"/>
                <w:bCs w:val="1"/>
                <w:color w:val="auto"/>
              </w:rPr>
              <w:t>​</w:t>
            </w:r>
          </w:p>
        </w:tc>
        <w:tc>
          <w:tcPr>
            <w:tcW w:w="208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1,263​</w:t>
            </w:r>
          </w:p>
        </w:tc>
      </w:tr>
      <w:tr>
        <w:trPr>
          <w:trHeight w:val="252"/>
        </w:trPr>
        <w:tc>
          <w:tcPr>
            <w:tcW w:w="16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 from temporary differences and tax</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20" w:type="dxa"/>
            <w:vAlign w:val="bottom"/>
          </w:tcPr>
          <w:p>
            <w:pPr>
              <w:spacing w:after="0"/>
              <w:rPr>
                <w:sz w:val="21"/>
                <w:szCs w:val="21"/>
                <w:color w:val="auto"/>
              </w:rPr>
            </w:pPr>
          </w:p>
        </w:tc>
      </w:tr>
      <w:tr>
        <w:trPr>
          <w:trHeight w:val="234"/>
        </w:trPr>
        <w:tc>
          <w:tcPr>
            <w:tcW w:w="1620" w:type="dxa"/>
            <w:vAlign w:val="bottom"/>
          </w:tcPr>
          <w:p>
            <w:pPr>
              <w:spacing w:after="0"/>
              <w:rPr>
                <w:sz w:val="20"/>
                <w:szCs w:val="20"/>
                <w:color w:val="auto"/>
              </w:rPr>
            </w:pPr>
          </w:p>
        </w:tc>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carryforwards</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(7,621​​) ​</w:t>
            </w:r>
            <w:r>
              <w:rPr>
                <w:rFonts w:ascii="Times New Roman" w:cs="Times New Roman" w:eastAsia="Times New Roman" w:hAnsi="Times New Roman"/>
                <w:sz w:val="18"/>
                <w:szCs w:val="18"/>
                <w:b w:val="1"/>
                <w:bCs w:val="1"/>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(4,032​​) ​</w:t>
            </w: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3,598​</w:t>
            </w:r>
          </w:p>
        </w:tc>
        <w:tc>
          <w:tcPr>
            <w:tcW w:w="1620" w:type="dxa"/>
            <w:vAlign w:val="bottom"/>
          </w:tcPr>
          <w:p>
            <w:pPr>
              <w:spacing w:after="0"/>
              <w:rPr>
                <w:sz w:val="20"/>
                <w:szCs w:val="20"/>
                <w:color w:val="auto"/>
              </w:rPr>
            </w:pPr>
          </w:p>
        </w:tc>
      </w:tr>
      <w:tr>
        <w:trPr>
          <w:trHeight w:val="252"/>
        </w:trPr>
        <w:tc>
          <w:tcPr>
            <w:tcW w:w="67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Non-recognition or utilization of unrecognized interest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34"/>
        </w:trPr>
        <w:tc>
          <w:tcPr>
            <w:tcW w:w="1620" w:type="dxa"/>
            <w:vAlign w:val="bottom"/>
          </w:tcPr>
          <w:p>
            <w:pPr>
              <w:spacing w:after="0"/>
              <w:rPr>
                <w:sz w:val="20"/>
                <w:szCs w:val="20"/>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carryforwards</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(521​​) ​</w:t>
            </w:r>
            <w:r>
              <w:rPr>
                <w:rFonts w:ascii="Times New Roman" w:cs="Times New Roman" w:eastAsia="Times New Roman" w:hAnsi="Times New Roman"/>
                <w:sz w:val="18"/>
                <w:szCs w:val="18"/>
                <w:b w:val="1"/>
                <w:bCs w:val="1"/>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 ​</w:t>
            </w:r>
            <w:r>
              <w:rPr>
                <w:rFonts w:ascii="Times New Roman" w:cs="Times New Roman" w:eastAsia="Times New Roman" w:hAnsi="Times New Roman"/>
                <w:sz w:val="18"/>
                <w:szCs w:val="18"/>
                <w:b w:val="1"/>
                <w:bCs w:val="1"/>
                <w:color w:val="auto"/>
              </w:rPr>
              <w:t>​</w:t>
            </w:r>
          </w:p>
        </w:tc>
        <w:tc>
          <w:tcPr>
            <w:tcW w:w="2080" w:type="dxa"/>
            <w:vAlign w:val="bottom"/>
            <w:gridSpan w:val="2"/>
          </w:tcPr>
          <w:p>
            <w:pPr>
              <w:jc w:val="right"/>
              <w:ind w:right="1580"/>
              <w:spacing w:after="0"/>
              <w:rPr>
                <w:sz w:val="20"/>
                <w:szCs w:val="20"/>
                <w:color w:val="auto"/>
              </w:rPr>
            </w:pPr>
            <w:r>
              <w:rPr>
                <w:rFonts w:ascii="Times New Roman" w:cs="Times New Roman" w:eastAsia="Times New Roman" w:hAnsi="Times New Roman"/>
                <w:sz w:val="18"/>
                <w:szCs w:val="18"/>
                <w:color w:val="auto"/>
              </w:rPr>
              <w:t>333​</w:t>
            </w:r>
          </w:p>
        </w:tc>
      </w:tr>
      <w:tr>
        <w:trPr>
          <w:trHeight w:val="608"/>
        </w:trPr>
        <w:tc>
          <w:tcPr>
            <w:tcW w:w="1620" w:type="dxa"/>
            <w:vAlign w:val="bottom"/>
          </w:tcPr>
          <w:p>
            <w:pPr>
              <w:spacing w:after="0"/>
              <w:rPr>
                <w:sz w:val="24"/>
                <w:szCs w:val="24"/>
                <w:color w:val="auto"/>
              </w:rPr>
            </w:pPr>
          </w:p>
        </w:tc>
        <w:tc>
          <w:tcPr>
            <w:tcW w:w="514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F-27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5283200</wp:posOffset>
            </wp:positionH>
            <wp:positionV relativeFrom="paragraph">
              <wp:posOffset>-2253615</wp:posOffset>
            </wp:positionV>
            <wp:extent cx="137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-2253615</wp:posOffset>
            </wp:positionV>
            <wp:extent cx="1282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-2253615</wp:posOffset>
            </wp:positionV>
            <wp:extent cx="12001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2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reconciling items</w:t>
            </w:r>
          </w:p>
        </w:tc>
        <w:tc>
          <w:tcPr>
            <w:tcW w:w="24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160" w:type="dxa"/>
            <w:vAlign w:val="bottom"/>
            <w:shd w:val="clear" w:color="auto" w:fill="CCEEFF"/>
          </w:tcPr>
          <w:p>
            <w:pPr>
              <w:spacing w:after="0"/>
              <w:rPr>
                <w:sz w:val="5"/>
                <w:szCs w:val="5"/>
                <w:color w:val="auto"/>
              </w:rPr>
            </w:pPr>
          </w:p>
        </w:tc>
        <w:tc>
          <w:tcPr>
            <w:tcW w:w="2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shd w:val="clear" w:color="auto" w:fill="CCEEFF"/>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40" w:type="dxa"/>
            <w:vAlign w:val="bottom"/>
            <w:shd w:val="clear" w:color="auto" w:fill="CCEEFF"/>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income tax (expense) / benefit</w:t>
            </w:r>
          </w:p>
        </w:tc>
        <w:tc>
          <w:tcPr>
            <w:tcW w:w="2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5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41</w:t>
            </w:r>
            <w:r>
              <w:rPr>
                <w:rFonts w:ascii="Times New Roman" w:cs="Times New Roman" w:eastAsia="Times New Roman" w:hAnsi="Times New Roman"/>
                <w:sz w:val="30"/>
                <w:szCs w:val="30"/>
                <w:b w:val="1"/>
                <w:bCs w:val="1"/>
                <w:color w:val="auto"/>
                <w:vertAlign w:val="subscript"/>
              </w:rPr>
              <w:t>​​</w:t>
            </w:r>
          </w:p>
        </w:tc>
        <w:tc>
          <w:tcPr>
            <w:tcW w:w="2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580" w:type="dxa"/>
            <w:vAlign w:val="bottom"/>
            <w:gridSpan w:val="2"/>
          </w:tcPr>
          <w:p>
            <w:pPr>
              <w:jc w:val="right"/>
              <w:ind w:right="40"/>
              <w:spacing w:after="0" w:line="264" w:lineRule="exact"/>
              <w:rPr>
                <w:sz w:val="20"/>
                <w:szCs w:val="20"/>
                <w:color w:val="auto"/>
              </w:rPr>
            </w:pPr>
            <w:r>
              <w:rPr>
                <w:rFonts w:ascii="Times New Roman" w:cs="Times New Roman" w:eastAsia="Times New Roman" w:hAnsi="Times New Roman"/>
                <w:sz w:val="16"/>
                <w:szCs w:val="16"/>
                <w:b w:val="1"/>
                <w:bCs w:val="1"/>
                <w:color w:val="auto"/>
              </w:rPr>
              <w:t>1,492</w:t>
            </w:r>
            <w:r>
              <w:rPr>
                <w:rFonts w:ascii="Times New Roman" w:cs="Times New Roman" w:eastAsia="Times New Roman" w:hAnsi="Times New Roman"/>
                <w:sz w:val="30"/>
                <w:szCs w:val="30"/>
                <w:b w:val="1"/>
                <w:bCs w:val="1"/>
                <w:color w:val="auto"/>
                <w:vertAlign w:val="subscript"/>
              </w:rPr>
              <w:t>​​</w:t>
            </w:r>
          </w:p>
        </w:tc>
        <w:tc>
          <w:tcPr>
            <w:tcW w:w="22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68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(2,778</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 in %</w:t>
            </w:r>
          </w:p>
        </w:tc>
        <w:tc>
          <w:tcPr>
            <w:tcW w:w="240" w:type="dxa"/>
            <w:vAlign w:val="bottom"/>
          </w:tcPr>
          <w:p>
            <w:pPr>
              <w:spacing w:after="0"/>
              <w:rPr>
                <w:sz w:val="17"/>
                <w:szCs w:val="17"/>
                <w:color w:val="auto"/>
              </w:rPr>
            </w:pPr>
          </w:p>
        </w:tc>
        <w:tc>
          <w:tcPr>
            <w:tcW w:w="74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 0.06% ​</w:t>
            </w:r>
          </w:p>
        </w:tc>
        <w:tc>
          <w:tcPr>
            <w:tcW w:w="8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1.74% ​</w:t>
            </w:r>
          </w:p>
        </w:tc>
        <w:tc>
          <w:tcPr>
            <w:tcW w:w="6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68"/>
        </w:trPr>
        <w:tc>
          <w:tcPr>
            <w:tcW w:w="5160" w:type="dxa"/>
            <w:vAlign w:val="bottom"/>
          </w:tcPr>
          <w:p>
            <w:pPr>
              <w:spacing w:after="0"/>
              <w:rPr>
                <w:sz w:val="5"/>
                <w:szCs w:val="5"/>
                <w:color w:val="auto"/>
              </w:rPr>
            </w:pPr>
          </w:p>
        </w:tc>
        <w:tc>
          <w:tcPr>
            <w:tcW w:w="2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38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w:t>
            </w:r>
          </w:p>
        </w:tc>
        <w:tc>
          <w:tcPr>
            <w:tcW w:w="22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680" w:type="dxa"/>
            <w:vAlign w:val="bottom"/>
            <w:gridSpan w:val="2"/>
          </w:tcPr>
          <w:p>
            <w:pPr>
              <w:jc w:val="right"/>
              <w:ind w:right="1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749165" cy="18859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49165" cy="18859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-548005</wp:posOffset>
            </wp:positionV>
            <wp:extent cx="137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-548005</wp:posOffset>
            </wp:positionV>
            <wp:extent cx="137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-548005</wp:posOffset>
            </wp:positionV>
            <wp:extent cx="137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9" w:lineRule="exact"/>
        <w:rPr>
          <w:sz w:val="20"/>
          <w:szCs w:val="20"/>
          <w:color w:val="auto"/>
        </w:rPr>
      </w:pPr>
    </w:p>
    <w:p>
      <w:pPr>
        <w:ind w:left="1260" w:right="759" w:firstLine="360"/>
        <w:spacing w:after="0" w:line="297" w:lineRule="auto"/>
        <w:rPr>
          <w:sz w:val="20"/>
          <w:szCs w:val="20"/>
          <w:color w:val="auto"/>
        </w:rPr>
      </w:pPr>
      <w:r>
        <w:rPr>
          <w:rFonts w:ascii="Times New Roman" w:cs="Times New Roman" w:eastAsia="Times New Roman" w:hAnsi="Times New Roman"/>
          <w:sz w:val="18"/>
          <w:szCs w:val="18"/>
          <w:color w:val="auto"/>
        </w:rPr>
        <w:t>The effect resulting from the tax rate change is related to the corporate income tax rate reduction in Germany.</w:t>
      </w:r>
    </w:p>
    <w:p>
      <w:pPr>
        <w:spacing w:after="0" w:line="82"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The deferred tax assets (“DTA”) and deferred tax liabilities (“DTL”) relate to the following line items of the Consolidated Statement of Financial Position are summarized below:</w:t>
      </w:r>
    </w:p>
    <w:p>
      <w:pPr>
        <w:sectPr>
          <w:pgSz w:w="11900" w:h="16838" w:orient="portrait"/>
          <w:cols w:equalWidth="0" w:num="1">
            <w:col w:w="9879"/>
          </w:cols>
          <w:pgMar w:left="580" w:top="97" w:right="1440" w:bottom="1440" w:gutter="0" w:footer="0" w:header="0"/>
        </w:sectPr>
      </w:pPr>
    </w:p>
    <w:p>
      <w:pPr>
        <w:spacing w:after="0" w:line="1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1714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Property, plant and equipment including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Trade receivables and other receivables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assets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Non-current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Provisions for pensions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Non-current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Non-current lease liabilities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contract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Trade payables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provisions</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797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loss carryforwards (CIT)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loss carryforwards (Trade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Tax loss carryforwards (Other income tax)</w:t>
      </w:r>
    </w:p>
    <w:p>
      <w:pPr>
        <w:spacing w:after="0" w:line="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taxes (before offsetting)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28575</wp:posOffset>
            </wp:positionV>
            <wp:extent cx="5212080" cy="1803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Offsetting</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taxes (after offsetting)</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37"/>
        </w:trPr>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5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DTA  </w:t>
            </w:r>
            <w:r>
              <w:rPr>
                <w:rFonts w:ascii="Times New Roman" w:cs="Times New Roman" w:eastAsia="Times New Roman" w:hAnsi="Times New Roman"/>
                <w:sz w:val="27"/>
                <w:szCs w:val="27"/>
                <w:b w:val="1"/>
                <w:bCs w:val="1"/>
                <w:color w:val="auto"/>
                <w:vertAlign w:val="subscript"/>
              </w:rPr>
              <w:t>​</w:t>
            </w:r>
          </w:p>
        </w:tc>
        <w:tc>
          <w:tcPr>
            <w:tcW w:w="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DTL   </w:t>
            </w:r>
            <w:r>
              <w:rPr>
                <w:rFonts w:ascii="Times New Roman" w:cs="Times New Roman" w:eastAsia="Times New Roman" w:hAnsi="Times New Roman"/>
                <w:sz w:val="27"/>
                <w:szCs w:val="27"/>
                <w:b w:val="1"/>
                <w:bCs w:val="1"/>
                <w:color w:val="auto"/>
                <w:vertAlign w:val="subscript"/>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DTA   </w:t>
            </w:r>
            <w:r>
              <w:rPr>
                <w:rFonts w:ascii="Times New Roman" w:cs="Times New Roman" w:eastAsia="Times New Roman" w:hAnsi="Times New Roman"/>
                <w:sz w:val="27"/>
                <w:szCs w:val="27"/>
                <w:b w:val="1"/>
                <w:bCs w:val="1"/>
                <w:color w:val="auto"/>
                <w:vertAlign w:val="subscript"/>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DTL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1,538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w w:val="98"/>
              </w:rPr>
              <w:t>(4,711)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w w:val="98"/>
              </w:rPr>
              <w:t>(1,728)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(188)</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1,558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680" w:type="dxa"/>
            <w:vAlign w:val="bottom"/>
            <w:gridSpan w:val="3"/>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 (7,045)</w:t>
            </w:r>
          </w:p>
        </w:tc>
        <w:tc>
          <w:tcPr>
            <w:tcW w:w="10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1,893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60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 (6,477)</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1,853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2,492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249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(464)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165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6"/>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2,129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(712)</w:t>
            </w:r>
          </w:p>
        </w:tc>
        <w:tc>
          <w:tcPr>
            <w:tcW w:w="10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2,660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(669)</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(184)</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76"/>
        </w:trPr>
        <w:tc>
          <w:tcPr>
            <w:tcW w:w="12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57"/>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1,947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35"/>
              <w:spacing w:after="0" w:line="196" w:lineRule="exact"/>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Pr>
          <w:p>
            <w:pPr>
              <w:spacing w:after="0"/>
              <w:rPr>
                <w:sz w:val="17"/>
                <w:szCs w:val="17"/>
                <w:color w:val="auto"/>
              </w:rPr>
            </w:pPr>
          </w:p>
        </w:tc>
        <w:tc>
          <w:tcPr>
            <w:tcW w:w="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2,411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(292)</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983​​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w w:val="98"/>
              </w:rPr>
              <w:t>(2,586)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(2,293)</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1,136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(489)</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278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line="181"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8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1,551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1" w:lineRule="exact"/>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1,244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1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1"/>
        </w:trPr>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6"/>
                <w:szCs w:val="16"/>
                <w:color w:val="auto"/>
              </w:rPr>
            </w:pPr>
          </w:p>
        </w:tc>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60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auto"/>
              </w:rPr>
              <w:t>​ (1,909)</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2,977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 (3,919)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(4,224)</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1,511​​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0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29"/>
                <w:szCs w:val="29"/>
                <w:color w:val="auto"/>
                <w:vertAlign w:val="superscript"/>
              </w:rPr>
              <w:t>​</w:t>
            </w:r>
          </w:p>
        </w:tc>
        <w:tc>
          <w:tcPr>
            <w:tcW w:w="5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6"/>
                <w:szCs w:val="16"/>
                <w:color w:val="auto"/>
              </w:rPr>
              <w:t>​​</w:t>
            </w:r>
          </w:p>
        </w:tc>
        <w:tc>
          <w:tcPr>
            <w:tcW w:w="16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perscript"/>
              </w:rPr>
              <w:t>​</w:t>
            </w:r>
          </w:p>
        </w:tc>
        <w:tc>
          <w:tcPr>
            <w:tcW w:w="6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perscript"/>
              </w:rPr>
              <w:t>​</w:t>
            </w:r>
          </w:p>
        </w:tc>
        <w:tc>
          <w:tcPr>
            <w:tcW w:w="6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6"/>
                <w:szCs w:val="16"/>
                <w:color w:val="auto"/>
              </w:rPr>
              <w:t>​​</w:t>
            </w:r>
          </w:p>
        </w:tc>
        <w:tc>
          <w:tcPr>
            <w:tcW w:w="1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perscript"/>
              </w:rPr>
              <w:t>​</w:t>
            </w:r>
          </w:p>
        </w:tc>
        <w:tc>
          <w:tcPr>
            <w:tcW w:w="56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​12,262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w w:val="94"/>
              </w:rPr>
              <w:t>​(11,910)</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12,828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​(11,662)</w:t>
            </w:r>
          </w:p>
        </w:tc>
        <w:tc>
          <w:tcPr>
            <w:tcW w:w="0" w:type="dxa"/>
            <w:vAlign w:val="bottom"/>
          </w:tcPr>
          <w:p>
            <w:pPr>
              <w:spacing w:after="0"/>
              <w:rPr>
                <w:sz w:val="1"/>
                <w:szCs w:val="1"/>
                <w:color w:val="auto"/>
              </w:rPr>
            </w:pPr>
          </w:p>
        </w:tc>
      </w:tr>
      <w:tr>
        <w:trPr>
          <w:trHeight w:val="68"/>
        </w:trPr>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10,144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120" w:type="dxa"/>
            <w:vAlign w:val="bottom"/>
            <w:vMerge w:val="continue"/>
          </w:tcPr>
          <w:p>
            <w:pPr>
              <w:spacing w:after="0"/>
              <w:rPr>
                <w:sz w:val="7"/>
                <w:szCs w:val="7"/>
                <w:color w:val="auto"/>
              </w:rPr>
            </w:pPr>
          </w:p>
        </w:tc>
        <w:tc>
          <w:tcPr>
            <w:tcW w:w="180" w:type="dxa"/>
            <w:vAlign w:val="bottom"/>
            <w:gridSpan w:val="2"/>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spacing w:after="0"/>
              <w:rPr>
                <w:sz w:val="7"/>
                <w:szCs w:val="7"/>
                <w:color w:val="auto"/>
              </w:rPr>
            </w:pPr>
          </w:p>
        </w:tc>
        <w:tc>
          <w:tcPr>
            <w:tcW w:w="1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80" w:type="dxa"/>
            <w:vAlign w:val="bottom"/>
            <w:gridSpan w:val="2"/>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spacing w:after="0"/>
              <w:rPr>
                <w:sz w:val="7"/>
                <w:szCs w:val="7"/>
                <w:color w:val="auto"/>
              </w:rPr>
            </w:pPr>
          </w:p>
        </w:tc>
        <w:tc>
          <w:tcPr>
            <w:tcW w:w="14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1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w w:val="98"/>
              </w:rPr>
              <w:t>2,317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35"/>
              <w:spacing w:after="0" w:line="184" w:lineRule="exact"/>
              <w:rPr>
                <w:sz w:val="20"/>
                <w:szCs w:val="20"/>
                <w:color w:val="auto"/>
              </w:rPr>
            </w:pPr>
            <w:r>
              <w:rPr>
                <w:rFonts w:ascii="Times New Roman" w:cs="Times New Roman" w:eastAsia="Times New Roman" w:hAnsi="Times New Roman"/>
                <w:sz w:val="18"/>
                <w:szCs w:val="18"/>
                <w:b w:val="1"/>
                <w:bCs w:val="1"/>
                <w:color w:val="auto"/>
                <w:w w:val="98"/>
              </w:rPr>
              <w:t>(1,965)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2,684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b w:val="1"/>
                <w:bCs w:val="1"/>
                <w:color w:val="auto"/>
              </w:rPr>
              <w:t>(1,518)</w:t>
            </w:r>
          </w:p>
        </w:tc>
        <w:tc>
          <w:tcPr>
            <w:tcW w:w="0" w:type="dxa"/>
            <w:vAlign w:val="bottom"/>
          </w:tcPr>
          <w:p>
            <w:pPr>
              <w:spacing w:after="0"/>
              <w:rPr>
                <w:sz w:val="1"/>
                <w:szCs w:val="1"/>
                <w:color w:val="auto"/>
              </w:rPr>
            </w:pPr>
          </w:p>
        </w:tc>
      </w:tr>
      <w:tr>
        <w:trPr>
          <w:trHeight w:val="238"/>
        </w:trPr>
        <w:tc>
          <w:tcPr>
            <w:tcW w:w="120" w:type="dxa"/>
            <w:vAlign w:val="bottom"/>
            <w:vMerge w:val="continue"/>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20" w:space="660"/>
            <w:col w:w="3499"/>
          </w:cols>
          <w:pgMar w:left="580" w:top="97" w:right="1440" w:bottom="1440" w:gutter="0" w:footer="0" w:header="0"/>
          <w:type w:val="continuous"/>
        </w:sectPr>
      </w:pPr>
    </w:p>
    <w:p>
      <w:pPr>
        <w:spacing w:after="0" w:line="1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deferred taxes: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92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net  </w:t>
            </w:r>
            <w:r>
              <w:rPr>
                <w:rFonts w:ascii="Times New Roman" w:cs="Times New Roman" w:eastAsia="Times New Roman" w:hAnsi="Times New Roman"/>
                <w:sz w:val="28"/>
                <w:szCs w:val="28"/>
                <w:b w:val="1"/>
                <w:bCs w:val="1"/>
                <w:color w:val="auto"/>
                <w:vertAlign w:val="subscript"/>
              </w:rPr>
              <w:t>​</w:t>
            </w:r>
          </w:p>
        </w:tc>
      </w:tr>
      <w:tr>
        <w:trPr>
          <w:trHeight w:val="20"/>
        </w:trPr>
        <w:tc>
          <w:tcPr>
            <w:tcW w:w="5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​​(1,846</w:t>
            </w:r>
          </w:p>
        </w:tc>
        <w:tc>
          <w:tcPr>
            <w:tcW w:w="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5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P/L</w:t>
            </w:r>
          </w:p>
        </w:tc>
        <w:tc>
          <w:tcPr>
            <w:tcW w:w="1600" w:type="dxa"/>
            <w:vAlign w:val="bottom"/>
          </w:tcPr>
          <w:p>
            <w:pPr>
              <w:spacing w:after="0"/>
              <w:rPr>
                <w:sz w:val="22"/>
                <w:szCs w:val="22"/>
                <w:color w:val="auto"/>
              </w:rPr>
            </w:pPr>
          </w:p>
        </w:tc>
        <w:tc>
          <w:tcPr>
            <w:tcW w:w="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1,864​</w:t>
            </w:r>
          </w:p>
        </w:tc>
      </w:tr>
      <w:tr>
        <w:trPr>
          <w:trHeight w:val="25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OCI</w:t>
            </w:r>
          </w:p>
        </w:tc>
        <w:tc>
          <w:tcPr>
            <w:tcW w:w="16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Equity</w:t>
            </w:r>
          </w:p>
        </w:tc>
        <w:tc>
          <w:tcPr>
            <w:tcW w:w="1600" w:type="dxa"/>
            <w:vAlign w:val="bottom"/>
          </w:tcPr>
          <w:p>
            <w:pPr>
              <w:spacing w:after="0"/>
              <w:rPr>
                <w:sz w:val="22"/>
                <w:szCs w:val="22"/>
                <w:color w:val="auto"/>
              </w:rPr>
            </w:pPr>
          </w:p>
        </w:tc>
        <w:tc>
          <w:tcPr>
            <w:tcW w:w="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1,031​</w:t>
            </w:r>
          </w:p>
        </w:tc>
      </w:tr>
      <w:tr>
        <w:trPr>
          <w:trHeight w:val="27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currency translation adjustments</w:t>
            </w:r>
          </w:p>
        </w:tc>
        <w:tc>
          <w:tcPr>
            <w:tcW w:w="16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0" w:type="dxa"/>
            <w:vAlign w:val="bottom"/>
          </w:tcPr>
          <w:p>
            <w:pPr>
              <w:spacing w:after="0"/>
              <w:rPr>
                <w:sz w:val="23"/>
                <w:szCs w:val="23"/>
                <w:color w:val="auto"/>
              </w:rPr>
            </w:pPr>
          </w:p>
        </w:tc>
        <w:tc>
          <w:tcPr>
            <w:tcW w:w="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 ​​ 1,166​</w:t>
            </w:r>
          </w:p>
        </w:tc>
      </w:tr>
      <w:tr>
        <w:trPr>
          <w:trHeight w:val="27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P/L</w:t>
            </w:r>
          </w:p>
        </w:tc>
        <w:tc>
          <w:tcPr>
            <w:tcW w:w="16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OCI</w:t>
            </w:r>
          </w:p>
        </w:tc>
        <w:tc>
          <w:tcPr>
            <w:tcW w:w="1600" w:type="dxa"/>
            <w:vAlign w:val="bottom"/>
          </w:tcPr>
          <w:p>
            <w:pPr>
              <w:spacing w:after="0"/>
              <w:rPr>
                <w:sz w:val="23"/>
                <w:szCs w:val="23"/>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in Equity</w:t>
            </w:r>
          </w:p>
        </w:tc>
        <w:tc>
          <w:tcPr>
            <w:tcW w:w="16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Recognized in currency translation adjustments</w:t>
            </w:r>
          </w:p>
        </w:tc>
        <w:tc>
          <w:tcPr>
            <w:tcW w:w="1600" w:type="dxa"/>
            <w:vAlign w:val="bottom"/>
          </w:tcPr>
          <w:p>
            <w:pPr>
              <w:spacing w:after="0"/>
              <w:rPr>
                <w:sz w:val="23"/>
                <w:szCs w:val="23"/>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-1859280</wp:posOffset>
            </wp:positionV>
            <wp:extent cx="1371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OCI movement of deferred taxes is entirely attributed to “Provisions for pensions” and the equity movement is mainly attributed to transaction costs (IAS 32.35).</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deferred tax assets were recognized for the following tax attributes (gross):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2025</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2024</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Tax Base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Tax Base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Tax Base</w:t>
            </w:r>
          </w:p>
        </w:tc>
      </w:tr>
      <w:tr>
        <w:trPr>
          <w:trHeight w:val="20"/>
        </w:trPr>
        <w:tc>
          <w:tcPr>
            <w:tcW w:w="5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Deductible temporary differences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52,560</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22,730</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​41,498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carryforwards (CIT)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​​125,687</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​​124,018</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​91,405 ​</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carryforwards (Trade tax)</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89,051</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88,897</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​49,147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carryforwards</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38,814</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36,927</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​35,229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-676910</wp:posOffset>
            </wp:positionV>
            <wp:extent cx="1371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-676910</wp:posOffset>
            </wp:positionV>
            <wp:extent cx="13716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-676910</wp:posOffset>
            </wp:positionV>
            <wp:extent cx="137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0" w:lineRule="exact"/>
        <w:rPr>
          <w:sz w:val="20"/>
          <w:szCs w:val="20"/>
          <w:color w:val="auto"/>
        </w:rPr>
      </w:pPr>
    </w:p>
    <w:p>
      <w:pPr>
        <w:jc w:val="both"/>
        <w:ind w:left="1260" w:right="719" w:firstLine="360"/>
        <w:spacing w:after="0" w:line="253" w:lineRule="auto"/>
        <w:rPr>
          <w:sz w:val="20"/>
          <w:szCs w:val="20"/>
          <w:color w:val="auto"/>
        </w:rPr>
      </w:pPr>
      <w:r>
        <w:rPr>
          <w:rFonts w:ascii="Times New Roman" w:cs="Times New Roman" w:eastAsia="Times New Roman" w:hAnsi="Times New Roman"/>
          <w:sz w:val="18"/>
          <w:szCs w:val="18"/>
          <w:color w:val="auto"/>
        </w:rPr>
        <w:t>The maturities of the tax loss carryforwards for which no deferred tax assets were recognized are as follows:</w:t>
      </w:r>
    </w:p>
    <w:tbl>
      <w:tblPr>
        <w:tblLayout w:type="fixed"/>
        <w:tblInd w:w="1620" w:type="dxa"/>
        <w:tblCellMar>
          <w:top w:w="0" w:type="dxa"/>
          <w:left w:w="0" w:type="dxa"/>
          <w:bottom w:w="0" w:type="dxa"/>
          <w:right w:w="0" w:type="dxa"/>
        </w:tblCellMar>
      </w:tblPr>
      <w:tr>
        <w:trPr>
          <w:trHeight w:val="364"/>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5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Tax Base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Tax Base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Tax Base </w:t>
            </w:r>
            <w:r>
              <w:rPr>
                <w:rFonts w:ascii="Times New Roman" w:cs="Times New Roman" w:eastAsia="Times New Roman" w:hAnsi="Times New Roman"/>
                <w:sz w:val="27"/>
                <w:szCs w:val="27"/>
                <w:b w:val="1"/>
                <w:bCs w:val="1"/>
                <w:color w:val="auto"/>
                <w:vertAlign w:val="subscript"/>
              </w:rPr>
              <w:t>​</w:t>
            </w:r>
          </w:p>
        </w:tc>
      </w:tr>
      <w:tr>
        <w:trPr>
          <w:trHeight w:val="20"/>
        </w:trPr>
        <w:tc>
          <w:tcPr>
            <w:tcW w:w="502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5 years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2,426​​ ​​</w:t>
            </w:r>
          </w:p>
        </w:tc>
        <w:tc>
          <w:tcPr>
            <w:tcW w:w="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3,646​​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Up to 10 years</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2,122​​ ​​</w:t>
            </w:r>
          </w:p>
        </w:tc>
        <w:tc>
          <w:tcPr>
            <w:tcW w:w="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4,688​​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15 years</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823​​ ​​</w:t>
            </w:r>
          </w:p>
        </w:tc>
        <w:tc>
          <w:tcPr>
            <w:tcW w:w="8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2,348​​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Unlimited</w:t>
            </w:r>
          </w:p>
        </w:tc>
        <w:tc>
          <w:tcPr>
            <w:tcW w:w="2500" w:type="dxa"/>
            <w:vAlign w:val="bottom"/>
            <w:gridSpan w:val="13"/>
          </w:tcPr>
          <w:p>
            <w:pPr>
              <w:ind w:left="40"/>
              <w:spacing w:after="0"/>
              <w:rPr>
                <w:sz w:val="20"/>
                <w:szCs w:val="20"/>
                <w:color w:val="auto"/>
              </w:rPr>
            </w:pPr>
            <w:r>
              <w:rPr>
                <w:rFonts w:ascii="Times New Roman" w:cs="Times New Roman" w:eastAsia="Times New Roman" w:hAnsi="Times New Roman"/>
                <w:sz w:val="18"/>
                <w:szCs w:val="18"/>
                <w:color w:val="auto"/>
              </w:rPr>
              <w:t>​ ​​248,181​​ ​​239,160​​ ​​131,586​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-676910</wp:posOffset>
            </wp:positionV>
            <wp:extent cx="137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-676910</wp:posOffset>
            </wp:positionV>
            <wp:extent cx="137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-676910</wp:posOffset>
            </wp:positionV>
            <wp:extent cx="1371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6"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w:t>
      </w:r>
    </w:p>
    <w:p>
      <w:pPr>
        <w:spacing w:after="0" w:line="110" w:lineRule="exact"/>
        <w:rPr>
          <w:sz w:val="20"/>
          <w:szCs w:val="20"/>
          <w:color w:val="auto"/>
        </w:rPr>
      </w:pPr>
    </w:p>
    <w:p>
      <w:pPr>
        <w:jc w:val="both"/>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Taxable temporary differences associated with investments in entities, branches and associates and interests in joint arrangements in the amount of €615 thousand as of December 31, 2025 (December 31, 2024: €483 thousand, December 31, 2023: €935 thousand) have not been recognized.</w:t>
      </w:r>
    </w:p>
    <w:p>
      <w:pPr>
        <w:spacing w:after="0" w:line="109" w:lineRule="exact"/>
        <w:rPr>
          <w:sz w:val="20"/>
          <w:szCs w:val="20"/>
          <w:color w:val="auto"/>
        </w:rPr>
      </w:pPr>
    </w:p>
    <w:p>
      <w:pPr>
        <w:ind w:left="1260" w:right="1099" w:firstLine="360"/>
        <w:spacing w:after="0" w:line="258" w:lineRule="auto"/>
        <w:rPr>
          <w:sz w:val="20"/>
          <w:szCs w:val="20"/>
          <w:color w:val="auto"/>
        </w:rPr>
      </w:pPr>
      <w:r>
        <w:rPr>
          <w:rFonts w:ascii="Times New Roman" w:cs="Times New Roman" w:eastAsia="Times New Roman" w:hAnsi="Times New Roman"/>
          <w:sz w:val="18"/>
          <w:szCs w:val="18"/>
          <w:color w:val="auto"/>
        </w:rPr>
        <w:t>Deferred tax assets exceeding deferred tax liabilities in the amount of €2,317 thousand as of December 31, 2025 (December 31, 2024: €2,684 thousand, December 31, 2023: €522 thousand) for companies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spacing w:after="0" w:line="282" w:lineRule="auto"/>
        <w:rPr>
          <w:sz w:val="20"/>
          <w:szCs w:val="20"/>
          <w:color w:val="auto"/>
        </w:rPr>
      </w:pPr>
      <w:r>
        <w:rPr>
          <w:rFonts w:ascii="Times New Roman" w:cs="Times New Roman" w:eastAsia="Times New Roman" w:hAnsi="Times New Roman"/>
          <w:sz w:val="18"/>
          <w:szCs w:val="18"/>
          <w:color w:val="auto"/>
        </w:rPr>
        <w:t>that generated a loss in the current or previous period were recognized as these are considered to be recoverable based on the positive profit for financial year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Basic earnings per share is calculated by dividing the profit or loss for the period attributable to equity holders of the Company by the weighted average number of ordinary shares in issue during the year.</w:t>
      </w:r>
    </w:p>
    <w:p>
      <w:pPr>
        <w:spacing w:after="0" w:line="95"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Diluted earnings per share is calculated by adjusting the profit or loss attributable to ordinary equity holders of the Company and the weighted average number of shares in issue during the year for the effects of all dilutive potential ordinary shares.</w:t>
      </w:r>
    </w:p>
    <w:p>
      <w:pPr>
        <w:spacing w:after="0" w:line="10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net income (loss) and share data used in the basic and diluted EPS calculations: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1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in €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in €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in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57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Total basic and diluted earnings per share attributable to the ordinary equity</w:t>
            </w: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4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​(1.87)</w:t>
            </w:r>
          </w:p>
        </w:tc>
        <w:tc>
          <w:tcPr>
            <w:tcW w:w="120" w:type="dxa"/>
            <w:vAlign w:val="bottom"/>
            <w:tcBorders>
              <w:right w:val="single" w:sz="8" w:color="CCEEFF"/>
            </w:tcBorders>
            <w:shd w:val="clear" w:color="auto" w:fill="CCEEFF"/>
          </w:tcPr>
          <w:p>
            <w:pPr>
              <w:spacing w:after="0"/>
              <w:rPr>
                <w:sz w:val="19"/>
                <w:szCs w:val="19"/>
                <w:color w:val="auto"/>
              </w:rPr>
            </w:pPr>
          </w:p>
        </w:tc>
        <w:tc>
          <w:tcPr>
            <w:tcW w:w="500" w:type="dxa"/>
            <w:vAlign w:val="bottom"/>
            <w:gridSpan w:val="4"/>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w w:val="91"/>
              </w:rPr>
              <w:t>​(2.41)</w:t>
            </w:r>
          </w:p>
        </w:tc>
        <w:tc>
          <w:tcPr>
            <w:tcW w:w="100" w:type="dxa"/>
            <w:vAlign w:val="bottom"/>
            <w:tcBorders>
              <w:right w:val="single" w:sz="8" w:color="CCEEFF"/>
            </w:tcBorders>
            <w:shd w:val="clear" w:color="auto" w:fill="CCEEFF"/>
          </w:tcPr>
          <w:p>
            <w:pPr>
              <w:spacing w:after="0"/>
              <w:rPr>
                <w:sz w:val="19"/>
                <w:szCs w:val="19"/>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​1.28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44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holders of the company</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16"/>
                <w:szCs w:val="16"/>
                <w:color w:val="auto"/>
              </w:rPr>
            </w:pPr>
          </w:p>
        </w:tc>
        <w:tc>
          <w:tcPr>
            <w:tcW w:w="460" w:type="dxa"/>
            <w:vAlign w:val="bottom"/>
            <w:gridSpan w:val="4"/>
            <w:vMerge w:val="continue"/>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500" w:type="dxa"/>
            <w:vAlign w:val="bottom"/>
            <w:gridSpan w:val="4"/>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40" w:type="dxa"/>
            <w:vAlign w:val="bottom"/>
            <w:tcBorders>
              <w:left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81"/>
        </w:trPr>
        <w:tc>
          <w:tcPr>
            <w:tcW w:w="360" w:type="dxa"/>
            <w:vAlign w:val="bottom"/>
          </w:tcPr>
          <w:p>
            <w:pPr>
              <w:spacing w:after="0"/>
              <w:rPr>
                <w:sz w:val="7"/>
                <w:szCs w:val="7"/>
                <w:color w:val="auto"/>
              </w:rPr>
            </w:pPr>
          </w:p>
        </w:tc>
        <w:tc>
          <w:tcPr>
            <w:tcW w:w="44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260" w:type="dxa"/>
            <w:vAlign w:val="bottom"/>
            <w:gridSpan w:val="2"/>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480" w:type="dxa"/>
            <w:vAlign w:val="bottom"/>
            <w:tcBorders>
              <w:right w:val="single" w:sz="8" w:color="CCEEFF"/>
            </w:tcBorders>
            <w:gridSpan w:val="4"/>
            <w:shd w:val="clear" w:color="auto" w:fill="CCEEFF"/>
          </w:tcPr>
          <w:p>
            <w:pPr>
              <w:ind w:left="40"/>
              <w:spacing w:after="0" w:line="81" w:lineRule="exact"/>
              <w:rPr>
                <w:sz w:val="20"/>
                <w:szCs w:val="20"/>
                <w:color w:val="auto"/>
              </w:rPr>
            </w:pPr>
            <w:r>
              <w:rPr>
                <w:rFonts w:ascii="Times New Roman" w:cs="Times New Roman" w:eastAsia="Times New Roman" w:hAnsi="Times New Roman"/>
                <w:sz w:val="9"/>
                <w:szCs w:val="9"/>
                <w:b w:val="1"/>
                <w:bCs w:val="1"/>
                <w:color w:val="auto"/>
              </w:rPr>
              <w:t>​​</w:t>
            </w:r>
          </w:p>
        </w:tc>
        <w:tc>
          <w:tcPr>
            <w:tcW w:w="560" w:type="dxa"/>
            <w:vAlign w:val="bottom"/>
            <w:tcBorders>
              <w:left w:val="single" w:sz="8" w:color="CCEEFF"/>
            </w:tcBorders>
            <w:gridSpan w:val="3"/>
            <w:shd w:val="clear" w:color="auto" w:fill="CCEEFF"/>
          </w:tcPr>
          <w:p>
            <w:pPr>
              <w:spacing w:after="0" w:line="81" w:lineRule="exact"/>
              <w:rPr>
                <w:sz w:val="20"/>
                <w:szCs w:val="20"/>
                <w:color w:val="auto"/>
              </w:rPr>
            </w:pPr>
            <w:r>
              <w:rPr>
                <w:rFonts w:ascii="Times New Roman" w:cs="Times New Roman" w:eastAsia="Times New Roman" w:hAnsi="Times New Roman"/>
                <w:sz w:val="9"/>
                <w:szCs w:val="9"/>
                <w:b w:val="1"/>
                <w:bCs w:val="1"/>
                <w:color w:val="auto"/>
              </w:rPr>
              <w:t>​​ ​​</w:t>
            </w:r>
          </w:p>
        </w:tc>
        <w:tc>
          <w:tcPr>
            <w:tcW w:w="40" w:type="dxa"/>
            <w:vAlign w:val="bottom"/>
            <w:tcBorders>
              <w:left w:val="single" w:sz="8" w:color="CCEEF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Reconciliations of earnings used in calculating earnings per share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in € thousands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40" w:type="dxa"/>
            <w:vAlign w:val="bottom"/>
          </w:tcPr>
          <w:p>
            <w:pPr>
              <w:jc w:val="right"/>
              <w:ind w:right="6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47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 (Loss) from continuing operations as presented in the</w:t>
            </w: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4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statement of profit or loss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gridSpan w:val="6"/>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​(71,042)</w:t>
            </w: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6"/>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8"/>
                <w:szCs w:val="18"/>
                <w:color w:val="auto"/>
              </w:rPr>
              <w:t>​(84,111)</w:t>
            </w:r>
          </w:p>
        </w:tc>
        <w:tc>
          <w:tcPr>
            <w:tcW w:w="560" w:type="dxa"/>
            <w:vAlign w:val="bottom"/>
            <w:tcBorders>
              <w:left w:val="single" w:sz="8" w:color="CCEEFF"/>
            </w:tcBorders>
            <w:gridSpan w:val="3"/>
            <w:shd w:val="clear" w:color="auto" w:fill="CCEEFF"/>
          </w:tcPr>
          <w:p>
            <w:pPr>
              <w:jc w:val="right"/>
              <w:spacing w:after="0" w:line="181" w:lineRule="exact"/>
              <w:rPr>
                <w:sz w:val="20"/>
                <w:szCs w:val="20"/>
                <w:color w:val="auto"/>
              </w:rPr>
            </w:pPr>
            <w:r>
              <w:rPr>
                <w:rFonts w:ascii="Times New Roman" w:cs="Times New Roman" w:eastAsia="Times New Roman" w:hAnsi="Times New Roman"/>
                <w:sz w:val="18"/>
                <w:szCs w:val="18"/>
                <w:color w:val="auto"/>
              </w:rPr>
              <w:t>​36,868</w:t>
            </w:r>
          </w:p>
        </w:tc>
        <w:tc>
          <w:tcPr>
            <w:tcW w:w="40" w:type="dxa"/>
            <w:vAlign w:val="bottom"/>
            <w:tcBorders>
              <w:left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4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60" w:type="dxa"/>
            <w:vAlign w:val="bottom"/>
            <w:gridSpan w:val="5"/>
            <w:shd w:val="clear" w:color="auto" w:fill="CCEEFF"/>
          </w:tcPr>
          <w:p>
            <w:pPr>
              <w:ind w:left="40"/>
              <w:spacing w:after="0" w:line="95" w:lineRule="exact"/>
              <w:rPr>
                <w:sz w:val="20"/>
                <w:szCs w:val="20"/>
                <w:color w:val="auto"/>
              </w:rPr>
            </w:pPr>
            <w:r>
              <w:rPr>
                <w:rFonts w:ascii="Times New Roman" w:cs="Times New Roman" w:eastAsia="Times New Roman" w:hAnsi="Times New Roman"/>
                <w:sz w:val="10"/>
                <w:szCs w:val="10"/>
                <w:color w:val="auto"/>
              </w:rPr>
              <w:t>​ ​​</w:t>
            </w:r>
          </w:p>
        </w:tc>
        <w:tc>
          <w:tcPr>
            <w:tcW w:w="140" w:type="dxa"/>
            <w:vAlign w:val="bottom"/>
            <w:tcBorders>
              <w:right w:val="single" w:sz="8" w:color="CCEEFF"/>
            </w:tcBorders>
            <w:shd w:val="clear" w:color="auto" w:fill="CCEEFF"/>
          </w:tcPr>
          <w:p>
            <w:pPr>
              <w:spacing w:after="0"/>
              <w:rPr>
                <w:sz w:val="8"/>
                <w:szCs w:val="8"/>
                <w:color w:val="auto"/>
              </w:rPr>
            </w:pPr>
          </w:p>
        </w:tc>
        <w:tc>
          <w:tcPr>
            <w:tcW w:w="340" w:type="dxa"/>
            <w:vAlign w:val="bottom"/>
            <w:tcBorders>
              <w:right w:val="single" w:sz="8" w:color="CCEEFF"/>
            </w:tcBorders>
            <w:gridSpan w:val="3"/>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 ​​</w:t>
            </w:r>
          </w:p>
        </w:tc>
        <w:tc>
          <w:tcPr>
            <w:tcW w:w="1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right w:val="single" w:sz="8" w:color="CCEEFF"/>
            </w:tcBorders>
            <w:gridSpan w:val="2"/>
            <w:shd w:val="clear" w:color="auto" w:fill="CCEEFF"/>
          </w:tcPr>
          <w:p>
            <w:pPr>
              <w:jc w:val="right"/>
              <w:ind w:right="80"/>
              <w:spacing w:after="0" w:line="95"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tcBorders>
            <w:shd w:val="clear" w:color="auto" w:fill="CCEEFF"/>
          </w:tcPr>
          <w:p>
            <w:pPr>
              <w:jc w:val="right"/>
              <w:spacing w:after="0" w:line="9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40" w:type="dxa"/>
            <w:vAlign w:val="bottom"/>
            <w:tcBorders>
              <w:left w:val="single" w:sz="8" w:color="CCEEF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used as the denominator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7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3"/>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as the</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 in calculating basic and diluted earnings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360" w:type="dxa"/>
            <w:vAlign w:val="bottom"/>
          </w:tcPr>
          <w:p>
            <w:pPr>
              <w:spacing w:after="0"/>
              <w:rPr>
                <w:sz w:val="23"/>
                <w:szCs w:val="23"/>
                <w:color w:val="auto"/>
              </w:rPr>
            </w:pPr>
          </w:p>
        </w:tc>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3060" w:type="dxa"/>
            <w:vAlign w:val="bottom"/>
            <w:gridSpan w:val="20"/>
            <w:shd w:val="clear" w:color="auto" w:fill="CCEEFF"/>
          </w:tcPr>
          <w:p>
            <w:pPr>
              <w:jc w:val="right"/>
              <w:spacing w:after="0" w:line="275"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​38,062,427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​34,935,357</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​28,725,000</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-1293495</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-1293495</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-1293495</wp:posOffset>
            </wp:positionV>
            <wp:extent cx="137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-462280</wp:posOffset>
            </wp:positionV>
            <wp:extent cx="137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-462280</wp:posOffset>
            </wp:positionV>
            <wp:extent cx="3566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w:t>
      </w:r>
    </w:p>
    <w:p>
      <w:pPr>
        <w:spacing w:after="0" w:line="110" w:lineRule="exact"/>
        <w:rPr>
          <w:sz w:val="20"/>
          <w:szCs w:val="20"/>
          <w:color w:val="auto"/>
        </w:rPr>
      </w:pPr>
    </w:p>
    <w:p>
      <w:pPr>
        <w:jc w:val="both"/>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warrants have not been included in the calculation of diluted earnings per share from their date of issue (30 April 2024), because they are anti-dilutive for the year ended December 31, 2025 and 2024. The warrants could potentially dilute basic earnings per share in the future.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Earnout Shares</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color w:val="auto"/>
        </w:rPr>
        <w:t>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19. INTANGIBLE ASSETS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 comprise the following:</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22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Patents and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58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licenses</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acquisition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29,597</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4"/>
          </w:tcPr>
          <w:p>
            <w:pPr>
              <w:ind w:left="12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1,540</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31,137</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 ​​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120" w:type="dxa"/>
            <w:vAlign w:val="bottom"/>
            <w:tcBorders>
              <w:right w:val="single" w:sz="8" w:color="CCEEFF"/>
            </w:tcBorders>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gridSpan w:val="4"/>
            <w:shd w:val="clear" w:color="auto" w:fill="CCEEFF"/>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1,447</w:t>
            </w:r>
          </w:p>
        </w:tc>
        <w:tc>
          <w:tcPr>
            <w:tcW w:w="800" w:type="dxa"/>
            <w:vAlign w:val="bottom"/>
            <w:tcBorders>
              <w:right w:val="single" w:sz="8" w:color="CCEEFF"/>
            </w:tcBorders>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35,891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amortization/write downs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(15,243) </w:t>
            </w:r>
            <w:r>
              <w:rPr>
                <w:rFonts w:ascii="Times New Roman" w:cs="Times New Roman" w:eastAsia="Times New Roman" w:hAnsi="Times New Roman"/>
                <w:sz w:val="31"/>
                <w:szCs w:val="31"/>
                <w:b w:val="1"/>
                <w:bCs w:val="1"/>
                <w:color w:val="auto"/>
                <w:vertAlign w:val="subscript"/>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800" w:type="dxa"/>
            <w:vAlign w:val="bottom"/>
            <w:tcBorders>
              <w:right w:val="single" w:sz="8" w:color="CCEEFF"/>
            </w:tcBorders>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​(16,196</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(2,328) ​​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 (2,544​)</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right w:val="single" w:sz="8" w:color="CCEEFF"/>
            </w:tcBorders>
            <w:shd w:val="clear" w:color="auto" w:fill="CCEEFF"/>
          </w:tcPr>
          <w:p>
            <w:pPr>
              <w:spacing w:after="0"/>
              <w:rPr>
                <w:sz w:val="22"/>
                <w:szCs w:val="2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720" w:type="dxa"/>
            <w:vAlign w:val="bottom"/>
            <w:gridSpan w:val="3"/>
          </w:tcPr>
          <w:p>
            <w:pPr>
              <w:jc w:val="right"/>
              <w:ind w:righ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(17,548)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4"/>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(1,081)</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​(18,629</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14,354</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20" w:type="dxa"/>
            <w:vAlign w:val="bottom"/>
          </w:tcPr>
          <w:p>
            <w:pPr>
              <w:spacing w:after="0"/>
              <w:rPr>
                <w:sz w:val="23"/>
                <w:szCs w:val="23"/>
                <w:color w:val="auto"/>
              </w:rPr>
            </w:pP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14,941</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16,895</w:t>
            </w:r>
          </w:p>
        </w:tc>
        <w:tc>
          <w:tcPr>
            <w:tcW w:w="12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w:t>
            </w:r>
          </w:p>
        </w:tc>
        <w:tc>
          <w:tcPr>
            <w:tcW w:w="1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17,262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Development</w:t>
            </w:r>
          </w:p>
        </w:tc>
        <w:tc>
          <w:tcPr>
            <w:tcW w:w="220" w:type="dxa"/>
            <w:vAlign w:val="bottom"/>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Patents and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8"/>
                <w:szCs w:val="18"/>
                <w:color w:val="auto"/>
              </w:rPr>
            </w:pPr>
          </w:p>
        </w:tc>
        <w:tc>
          <w:tcPr>
            <w:tcW w:w="58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7"/>
              </w:rPr>
              <w:t>licenses</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acquisition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25,729</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3"/>
                <w:szCs w:val="23"/>
                <w:color w:val="auto"/>
              </w:rPr>
            </w:pPr>
          </w:p>
        </w:tc>
        <w:tc>
          <w:tcPr>
            <w:tcW w:w="5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1,372</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27,102</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Disposals/Retirements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 ​</w:t>
            </w:r>
          </w:p>
        </w:tc>
        <w:tc>
          <w:tcPr>
            <w:tcW w:w="1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w:t>
            </w: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right w:val="single" w:sz="8" w:color="CCEEFF"/>
            </w:tcBorders>
            <w:shd w:val="clear" w:color="auto" w:fill="CCEEFF"/>
          </w:tcPr>
          <w:p>
            <w:pPr>
              <w:spacing w:after="0"/>
              <w:rPr>
                <w:sz w:val="22"/>
                <w:szCs w:val="2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29,597</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3"/>
                <w:szCs w:val="23"/>
                <w:color w:val="auto"/>
              </w:rPr>
            </w:pPr>
          </w:p>
        </w:tc>
        <w:tc>
          <w:tcPr>
            <w:tcW w:w="5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1,540</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31,137</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amortization/write downs</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3"/>
                <w:szCs w:val="23"/>
                <w:color w:val="auto"/>
              </w:rPr>
            </w:pPr>
          </w:p>
        </w:tc>
        <w:tc>
          <w:tcPr>
            <w:tcW w:w="9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(11,452) </w:t>
            </w:r>
            <w:r>
              <w:rPr>
                <w:rFonts w:ascii="Times New Roman" w:cs="Times New Roman" w:eastAsia="Times New Roman" w:hAnsi="Times New Roman"/>
                <w:sz w:val="31"/>
                <w:szCs w:val="31"/>
                <w:b w:val="1"/>
                <w:bCs w:val="1"/>
                <w:color w:val="auto"/>
                <w:vertAlign w:val="subscript"/>
              </w:rPr>
              <w:t>​​ ​</w:t>
            </w:r>
          </w:p>
        </w:tc>
        <w:tc>
          <w:tcPr>
            <w:tcW w:w="140" w:type="dxa"/>
            <w:vAlign w:val="bottom"/>
          </w:tcPr>
          <w:p>
            <w:pPr>
              <w:spacing w:after="0"/>
              <w:rPr>
                <w:sz w:val="23"/>
                <w:szCs w:val="23"/>
                <w:color w:val="auto"/>
              </w:rPr>
            </w:pPr>
          </w:p>
        </w:tc>
        <w:tc>
          <w:tcPr>
            <w:tcW w:w="5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(684)</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​(12,136</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(3,801) </w:t>
            </w:r>
            <w:r>
              <w:rPr>
                <w:rFonts w:ascii="Times New Roman" w:cs="Times New Roman" w:eastAsia="Times New Roman" w:hAnsi="Times New Roman"/>
                <w:sz w:val="30"/>
                <w:szCs w:val="30"/>
                <w:b w:val="1"/>
                <w:bCs w:val="1"/>
                <w:color w:val="auto"/>
                <w:vertAlign w:val="subscript"/>
              </w:rPr>
              <w:t>​​ ​</w:t>
            </w:r>
          </w:p>
        </w:tc>
        <w:tc>
          <w:tcPr>
            <w:tcW w:w="140" w:type="dxa"/>
            <w:vAlign w:val="bottom"/>
            <w:tcBorders>
              <w:right w:val="single" w:sz="8" w:color="CCEEFF"/>
            </w:tcBorders>
            <w:shd w:val="clear" w:color="auto" w:fill="CCEEFF"/>
          </w:tcPr>
          <w:p>
            <w:pPr>
              <w:spacing w:after="0"/>
              <w:rPr>
                <w:sz w:val="22"/>
                <w:szCs w:val="22"/>
                <w:color w:val="auto"/>
              </w:rPr>
            </w:pPr>
          </w:p>
        </w:tc>
        <w:tc>
          <w:tcPr>
            <w:tcW w:w="58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(364)</w:t>
            </w:r>
          </w:p>
        </w:tc>
        <w:tc>
          <w:tcPr>
            <w:tcW w:w="80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(4,166</w:t>
            </w:r>
          </w:p>
        </w:tc>
        <w:tc>
          <w:tcPr>
            <w:tcW w:w="60" w:type="dxa"/>
            <w:vAlign w:val="bottom"/>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w w:val="74"/>
                <w:vertAlign w:val="subscript"/>
              </w:rPr>
              <w:t>​</w:t>
            </w: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Disposals/Retirements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2"/>
                <w:szCs w:val="22"/>
                <w:color w:val="auto"/>
              </w:rPr>
            </w:pPr>
          </w:p>
        </w:tc>
        <w:tc>
          <w:tcPr>
            <w:tcW w:w="320" w:type="dxa"/>
            <w:vAlign w:val="bottom"/>
            <w:gridSpan w:val="2"/>
          </w:tcPr>
          <w:p>
            <w:pPr>
              <w:jc w:val="right"/>
              <w:ind w:right="4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5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color w:val="auto"/>
              </w:rPr>
              <w:t>131</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3"/>
                <w:szCs w:val="23"/>
                <w:color w:val="auto"/>
              </w:rPr>
            </w:pPr>
          </w:p>
        </w:tc>
        <w:tc>
          <w:tcPr>
            <w:tcW w:w="9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(15,243) </w:t>
            </w:r>
            <w:r>
              <w:rPr>
                <w:rFonts w:ascii="Times New Roman" w:cs="Times New Roman" w:eastAsia="Times New Roman" w:hAnsi="Times New Roman"/>
                <w:sz w:val="31"/>
                <w:szCs w:val="31"/>
                <w:b w:val="1"/>
                <w:bCs w:val="1"/>
                <w:color w:val="auto"/>
                <w:vertAlign w:val="subscript"/>
              </w:rPr>
              <w:t>​​ ​</w:t>
            </w:r>
          </w:p>
        </w:tc>
        <w:tc>
          <w:tcPr>
            <w:tcW w:w="140" w:type="dxa"/>
            <w:vAlign w:val="bottom"/>
          </w:tcPr>
          <w:p>
            <w:pPr>
              <w:spacing w:after="0"/>
              <w:rPr>
                <w:sz w:val="23"/>
                <w:szCs w:val="23"/>
                <w:color w:val="auto"/>
              </w:rPr>
            </w:pPr>
          </w:p>
        </w:tc>
        <w:tc>
          <w:tcPr>
            <w:tcW w:w="5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(952)</w:t>
            </w: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​(16,196</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14,278</w:t>
            </w:r>
          </w:p>
        </w:tc>
        <w:tc>
          <w:tcPr>
            <w:tcW w:w="1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689</w:t>
            </w:r>
          </w:p>
        </w:tc>
        <w:tc>
          <w:tcPr>
            <w:tcW w:w="120" w:type="dxa"/>
            <w:vAlign w:val="bottom"/>
          </w:tcPr>
          <w:p>
            <w:pPr>
              <w:spacing w:after="0"/>
              <w:rPr>
                <w:sz w:val="23"/>
                <w:szCs w:val="23"/>
                <w:color w:val="auto"/>
              </w:rPr>
            </w:pPr>
          </w:p>
        </w:tc>
        <w:tc>
          <w:tcPr>
            <w:tcW w:w="86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14,966</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14,354</w:t>
            </w:r>
          </w:p>
        </w:tc>
        <w:tc>
          <w:tcPr>
            <w:tcW w:w="12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120" w:type="dxa"/>
            <w:vAlign w:val="bottom"/>
            <w:tcBorders>
              <w:right w:val="single" w:sz="8" w:color="CCEEFF"/>
            </w:tcBorders>
            <w:shd w:val="clear" w:color="auto" w:fill="CCEEFF"/>
          </w:tcPr>
          <w:p>
            <w:pPr>
              <w:spacing w:after="0"/>
              <w:rPr>
                <w:sz w:val="22"/>
                <w:szCs w:val="22"/>
                <w:color w:val="auto"/>
              </w:rPr>
            </w:pPr>
          </w:p>
        </w:tc>
        <w:tc>
          <w:tcPr>
            <w:tcW w:w="80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14,941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-3093720</wp:posOffset>
            </wp:positionV>
            <wp:extent cx="43891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-3436620</wp:posOffset>
            </wp:positionV>
            <wp:extent cx="43891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-4791075</wp:posOffset>
            </wp:positionV>
            <wp:extent cx="43891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-5133975</wp:posOffset>
            </wp:positionV>
            <wp:extent cx="137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-5133975</wp:posOffset>
            </wp:positionV>
            <wp:extent cx="13716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-5133975</wp:posOffset>
            </wp:positionV>
            <wp:extent cx="137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-187960</wp:posOffset>
            </wp:positionV>
            <wp:extent cx="43891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-530860</wp:posOffset>
            </wp:positionV>
            <wp:extent cx="43891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-873760</wp:posOffset>
            </wp:positionV>
            <wp:extent cx="43891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-1233805</wp:posOffset>
            </wp:positionV>
            <wp:extent cx="43891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-1576705</wp:posOffset>
            </wp:positionV>
            <wp:extent cx="43891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-2245360</wp:posOffset>
            </wp:positionV>
            <wp:extent cx="43891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389120"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-2588260</wp:posOffset>
            </wp:positionV>
            <wp:extent cx="1371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-2588260</wp:posOffset>
            </wp:positionV>
            <wp:extent cx="137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-2588260</wp:posOffset>
            </wp:positionV>
            <wp:extent cx="137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w:t>
      </w: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Impairment test on development cost</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 12.59%). The recoverable amount of the CGU was estimated to be higher than its carrying amount and no impairment was required. In the event of a change in the key assumptions in the single-digit percentage range, sufficient headroom remains.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 PROPERTY, PLANT AND EQUIPMENT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Property, plant and equipment is comprised of the following:</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Land,</w:t>
            </w:r>
          </w:p>
        </w:tc>
        <w:tc>
          <w:tcPr>
            <w:tcW w:w="2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Technical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buildings and</w:t>
            </w:r>
          </w:p>
        </w:tc>
        <w:tc>
          <w:tcPr>
            <w:tcW w:w="24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equipment</w:t>
            </w:r>
          </w:p>
        </w:tc>
        <w:tc>
          <w:tcPr>
            <w:tcW w:w="260" w:type="dxa"/>
            <w:vAlign w:val="bottom"/>
          </w:tcPr>
          <w:p>
            <w:pPr>
              <w:spacing w:after="0"/>
              <w:rPr>
                <w:sz w:val="14"/>
                <w:szCs w:val="14"/>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9"/>
              </w:rPr>
              <w:t>Office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leasehold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Assets under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920" w:type="dxa"/>
            <w:vAlign w:val="bottom"/>
            <w:gridSpan w:val="8"/>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improvements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machinery</w:t>
            </w:r>
          </w:p>
        </w:tc>
        <w:tc>
          <w:tcPr>
            <w:tcW w:w="1900" w:type="dxa"/>
            <w:vAlign w:val="bottom"/>
            <w:gridSpan w:val="8"/>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equipment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construction</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acquisition or construction:</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Borders>
              <w:right w:val="single" w:sz="8" w:color="CCEEFF"/>
            </w:tcBorders>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235</w:t>
            </w:r>
          </w:p>
        </w:tc>
        <w:tc>
          <w:tcPr>
            <w:tcW w:w="8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16,509</w:t>
            </w:r>
          </w:p>
        </w:tc>
        <w:tc>
          <w:tcPr>
            <w:tcW w:w="11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b w:val="1"/>
                <w:bCs w:val="1"/>
                <w:color w:val="auto"/>
              </w:rPr>
              <w:t xml:space="preserve">​​ ​ ​ </w:t>
            </w:r>
            <w:r>
              <w:rPr>
                <w:rFonts w:ascii="Times New Roman" w:cs="Times New Roman" w:eastAsia="Times New Roman" w:hAnsi="Times New Roman"/>
                <w:sz w:val="31"/>
                <w:szCs w:val="31"/>
                <w:b w:val="1"/>
                <w:bCs w:val="1"/>
                <w:color w:val="auto"/>
                <w:vertAlign w:val="superscript"/>
              </w:rPr>
              <w:t>15,968</w:t>
            </w:r>
            <w:r>
              <w:rPr>
                <w:rFonts w:ascii="Times New Roman" w:cs="Times New Roman" w:eastAsia="Times New Roman" w:hAnsi="Times New Roman"/>
                <w:sz w:val="17"/>
                <w:szCs w:val="17"/>
                <w:b w:val="1"/>
                <w:bCs w:val="1"/>
                <w:color w:val="auto"/>
              </w:rPr>
              <w:t xml:space="preserve"> ​​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470</w:t>
            </w:r>
          </w:p>
        </w:tc>
        <w:tc>
          <w:tcPr>
            <w:tcW w:w="8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33,182</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1,043</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Disposals/Retirements</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(583)​​ ​ </w:t>
            </w: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(186)​​ ​ </w:t>
            </w: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328</w:t>
            </w:r>
          </w:p>
        </w:tc>
        <w:tc>
          <w:tcPr>
            <w:tcW w:w="8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15,928</w:t>
            </w:r>
          </w:p>
        </w:tc>
        <w:tc>
          <w:tcPr>
            <w:tcW w:w="11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17"/>
                <w:szCs w:val="17"/>
                <w:b w:val="1"/>
                <w:bCs w:val="1"/>
                <w:color w:val="auto"/>
              </w:rPr>
              <w:t xml:space="preserve">​​ ​ ​ </w:t>
            </w:r>
            <w:r>
              <w:rPr>
                <w:rFonts w:ascii="Times New Roman" w:cs="Times New Roman" w:eastAsia="Times New Roman" w:hAnsi="Times New Roman"/>
                <w:sz w:val="31"/>
                <w:szCs w:val="31"/>
                <w:b w:val="1"/>
                <w:bCs w:val="1"/>
                <w:color w:val="auto"/>
                <w:vertAlign w:val="superscript"/>
              </w:rPr>
              <w:t>15,920</w:t>
            </w:r>
            <w:r>
              <w:rPr>
                <w:rFonts w:ascii="Times New Roman" w:cs="Times New Roman" w:eastAsia="Times New Roman" w:hAnsi="Times New Roman"/>
                <w:sz w:val="17"/>
                <w:szCs w:val="17"/>
                <w:b w:val="1"/>
                <w:bCs w:val="1"/>
                <w:color w:val="auto"/>
              </w:rPr>
              <w:t xml:space="preserve"> ​​ ​</w:t>
            </w:r>
          </w:p>
        </w:tc>
        <w:tc>
          <w:tcPr>
            <w:tcW w:w="800" w:type="dxa"/>
            <w:vAlign w:val="bottom"/>
            <w:gridSpan w:val="4"/>
          </w:tcPr>
          <w:p>
            <w:pPr>
              <w:ind w:left="16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1,513</w:t>
            </w:r>
          </w:p>
        </w:tc>
        <w:tc>
          <w:tcPr>
            <w:tcW w:w="8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33,690</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Borders>
              <w:right w:val="single" w:sz="8" w:color="CCEEFF"/>
            </w:tcBorders>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 xml:space="preserve"> 739</w:t>
            </w:r>
          </w:p>
        </w:tc>
        <w:tc>
          <w:tcPr>
            <w:tcW w:w="1980" w:type="dxa"/>
            <w:vAlign w:val="bottom"/>
            <w:gridSpan w:val="7"/>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(14,496)</w:t>
            </w: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(14,145)</w:t>
            </w:r>
            <w:r>
              <w:rPr>
                <w:rFonts w:ascii="Times New Roman" w:cs="Times New Roman" w:eastAsia="Times New Roman" w:hAnsi="Times New Roman"/>
                <w:sz w:val="31"/>
                <w:szCs w:val="31"/>
                <w:b w:val="1"/>
                <w:bCs w:val="1"/>
                <w:color w:val="auto"/>
                <w:vertAlign w:val="subscript"/>
              </w:rPr>
              <w:t>​​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​(27,902</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(860)</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(1,151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Disposals/Retirements</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5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right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(121)</w:t>
            </w:r>
          </w:p>
        </w:tc>
        <w:tc>
          <w:tcPr>
            <w:tcW w:w="1980" w:type="dxa"/>
            <w:vAlign w:val="bottom"/>
            <w:gridSpan w:val="7"/>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(13,604)</w:t>
            </w: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(14,461)</w:t>
            </w:r>
            <w:r>
              <w:rPr>
                <w:rFonts w:ascii="Times New Roman" w:cs="Times New Roman" w:eastAsia="Times New Roman" w:hAnsi="Times New Roman"/>
                <w:sz w:val="31"/>
                <w:szCs w:val="31"/>
                <w:b w:val="1"/>
                <w:bCs w:val="1"/>
                <w:color w:val="auto"/>
                <w:vertAlign w:val="subscript"/>
              </w:rPr>
              <w:t>​​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17"/>
                <w:szCs w:val="17"/>
                <w:b w:val="1"/>
                <w:bCs w:val="1"/>
                <w:color w:val="auto"/>
              </w:rPr>
              <w:t>​(28,186</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0" w:type="dxa"/>
            <w:vAlign w:val="bottom"/>
            <w:vMerge w:val="continue"/>
            <w:shd w:val="clear" w:color="auto" w:fill="CCEEFF"/>
          </w:tcPr>
          <w:p>
            <w:pPr>
              <w:spacing w:after="0"/>
              <w:rPr>
                <w:sz w:val="22"/>
                <w:szCs w:val="22"/>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Borders>
              <w:right w:val="single" w:sz="8" w:color="CCEEFF"/>
            </w:tcBorders>
            <w:shd w:val="clear" w:color="auto" w:fill="CCEEFF"/>
          </w:tcPr>
          <w:p>
            <w:pPr>
              <w:spacing w:after="0"/>
              <w:rPr>
                <w:sz w:val="22"/>
                <w:szCs w:val="22"/>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1/1/2025</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83"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973</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470</w:t>
            </w:r>
          </w:p>
        </w:tc>
        <w:tc>
          <w:tcPr>
            <w:tcW w:w="300" w:type="dxa"/>
            <w:vAlign w:val="bottom"/>
            <w:gridSpan w:val="2"/>
          </w:tcPr>
          <w:p>
            <w:pPr>
              <w:spacing w:after="0" w:line="283"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2"/>
                <w:szCs w:val="32"/>
                <w:b w:val="1"/>
                <w:bCs w:val="1"/>
                <w:color w:val="auto"/>
                <w:vertAlign w:val="superscript"/>
              </w:rPr>
              <w:t>​</w:t>
            </w:r>
          </w:p>
        </w:tc>
        <w:tc>
          <w:tcPr>
            <w:tcW w:w="54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b w:val="1"/>
                <w:bCs w:val="1"/>
                <w:color w:val="auto"/>
              </w:rPr>
              <w:t>5,280</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tcBorders>
              <w:right w:val="single" w:sz="8" w:color="CCEEFF"/>
            </w:tcBorders>
            <w:gridSpan w:val="4"/>
            <w:shd w:val="clear" w:color="auto" w:fill="CCEEFF"/>
          </w:tcPr>
          <w:p>
            <w:pPr>
              <w:ind w:left="24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207</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00" w:type="dxa"/>
            <w:vAlign w:val="bottom"/>
            <w:tcBorders>
              <w:right w:val="single" w:sz="8" w:color="CCEEFF"/>
            </w:tcBorders>
            <w:gridSpan w:val="4"/>
            <w:shd w:val="clear" w:color="auto" w:fill="CCEEFF"/>
          </w:tcPr>
          <w:p>
            <w:pPr>
              <w:ind w:left="16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1,513</w:t>
            </w:r>
          </w:p>
        </w:tc>
        <w:tc>
          <w:tcPr>
            <w:tcW w:w="300" w:type="dxa"/>
            <w:vAlign w:val="bottom"/>
            <w:gridSpan w:val="2"/>
            <w:shd w:val="clear" w:color="auto" w:fill="CCEEFF"/>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2"/>
                <w:szCs w:val="32"/>
                <w:b w:val="1"/>
                <w:bCs w:val="1"/>
                <w:color w:val="auto"/>
                <w:vertAlign w:val="superscript"/>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-187960</wp:posOffset>
            </wp:positionV>
            <wp:extent cx="2660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-187960</wp:posOffset>
            </wp:positionV>
            <wp:extent cx="28257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36690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-548005</wp:posOffset>
            </wp:positionV>
            <wp:extent cx="2660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-548005</wp:posOffset>
            </wp:positionV>
            <wp:extent cx="28257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-548005</wp:posOffset>
            </wp:positionV>
            <wp:extent cx="366903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669030" cy="889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-1216660</wp:posOffset>
            </wp:positionV>
            <wp:extent cx="26606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-1216660</wp:posOffset>
            </wp:positionV>
            <wp:extent cx="2825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-1216660</wp:posOffset>
            </wp:positionV>
            <wp:extent cx="366903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669030" cy="8890"/>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-1559560</wp:posOffset>
            </wp:positionV>
            <wp:extent cx="26606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-1559560</wp:posOffset>
            </wp:positionV>
            <wp:extent cx="28257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-1559560</wp:posOffset>
            </wp:positionV>
            <wp:extent cx="36690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5386070</wp:posOffset>
            </wp:positionH>
            <wp:positionV relativeFrom="paragraph">
              <wp:posOffset>-2228215</wp:posOffset>
            </wp:positionV>
            <wp:extent cx="2660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6065"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-2228215</wp:posOffset>
            </wp:positionV>
            <wp:extent cx="2825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36690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669030"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-2571115</wp:posOffset>
            </wp:positionV>
            <wp:extent cx="13716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-2571115</wp:posOffset>
            </wp:positionV>
            <wp:extent cx="137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-2571115</wp:posOffset>
            </wp:positionV>
            <wp:extent cx="1371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-2571115</wp:posOffset>
            </wp:positionV>
            <wp:extent cx="1289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-2571115</wp:posOffset>
            </wp:positionV>
            <wp:extent cx="1200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Land,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Technical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buildings and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equipment</w:t>
            </w:r>
          </w:p>
        </w:tc>
        <w:tc>
          <w:tcPr>
            <w:tcW w:w="2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Office and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leasehold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Assets under</w:t>
            </w:r>
          </w:p>
        </w:tc>
      </w:tr>
      <w:tr>
        <w:trPr>
          <w:trHeight w:val="214"/>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92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improvements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machinery</w:t>
            </w:r>
          </w:p>
        </w:tc>
        <w:tc>
          <w:tcPr>
            <w:tcW w:w="100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equipment </w:t>
            </w:r>
            <w:r>
              <w:rPr>
                <w:rFonts w:ascii="Times New Roman" w:cs="Times New Roman" w:eastAsia="Times New Roman" w:hAnsi="Times New Roman"/>
                <w:sz w:val="24"/>
                <w:szCs w:val="24"/>
                <w:b w:val="1"/>
                <w:bCs w:val="1"/>
                <w:color w:val="auto"/>
                <w:vertAlign w:val="subscript"/>
              </w:rPr>
              <w:t>​</w:t>
            </w:r>
          </w:p>
        </w:tc>
        <w:tc>
          <w:tcPr>
            <w:tcW w:w="17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construction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p>
        </w:tc>
      </w:tr>
      <w:tr>
        <w:trPr>
          <w:trHeight w:val="20"/>
        </w:trPr>
        <w:tc>
          <w:tcPr>
            <w:tcW w:w="3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tbl>
      <w:tblPr>
        <w:tblLayout w:type="fixed"/>
        <w:tblInd w:w="1260" w:type="dxa"/>
        <w:tblCellMar>
          <w:top w:w="0" w:type="dxa"/>
          <w:left w:w="0" w:type="dxa"/>
          <w:bottom w:w="0" w:type="dxa"/>
          <w:right w:w="0" w:type="dxa"/>
        </w:tblCellMar>
      </w:tblP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of acquisition or construction:</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2"/>
                <w:szCs w:val="22"/>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2"/>
                <w:szCs w:val="22"/>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line="252" w:lineRule="exact"/>
              <w:rPr>
                <w:sz w:val="20"/>
                <w:szCs w:val="20"/>
                <w:color w:val="auto"/>
              </w:rPr>
            </w:pPr>
            <w:r>
              <w:rPr>
                <w:rFonts w:ascii="Times New Roman" w:cs="Times New Roman" w:eastAsia="Times New Roman" w:hAnsi="Times New Roman"/>
                <w:sz w:val="29"/>
                <w:szCs w:val="29"/>
                <w:b w:val="1"/>
                <w:bCs w:val="1"/>
                <w:color w:val="auto"/>
                <w:w w:val="99"/>
                <w:vertAlign w:val="subscript"/>
              </w:rPr>
              <w:t>​</w:t>
            </w:r>
            <w:r>
              <w:rPr>
                <w:rFonts w:ascii="Times New Roman" w:cs="Times New Roman" w:eastAsia="Times New Roman" w:hAnsi="Times New Roman"/>
                <w:sz w:val="16"/>
                <w:szCs w:val="16"/>
                <w:b w:val="1"/>
                <w:bCs w:val="1"/>
                <w:color w:val="auto"/>
                <w:w w:val="99"/>
              </w:rPr>
              <w:t>​220</w:t>
            </w:r>
          </w:p>
        </w:tc>
        <w:tc>
          <w:tcPr>
            <w:tcW w:w="180" w:type="dxa"/>
            <w:vAlign w:val="bottom"/>
          </w:tcPr>
          <w:p>
            <w:pPr>
              <w:spacing w:after="0"/>
              <w:rPr>
                <w:sz w:val="21"/>
                <w:szCs w:val="21"/>
                <w:color w:val="auto"/>
              </w:rPr>
            </w:pPr>
          </w:p>
        </w:tc>
        <w:tc>
          <w:tcPr>
            <w:tcW w:w="940" w:type="dxa"/>
            <w:vAlign w:val="bottom"/>
            <w:gridSpan w:val="3"/>
          </w:tcPr>
          <w:p>
            <w:pPr>
              <w:ind w:left="120"/>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 16,330</w:t>
            </w:r>
          </w:p>
        </w:tc>
        <w:tc>
          <w:tcPr>
            <w:tcW w:w="1400" w:type="dxa"/>
            <w:vAlign w:val="bottom"/>
            <w:gridSpan w:val="4"/>
          </w:tcPr>
          <w:p>
            <w:pPr>
              <w:jc w:val="right"/>
              <w:ind w:right="170"/>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 ​ </w:t>
            </w:r>
            <w:r>
              <w:rPr>
                <w:rFonts w:ascii="Times New Roman" w:cs="Times New Roman" w:eastAsia="Times New Roman" w:hAnsi="Times New Roman"/>
                <w:sz w:val="29"/>
                <w:szCs w:val="29"/>
                <w:b w:val="1"/>
                <w:bCs w:val="1"/>
                <w:color w:val="auto"/>
                <w:vertAlign w:val="superscript"/>
              </w:rPr>
              <w:t>15,386</w:t>
            </w:r>
            <w:r>
              <w:rPr>
                <w:rFonts w:ascii="Times New Roman" w:cs="Times New Roman" w:eastAsia="Times New Roman" w:hAnsi="Times New Roman"/>
                <w:sz w:val="16"/>
                <w:szCs w:val="16"/>
                <w:b w:val="1"/>
                <w:bCs w:val="1"/>
                <w:color w:val="auto"/>
              </w:rPr>
              <w:t xml:space="preserve"> ​​ ​</w:t>
            </w:r>
          </w:p>
        </w:tc>
        <w:tc>
          <w:tcPr>
            <w:tcW w:w="340" w:type="dxa"/>
            <w:vAlign w:val="bottom"/>
            <w:gridSpan w:val="3"/>
          </w:tcPr>
          <w:p>
            <w:pPr>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513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14</w:t>
            </w:r>
          </w:p>
        </w:tc>
        <w:tc>
          <w:tcPr>
            <w:tcW w:w="180" w:type="dxa"/>
            <w:vAlign w:val="bottom"/>
          </w:tcPr>
          <w:p>
            <w:pPr>
              <w:spacing w:after="0"/>
              <w:rPr>
                <w:sz w:val="23"/>
                <w:szCs w:val="23"/>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Disposals/Retirements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(184)​​ ​ </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(253)​​ ​</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line="252" w:lineRule="exact"/>
              <w:rPr>
                <w:sz w:val="20"/>
                <w:szCs w:val="20"/>
                <w:color w:val="auto"/>
              </w:rPr>
            </w:pPr>
            <w:r>
              <w:rPr>
                <w:rFonts w:ascii="Times New Roman" w:cs="Times New Roman" w:eastAsia="Times New Roman" w:hAnsi="Times New Roman"/>
                <w:sz w:val="29"/>
                <w:szCs w:val="29"/>
                <w:b w:val="1"/>
                <w:bCs w:val="1"/>
                <w:color w:val="auto"/>
                <w:w w:val="99"/>
                <w:vertAlign w:val="subscript"/>
              </w:rPr>
              <w:t>​</w:t>
            </w:r>
            <w:r>
              <w:rPr>
                <w:rFonts w:ascii="Times New Roman" w:cs="Times New Roman" w:eastAsia="Times New Roman" w:hAnsi="Times New Roman"/>
                <w:sz w:val="16"/>
                <w:szCs w:val="16"/>
                <w:b w:val="1"/>
                <w:bCs w:val="1"/>
                <w:color w:val="auto"/>
                <w:w w:val="99"/>
              </w:rPr>
              <w:t>​235</w:t>
            </w:r>
          </w:p>
        </w:tc>
        <w:tc>
          <w:tcPr>
            <w:tcW w:w="180" w:type="dxa"/>
            <w:vAlign w:val="bottom"/>
          </w:tcPr>
          <w:p>
            <w:pPr>
              <w:spacing w:after="0"/>
              <w:rPr>
                <w:sz w:val="21"/>
                <w:szCs w:val="21"/>
                <w:color w:val="auto"/>
              </w:rPr>
            </w:pPr>
          </w:p>
        </w:tc>
        <w:tc>
          <w:tcPr>
            <w:tcW w:w="940" w:type="dxa"/>
            <w:vAlign w:val="bottom"/>
            <w:gridSpan w:val="3"/>
          </w:tcPr>
          <w:p>
            <w:pPr>
              <w:ind w:left="120"/>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 16,509</w:t>
            </w:r>
          </w:p>
        </w:tc>
        <w:tc>
          <w:tcPr>
            <w:tcW w:w="1400" w:type="dxa"/>
            <w:vAlign w:val="bottom"/>
            <w:gridSpan w:val="4"/>
          </w:tcPr>
          <w:p>
            <w:pPr>
              <w:jc w:val="right"/>
              <w:ind w:right="170"/>
              <w:spacing w:after="0" w:line="252" w:lineRule="exact"/>
              <w:rPr>
                <w:sz w:val="20"/>
                <w:szCs w:val="20"/>
                <w:color w:val="auto"/>
              </w:rPr>
            </w:pPr>
            <w:r>
              <w:rPr>
                <w:rFonts w:ascii="Times New Roman" w:cs="Times New Roman" w:eastAsia="Times New Roman" w:hAnsi="Times New Roman"/>
                <w:sz w:val="16"/>
                <w:szCs w:val="16"/>
                <w:b w:val="1"/>
                <w:bCs w:val="1"/>
                <w:color w:val="auto"/>
              </w:rPr>
              <w:t xml:space="preserve">​​ ​ ​ </w:t>
            </w:r>
            <w:r>
              <w:rPr>
                <w:rFonts w:ascii="Times New Roman" w:cs="Times New Roman" w:eastAsia="Times New Roman" w:hAnsi="Times New Roman"/>
                <w:sz w:val="29"/>
                <w:szCs w:val="29"/>
                <w:b w:val="1"/>
                <w:bCs w:val="1"/>
                <w:color w:val="auto"/>
                <w:vertAlign w:val="superscript"/>
              </w:rPr>
              <w:t>15,968</w:t>
            </w:r>
            <w:r>
              <w:rPr>
                <w:rFonts w:ascii="Times New Roman" w:cs="Times New Roman" w:eastAsia="Times New Roman" w:hAnsi="Times New Roman"/>
                <w:sz w:val="16"/>
                <w:szCs w:val="16"/>
                <w:b w:val="1"/>
                <w:bCs w:val="1"/>
                <w:color w:val="auto"/>
              </w:rPr>
              <w:t xml:space="preserve"> ​​ ​</w:t>
            </w:r>
          </w:p>
        </w:tc>
        <w:tc>
          <w:tcPr>
            <w:tcW w:w="340" w:type="dxa"/>
            <w:vAlign w:val="bottom"/>
            <w:gridSpan w:val="3"/>
          </w:tcPr>
          <w:p>
            <w:pPr>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470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160" w:type="dxa"/>
            <w:vAlign w:val="bottom"/>
            <w:vMerge w:val="continue"/>
          </w:tcPr>
          <w:p>
            <w:pPr>
              <w:spacing w:after="0"/>
              <w:rPr>
                <w:sz w:val="23"/>
                <w:szCs w:val="23"/>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3"/>
                <w:szCs w:val="2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3"/>
                <w:szCs w:val="23"/>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​(71)</w:t>
            </w:r>
          </w:p>
        </w:tc>
        <w:tc>
          <w:tcPr>
            <w:tcW w:w="2340" w:type="dxa"/>
            <w:vAlign w:val="bottom"/>
            <w:gridSpan w:val="7"/>
          </w:tcPr>
          <w:p>
            <w:pPr>
              <w:jc w:val="right"/>
              <w:ind w:right="170"/>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(13,314)</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(13,359)</w:t>
            </w:r>
            <w:r>
              <w:rPr>
                <w:rFonts w:ascii="Times New Roman" w:cs="Times New Roman" w:eastAsia="Times New Roman" w:hAnsi="Times New Roman"/>
                <w:sz w:val="29"/>
                <w:szCs w:val="29"/>
                <w:b w:val="1"/>
                <w:bCs w:val="1"/>
                <w:color w:val="auto"/>
                <w:vertAlign w:val="subscript"/>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(653)​​ ​ </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(803)​​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Disposals/Retirements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88"/>
              </w:rPr>
              <w:t>​831</w:t>
            </w:r>
          </w:p>
        </w:tc>
        <w:tc>
          <w:tcPr>
            <w:tcW w:w="180" w:type="dxa"/>
            <w:vAlign w:val="bottom"/>
          </w:tcPr>
          <w:p>
            <w:pPr>
              <w:spacing w:after="0"/>
              <w:rPr>
                <w:sz w:val="22"/>
                <w:szCs w:val="22"/>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(461)​​ ​ </w:t>
            </w: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(68)​​ ​ </w:t>
            </w: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line="252" w:lineRule="exact"/>
              <w:rPr>
                <w:sz w:val="20"/>
                <w:szCs w:val="20"/>
                <w:color w:val="auto"/>
              </w:rPr>
            </w:pPr>
            <w:r>
              <w:rPr>
                <w:rFonts w:ascii="Times New Roman" w:cs="Times New Roman" w:eastAsia="Times New Roman" w:hAnsi="Times New Roman"/>
                <w:sz w:val="29"/>
                <w:szCs w:val="29"/>
                <w:b w:val="1"/>
                <w:bCs w:val="1"/>
                <w:color w:val="auto"/>
                <w:w w:val="99"/>
                <w:vertAlign w:val="subscript"/>
              </w:rPr>
              <w:t>​</w:t>
            </w:r>
            <w:r>
              <w:rPr>
                <w:rFonts w:ascii="Times New Roman" w:cs="Times New Roman" w:eastAsia="Times New Roman" w:hAnsi="Times New Roman"/>
                <w:sz w:val="16"/>
                <w:szCs w:val="16"/>
                <w:b w:val="1"/>
                <w:bCs w:val="1"/>
                <w:color w:val="auto"/>
                <w:w w:val="99"/>
              </w:rPr>
              <w:t>​739</w:t>
            </w:r>
          </w:p>
        </w:tc>
        <w:tc>
          <w:tcPr>
            <w:tcW w:w="180" w:type="dxa"/>
            <w:vAlign w:val="bottom"/>
          </w:tcPr>
          <w:p>
            <w:pPr>
              <w:spacing w:after="0"/>
              <w:rPr>
                <w:sz w:val="21"/>
                <w:szCs w:val="21"/>
                <w:color w:val="auto"/>
              </w:rPr>
            </w:pPr>
          </w:p>
        </w:tc>
        <w:tc>
          <w:tcPr>
            <w:tcW w:w="2340" w:type="dxa"/>
            <w:vAlign w:val="bottom"/>
            <w:gridSpan w:val="7"/>
          </w:tcPr>
          <w:p>
            <w:pPr>
              <w:jc w:val="right"/>
              <w:ind w:right="170"/>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(14,496)</w:t>
            </w:r>
            <w:r>
              <w:rPr>
                <w:rFonts w:ascii="Times New Roman" w:cs="Times New Roman" w:eastAsia="Times New Roman" w:hAnsi="Times New Roman"/>
                <w:sz w:val="29"/>
                <w:szCs w:val="29"/>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(14,145)</w:t>
            </w:r>
            <w:r>
              <w:rPr>
                <w:rFonts w:ascii="Times New Roman" w:cs="Times New Roman" w:eastAsia="Times New Roman" w:hAnsi="Times New Roman"/>
                <w:sz w:val="29"/>
                <w:szCs w:val="29"/>
                <w:b w:val="1"/>
                <w:bCs w:val="1"/>
                <w:color w:val="auto"/>
                <w:vertAlign w:val="subscript"/>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160" w:type="dxa"/>
            <w:vAlign w:val="bottom"/>
            <w:vMerge w:val="continue"/>
          </w:tcPr>
          <w:p>
            <w:pPr>
              <w:spacing w:after="0"/>
              <w:rPr>
                <w:sz w:val="24"/>
                <w:szCs w:val="24"/>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line="256" w:lineRule="exact"/>
              <w:rPr>
                <w:sz w:val="20"/>
                <w:szCs w:val="20"/>
                <w:color w:val="auto"/>
              </w:rPr>
            </w:pPr>
            <w:r>
              <w:rPr>
                <w:rFonts w:ascii="Times New Roman" w:cs="Times New Roman" w:eastAsia="Times New Roman" w:hAnsi="Times New Roman"/>
                <w:sz w:val="29"/>
                <w:szCs w:val="29"/>
                <w:b w:val="1"/>
                <w:bCs w:val="1"/>
                <w:color w:val="auto"/>
                <w:w w:val="99"/>
                <w:vertAlign w:val="subscript"/>
              </w:rPr>
              <w:t>​</w:t>
            </w:r>
            <w:r>
              <w:rPr>
                <w:rFonts w:ascii="Times New Roman" w:cs="Times New Roman" w:eastAsia="Times New Roman" w:hAnsi="Times New Roman"/>
                <w:sz w:val="16"/>
                <w:szCs w:val="16"/>
                <w:b w:val="1"/>
                <w:bCs w:val="1"/>
                <w:color w:val="auto"/>
                <w:w w:val="99"/>
              </w:rPr>
              <w:t>​149</w:t>
            </w:r>
          </w:p>
        </w:tc>
        <w:tc>
          <w:tcPr>
            <w:tcW w:w="180" w:type="dxa"/>
            <w:vAlign w:val="bottom"/>
          </w:tcPr>
          <w:p>
            <w:pPr>
              <w:spacing w:after="0"/>
              <w:rPr>
                <w:sz w:val="22"/>
                <w:szCs w:val="22"/>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3,016</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513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35"/>
                <w:szCs w:val="35"/>
                <w:b w:val="1"/>
                <w:bCs w:val="1"/>
                <w:color w:val="auto"/>
                <w:w w:val="88"/>
                <w:vertAlign w:val="subscript"/>
              </w:rPr>
              <w:t>​</w:t>
            </w:r>
            <w:r>
              <w:rPr>
                <w:rFonts w:ascii="Times New Roman" w:cs="Times New Roman" w:eastAsia="Times New Roman" w:hAnsi="Times New Roman"/>
                <w:sz w:val="18"/>
                <w:szCs w:val="18"/>
                <w:b w:val="1"/>
                <w:bCs w:val="1"/>
                <w:color w:val="auto"/>
                <w:w w:val="88"/>
              </w:rPr>
              <w:t>​973</w:t>
            </w:r>
          </w:p>
        </w:tc>
        <w:tc>
          <w:tcPr>
            <w:tcW w:w="180" w:type="dxa"/>
            <w:vAlign w:val="bottom"/>
          </w:tcPr>
          <w:p>
            <w:pPr>
              <w:spacing w:after="0"/>
              <w:rPr>
                <w:sz w:val="24"/>
                <w:szCs w:val="24"/>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w:t>
            </w: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3"/>
          </w:tcPr>
          <w:p>
            <w:pPr>
              <w:spacing w:after="0"/>
              <w:rPr>
                <w:sz w:val="20"/>
                <w:szCs w:val="20"/>
                <w:color w:val="auto"/>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18"/>
                <w:szCs w:val="18"/>
                <w:b w:val="1"/>
                <w:bCs w:val="1"/>
                <w:color w:val="auto"/>
              </w:rPr>
              <w:t>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-1989455</wp:posOffset>
            </wp:positionV>
            <wp:extent cx="5212080" cy="16319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-977900</wp:posOffset>
            </wp:positionV>
            <wp:extent cx="5212080"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-283210</wp:posOffset>
            </wp:positionV>
            <wp:extent cx="5212080" cy="1885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-643255</wp:posOffset>
            </wp:positionV>
            <wp:extent cx="5212080" cy="1797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-1311910</wp:posOffset>
            </wp:positionV>
            <wp:extent cx="5212080" cy="1714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-1654810</wp:posOffset>
            </wp:positionV>
            <wp:extent cx="5212080" cy="1714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-2323465</wp:posOffset>
            </wp:positionV>
            <wp:extent cx="5212080"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3"/>
        <w:spacing w:after="0"/>
        <w:tabs>
          <w:tab w:leader="none" w:pos="782"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ind w:left="183" w:hanging="183"/>
        <w:spacing w:after="0" w:line="184" w:lineRule="auto"/>
        <w:tabs>
          <w:tab w:leader="none" w:pos="183" w:val="left"/>
        </w:tabs>
        <w:numPr>
          <w:ilvl w:val="0"/>
          <w:numId w:val="98"/>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33"/>
          <w:szCs w:val="33"/>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 32,449</w:t>
      </w:r>
      <w:r>
        <w:rPr>
          <w:rFonts w:ascii="Times New Roman" w:cs="Times New Roman" w:eastAsia="Times New Roman" w:hAnsi="Times New Roman"/>
          <w:sz w:val="33"/>
          <w:szCs w:val="33"/>
          <w:b w:val="1"/>
          <w:bCs w:val="1"/>
          <w:color w:val="auto"/>
          <w:vertAlign w:val="subscript"/>
        </w:rPr>
        <w:t>​</w:t>
      </w:r>
    </w:p>
    <w:p>
      <w:pPr>
        <w:spacing w:after="0" w:line="10" w:lineRule="exact"/>
        <w:rPr>
          <w:sz w:val="20"/>
          <w:szCs w:val="20"/>
          <w:color w:val="auto"/>
        </w:rPr>
      </w:pPr>
    </w:p>
    <w:tbl>
      <w:tblPr>
        <w:tblLayout w:type="fixed"/>
        <w:tblInd w:w="3" w:type="dxa"/>
        <w:tblCellMar>
          <w:top w:w="0" w:type="dxa"/>
          <w:left w:w="0" w:type="dxa"/>
          <w:bottom w:w="0" w:type="dxa"/>
          <w:right w:w="0" w:type="dxa"/>
        </w:tblCellMar>
      </w:tblP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5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6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bl>
    <w:p>
      <w:pPr>
        <w:ind w:left="183" w:hanging="183"/>
        <w:spacing w:after="0" w:line="181" w:lineRule="auto"/>
        <w:tabs>
          <w:tab w:leader="none" w:pos="183" w:val="left"/>
        </w:tabs>
        <w:numPr>
          <w:ilvl w:val="0"/>
          <w:numId w:val="99"/>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30"/>
          <w:szCs w:val="30"/>
          <w:b w:val="1"/>
          <w:bCs w:val="1"/>
          <w:u w:val="single" w:color="auto"/>
          <w:color w:val="auto"/>
          <w:vertAlign w:val="subscript"/>
        </w:rPr>
        <w:t>​</w:t>
      </w:r>
      <w:r>
        <w:rPr>
          <w:rFonts w:ascii="Times New Roman" w:cs="Times New Roman" w:eastAsia="Times New Roman" w:hAnsi="Times New Roman"/>
          <w:sz w:val="16"/>
          <w:szCs w:val="16"/>
          <w:b w:val="1"/>
          <w:bCs w:val="1"/>
          <w:u w:val="single" w:color="auto"/>
          <w:color w:val="auto"/>
        </w:rPr>
        <w:t>​ 33,182</w:t>
      </w:r>
      <w:r>
        <w:rPr>
          <w:rFonts w:ascii="Times New Roman" w:cs="Times New Roman" w:eastAsia="Times New Roman" w:hAnsi="Times New Roman"/>
          <w:sz w:val="30"/>
          <w:szCs w:val="30"/>
          <w:b w:val="1"/>
          <w:bCs w:val="1"/>
          <w:color w:val="auto"/>
          <w:vertAlign w:val="subscript"/>
        </w:rPr>
        <w:t>​</w:t>
      </w:r>
    </w:p>
    <w:p>
      <w:pPr>
        <w:spacing w:after="0" w:line="33" w:lineRule="exact"/>
        <w:rPr>
          <w:sz w:val="20"/>
          <w:szCs w:val="20"/>
          <w:color w:val="auto"/>
        </w:rPr>
      </w:pPr>
    </w:p>
    <w:p>
      <w:pPr>
        <w:ind w:left="3"/>
        <w:spacing w:after="0"/>
        <w:tabs>
          <w:tab w:leader="none" w:pos="782"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ind w:left="183" w:hanging="183"/>
        <w:spacing w:after="0" w:line="184" w:lineRule="auto"/>
        <w:tabs>
          <w:tab w:leader="none" w:pos="183" w:val="left"/>
        </w:tabs>
        <w:numPr>
          <w:ilvl w:val="0"/>
          <w:numId w:val="100"/>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33"/>
          <w:szCs w:val="33"/>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​(26,744</w:t>
      </w: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w:t>
      </w:r>
    </w:p>
    <w:p>
      <w:pPr>
        <w:spacing w:after="0" w:line="10" w:lineRule="exact"/>
        <w:rPr>
          <w:rFonts w:ascii="Times New Roman" w:cs="Times New Roman" w:eastAsia="Times New Roman" w:hAnsi="Times New Roman"/>
          <w:sz w:val="34"/>
          <w:szCs w:val="34"/>
          <w:b w:val="1"/>
          <w:bCs w:val="1"/>
          <w:color w:val="auto"/>
          <w:vertAlign w:val="subscript"/>
        </w:rPr>
      </w:pPr>
    </w:p>
    <w:p>
      <w:pPr>
        <w:ind w:left="3"/>
        <w:spacing w:after="0"/>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8"/>
          <w:szCs w:val="18"/>
          <w:color w:val="auto"/>
        </w:rPr>
        <w:t>​ ​ ​​ (1,477​)</w:t>
      </w:r>
    </w:p>
    <w:p>
      <w:pPr>
        <w:spacing w:after="0" w:line="54" w:lineRule="exact"/>
        <w:rPr>
          <w:sz w:val="20"/>
          <w:szCs w:val="20"/>
          <w:color w:val="auto"/>
        </w:rPr>
      </w:pPr>
    </w:p>
    <w:p>
      <w:pPr>
        <w:ind w:left="3"/>
        <w:spacing w:after="0"/>
        <w:tabs>
          <w:tab w:leader="none" w:pos="522" w:val="left"/>
        </w:tabs>
        <w:rPr>
          <w:sz w:val="20"/>
          <w:szCs w:val="20"/>
          <w:color w:val="auto"/>
        </w:rPr>
      </w:pPr>
      <w:r>
        <w:rPr>
          <w:rFonts w:ascii="Times New Roman" w:cs="Times New Roman" w:eastAsia="Times New Roman" w:hAnsi="Times New Roman"/>
          <w:sz w:val="18"/>
          <w:szCs w:val="18"/>
          <w:color w:val="auto"/>
        </w:rPr>
        <w:t>​ ​ ​​</w:t>
        <w:tab/>
        <w:t>432​</w:t>
      </w:r>
    </w:p>
    <w:p>
      <w:pPr>
        <w:spacing w:after="0" w:line="50" w:lineRule="exact"/>
        <w:rPr>
          <w:sz w:val="20"/>
          <w:szCs w:val="20"/>
          <w:color w:val="auto"/>
        </w:rPr>
      </w:pPr>
    </w:p>
    <w:p>
      <w:pPr>
        <w:ind w:left="63" w:hanging="63"/>
        <w:spacing w:after="0"/>
        <w:tabs>
          <w:tab w:leader="none" w:pos="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(113​)</w:t>
      </w:r>
    </w:p>
    <w:p>
      <w:pPr>
        <w:spacing w:after="0" w:line="49" w:lineRule="exact"/>
        <w:rPr>
          <w:rFonts w:ascii="Times New Roman" w:cs="Times New Roman" w:eastAsia="Times New Roman" w:hAnsi="Times New Roman"/>
          <w:sz w:val="18"/>
          <w:szCs w:val="18"/>
          <w:color w:val="auto"/>
        </w:rPr>
      </w:pPr>
    </w:p>
    <w:p>
      <w:pPr>
        <w:ind w:left="3"/>
        <w:spacing w:after="0" w:line="1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31"/>
          <w:szCs w:val="31"/>
          <w:b w:val="1"/>
          <w:bCs w:val="1"/>
          <w:color w:val="auto"/>
          <w:vertAlign w:val="subscript"/>
        </w:rPr>
        <w:t>​​ ​</w:t>
      </w:r>
      <w:r>
        <w:rPr>
          <w:rFonts w:ascii="Times New Roman" w:cs="Times New Roman" w:eastAsia="Times New Roman" w:hAnsi="Times New Roman"/>
          <w:sz w:val="31"/>
          <w:szCs w:val="31"/>
          <w:b w:val="1"/>
          <w:bCs w:val="1"/>
          <w:u w:val="single" w:color="auto"/>
          <w:color w:val="auto"/>
          <w:vertAlign w:val="subscript"/>
        </w:rPr>
        <w:t>​</w:t>
      </w:r>
      <w:r>
        <w:rPr>
          <w:rFonts w:ascii="Times New Roman" w:cs="Times New Roman" w:eastAsia="Times New Roman" w:hAnsi="Times New Roman"/>
          <w:sz w:val="17"/>
          <w:szCs w:val="17"/>
          <w:b w:val="1"/>
          <w:bCs w:val="1"/>
          <w:u w:val="single" w:color="auto"/>
          <w:color w:val="auto"/>
        </w:rPr>
        <w:t>​(27,902</w:t>
      </w: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b w:val="1"/>
          <w:bCs w:val="1"/>
          <w:color w:val="auto"/>
        </w:rPr>
        <w:t>)</w:t>
      </w:r>
    </w:p>
    <w:p>
      <w:pPr>
        <w:spacing w:after="0" w:line="46" w:lineRule="exact"/>
        <w:rPr>
          <w:sz w:val="20"/>
          <w:szCs w:val="20"/>
          <w:color w:val="auto"/>
        </w:rPr>
      </w:pPr>
    </w:p>
    <w:p>
      <w:pPr>
        <w:ind w:left="3"/>
        <w:spacing w:after="0"/>
        <w:tabs>
          <w:tab w:leader="none" w:pos="782"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ind w:left="183" w:hanging="183"/>
        <w:spacing w:after="0" w:line="182" w:lineRule="auto"/>
        <w:tabs>
          <w:tab w:leader="none" w:pos="183" w:val="left"/>
        </w:tabs>
        <w:numPr>
          <w:ilvl w:val="0"/>
          <w:numId w:val="102"/>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35"/>
          <w:szCs w:val="35"/>
          <w:b w:val="1"/>
          <w:bCs w:val="1"/>
          <w:color w:val="auto"/>
          <w:vertAlign w:val="subscript"/>
        </w:rPr>
        <w:t>​</w:t>
      </w:r>
      <w:r>
        <w:rPr>
          <w:rFonts w:ascii="Times New Roman" w:cs="Times New Roman" w:eastAsia="Times New Roman" w:hAnsi="Times New Roman"/>
          <w:sz w:val="35"/>
          <w:szCs w:val="35"/>
          <w:b w:val="1"/>
          <w:bCs w:val="1"/>
          <w:u w:val="single" w:color="auto"/>
          <w:color w:val="auto"/>
          <w:vertAlign w:val="subscript"/>
        </w:rPr>
        <w:t>​</w:t>
      </w:r>
      <w:r>
        <w:rPr>
          <w:rFonts w:ascii="Times New Roman" w:cs="Times New Roman" w:eastAsia="Times New Roman" w:hAnsi="Times New Roman"/>
          <w:sz w:val="18"/>
          <w:szCs w:val="18"/>
          <w:b w:val="1"/>
          <w:bCs w:val="1"/>
          <w:u w:val="single" w:color="auto"/>
          <w:color w:val="auto"/>
        </w:rPr>
        <w:t>​ 5,704</w:t>
      </w:r>
      <w:r>
        <w:rPr>
          <w:rFonts w:ascii="Times New Roman" w:cs="Times New Roman" w:eastAsia="Times New Roman" w:hAnsi="Times New Roman"/>
          <w:sz w:val="35"/>
          <w:szCs w:val="35"/>
          <w:b w:val="1"/>
          <w:bCs w:val="1"/>
          <w:color w:val="auto"/>
          <w:vertAlign w:val="subscript"/>
        </w:rPr>
        <w:t>​</w:t>
      </w:r>
    </w:p>
    <w:p>
      <w:pPr>
        <w:ind w:left="183" w:hanging="183"/>
        <w:spacing w:after="0" w:line="182" w:lineRule="auto"/>
        <w:tabs>
          <w:tab w:leader="none" w:pos="183" w:val="left"/>
        </w:tabs>
        <w:numPr>
          <w:ilvl w:val="0"/>
          <w:numId w:val="10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33"/>
          <w:szCs w:val="33"/>
          <w:b w:val="1"/>
          <w:bCs w:val="1"/>
          <w:color w:val="auto"/>
          <w:vertAlign w:val="subscript"/>
        </w:rPr>
        <w:t>​​</w:t>
      </w:r>
      <w:r>
        <w:rPr>
          <w:rFonts w:ascii="Times New Roman" w:cs="Times New Roman" w:eastAsia="Times New Roman" w:hAnsi="Times New Roman"/>
          <w:sz w:val="17"/>
          <w:szCs w:val="17"/>
          <w:b w:val="1"/>
          <w:bCs w:val="1"/>
          <w:color w:val="auto"/>
        </w:rPr>
        <w:t>​ 5,280</w:t>
      </w:r>
      <w:r>
        <w:rPr>
          <w:rFonts w:ascii="Times New Roman" w:cs="Times New Roman" w:eastAsia="Times New Roman" w:hAnsi="Times New Roman"/>
          <w:sz w:val="33"/>
          <w:szCs w:val="33"/>
          <w:b w:val="1"/>
          <w:bCs w:val="1"/>
          <w:color w:val="auto"/>
          <w:vertAlign w:val="subscript"/>
        </w:rPr>
        <w:t>​</w:t>
      </w:r>
    </w:p>
    <w:p>
      <w:pPr>
        <w:spacing w:after="0" w:line="124" w:lineRule="exact"/>
        <w:rPr>
          <w:sz w:val="20"/>
          <w:szCs w:val="20"/>
          <w:color w:val="auto"/>
        </w:rPr>
      </w:pPr>
    </w:p>
    <w:p>
      <w:pPr>
        <w:sectPr>
          <w:pgSz w:w="11900" w:h="16838" w:orient="portrait"/>
          <w:cols w:equalWidth="0" w:num="2">
            <w:col w:w="8460" w:space="197"/>
            <w:col w:w="1222"/>
          </w:cols>
          <w:pgMar w:left="580" w:top="97" w:right="1440" w:bottom="1440" w:gutter="0" w:footer="0" w:header="0"/>
          <w:type w:val="continuous"/>
        </w:sectPr>
      </w:pPr>
    </w:p>
    <w:p>
      <w:pPr>
        <w:jc w:val="center"/>
        <w:ind w:right="-480"/>
        <w:spacing w:after="0"/>
        <w:rPr>
          <w:sz w:val="20"/>
          <w:szCs w:val="20"/>
          <w:color w:val="auto"/>
        </w:rPr>
      </w:pPr>
      <w:r>
        <w:rPr>
          <w:rFonts w:ascii="Times New Roman" w:cs="Times New Roman" w:eastAsia="Times New Roman" w:hAnsi="Times New Roman"/>
          <w:sz w:val="18"/>
          <w:szCs w:val="18"/>
          <w:color w:val="auto"/>
        </w:rPr>
        <w:t>Property, plant and equipment includes right-of-use assets amounting to €6,730 thousand as of</w:t>
      </w:r>
    </w:p>
    <w:p>
      <w:pPr>
        <w:spacing w:after="0" w:line="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December 31, 2025 (December 31, 2024: €7,812 thousand). For further information see note 21. Leases.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Lessee accounting</w:t>
      </w:r>
    </w:p>
    <w:p>
      <w:pPr>
        <w:spacing w:after="0" w:line="162" w:lineRule="exact"/>
        <w:rPr>
          <w:sz w:val="20"/>
          <w:szCs w:val="20"/>
          <w:color w:val="auto"/>
        </w:rPr>
      </w:pPr>
    </w:p>
    <w:p>
      <w:pPr>
        <w:ind w:left="1260" w:right="659" w:firstLine="360"/>
        <w:spacing w:after="0" w:line="257" w:lineRule="auto"/>
        <w:rPr>
          <w:sz w:val="20"/>
          <w:szCs w:val="20"/>
          <w:color w:val="auto"/>
        </w:rPr>
      </w:pPr>
      <w:r>
        <w:rPr>
          <w:rFonts w:ascii="Times New Roman" w:cs="Times New Roman" w:eastAsia="Times New Roman" w:hAnsi="Times New Roman"/>
          <w:sz w:val="18"/>
          <w:szCs w:val="18"/>
          <w:color w:val="auto"/>
        </w:rPr>
        <w:t>SCHMID’s lease obligations primarily relate to rights to buildings mainly for its office, R&amp;D and production premises as well as to leased vehicles. The carrying amounts of right-of-use assets recognized and the movements during the period were as follows: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92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Real Estate</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Vehicles </w:t>
            </w:r>
            <w:r>
              <w:rPr>
                <w:rFonts w:ascii="Times New Roman" w:cs="Times New Roman" w:eastAsia="Times New Roman" w:hAnsi="Times New Roman"/>
                <w:sz w:val="28"/>
                <w:szCs w:val="28"/>
                <w:b w:val="1"/>
                <w:bCs w:val="1"/>
                <w:color w:val="auto"/>
                <w:vertAlign w:val="subscript"/>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8"/>
                <w:szCs w:val="28"/>
                <w:b w:val="1"/>
                <w:bCs w:val="1"/>
                <w:color w:val="auto"/>
                <w:vertAlign w:val="subscript"/>
              </w:rPr>
              <w:t>​</w:t>
            </w:r>
          </w:p>
        </w:tc>
      </w:tr>
      <w:tr>
        <w:trPr>
          <w:trHeight w:val="20"/>
        </w:trPr>
        <w:tc>
          <w:tcPr>
            <w:tcW w:w="5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​8,697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right w:val="single" w:sz="8" w:color="CCEEFF"/>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365</w:t>
            </w:r>
          </w:p>
        </w:tc>
        <w:tc>
          <w:tcPr>
            <w:tcW w:w="70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​9,063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Additions / (De-recognition) to right-of-use assets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5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(293)</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​​(1,647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29</w:t>
            </w:r>
            <w:r>
              <w:rPr>
                <w:rFonts w:ascii="Times New Roman" w:cs="Times New Roman" w:eastAsia="Times New Roman" w:hAnsi="Times New Roman"/>
                <w:sz w:val="31"/>
                <w:szCs w:val="31"/>
                <w:color w:val="auto"/>
                <w:vertAlign w:val="subscript"/>
              </w:rPr>
              <w:t>​</w:t>
            </w:r>
          </w:p>
        </w:tc>
      </w:tr>
      <w:tr>
        <w:trPr>
          <w:trHeight w:val="20"/>
        </w:trPr>
        <w:tc>
          <w:tcPr>
            <w:tcW w:w="5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7,253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560</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7,812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Additions/(De-recognition) to right-of-use assets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5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(285)</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​​(1,541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(88</w:t>
            </w: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r>
      <w:tr>
        <w:trPr>
          <w:trHeight w:val="20"/>
        </w:trPr>
        <w:tc>
          <w:tcPr>
            <w:tcW w:w="5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​6,253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right w:val="single" w:sz="8" w:color="CCEEFF"/>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478</w:t>
            </w:r>
          </w:p>
        </w:tc>
        <w:tc>
          <w:tcPr>
            <w:tcW w:w="70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​6,730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4881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-856615</wp:posOffset>
            </wp:positionV>
            <wp:extent cx="44488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-1542415</wp:posOffset>
            </wp:positionV>
            <wp:extent cx="1371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-1542415</wp:posOffset>
            </wp:positionV>
            <wp:extent cx="13716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4288790</wp:posOffset>
            </wp:positionH>
            <wp:positionV relativeFrom="paragraph">
              <wp:posOffset>-1542415</wp:posOffset>
            </wp:positionV>
            <wp:extent cx="1371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w:t>
      </w:r>
    </w:p>
    <w:p>
      <w:pPr>
        <w:spacing w:after="0" w:line="1" w:lineRule="exact"/>
        <w:rPr>
          <w:sz w:val="20"/>
          <w:szCs w:val="20"/>
          <w:color w:val="auto"/>
        </w:rPr>
      </w:pPr>
    </w:p>
    <w:p>
      <w:pPr>
        <w:jc w:val="both"/>
        <w:ind w:left="1260" w:right="579"/>
        <w:spacing w:after="0" w:line="260" w:lineRule="auto"/>
        <w:rPr>
          <w:sz w:val="20"/>
          <w:szCs w:val="20"/>
          <w:color w:val="auto"/>
        </w:rPr>
      </w:pPr>
      <w:r>
        <w:rPr>
          <w:rFonts w:ascii="Times New Roman" w:cs="Times New Roman" w:eastAsia="Times New Roman" w:hAnsi="Times New Roman"/>
          <w:sz w:val="18"/>
          <w:szCs w:val="18"/>
          <w:color w:val="auto"/>
        </w:rPr>
        <w:t>additional years. A lease payment of €100 thousand (excl. VAT) is due in advance each month. As the sale and leaseback was concluded with a related party, the interest rate implicit in the lease of 6.58% was used.</w:t>
      </w:r>
    </w:p>
    <w:p>
      <w:pPr>
        <w:spacing w:after="0" w:line="100"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w:t>
      </w:r>
    </w:p>
    <w:p>
      <w:pPr>
        <w:sectPr>
          <w:pgSz w:w="11900" w:h="16838" w:orient="portrait"/>
          <w:cols w:equalWidth="0" w:num="1">
            <w:col w:w="9879"/>
          </w:cols>
          <w:pgMar w:left="580" w:top="97" w:right="1440" w:bottom="1440" w:gutter="0" w:footer="0" w:header="0"/>
          <w:type w:val="continuous"/>
        </w:sectPr>
      </w:pPr>
    </w:p>
    <w:p>
      <w:pPr>
        <w:spacing w:after="0" w:line="3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1" w:lineRule="auto"/>
        <w:rPr>
          <w:sz w:val="20"/>
          <w:szCs w:val="20"/>
          <w:color w:val="auto"/>
        </w:rPr>
      </w:pPr>
      <w:r>
        <w:rPr>
          <w:rFonts w:ascii="Times New Roman" w:cs="Times New Roman" w:eastAsia="Times New Roman" w:hAnsi="Times New Roman"/>
          <w:sz w:val="18"/>
          <w:szCs w:val="18"/>
          <w:color w:val="auto"/>
        </w:rPr>
        <w:t>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w:t>
      </w:r>
    </w:p>
    <w:p>
      <w:pPr>
        <w:spacing w:after="0" w:line="9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There are no variable lease payments resulting from indexed rental payments or other variable rental components. The carrying amounts of lease liabilities and the movements during the period were as follows:</w:t>
      </w:r>
    </w:p>
    <w:tbl>
      <w:tblPr>
        <w:tblLayout w:type="fixed"/>
        <w:tblInd w:w="1620" w:type="dxa"/>
        <w:tblCellMar>
          <w:top w:w="0" w:type="dxa"/>
          <w:left w:w="0" w:type="dxa"/>
          <w:bottom w:w="0" w:type="dxa"/>
          <w:right w:w="0" w:type="dxa"/>
        </w:tblCellMar>
      </w:tblPr>
      <w:tr>
        <w:trPr>
          <w:trHeight w:val="364"/>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32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Lease Liability</w:t>
            </w:r>
            <w:r>
              <w:rPr>
                <w:rFonts w:ascii="Times New Roman" w:cs="Times New Roman" w:eastAsia="Times New Roman" w:hAnsi="Times New Roman"/>
                <w:sz w:val="28"/>
                <w:szCs w:val="28"/>
                <w:b w:val="1"/>
                <w:bCs w:val="1"/>
                <w:color w:val="auto"/>
                <w:vertAlign w:val="subscript"/>
              </w:rPr>
              <w:t>​</w:t>
            </w:r>
          </w:p>
        </w:tc>
      </w:tr>
      <w:tr>
        <w:trPr>
          <w:trHeight w:val="263"/>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1/1/2024</w:t>
            </w:r>
          </w:p>
        </w:tc>
        <w:tc>
          <w:tcPr>
            <w:tcW w:w="2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top w:val="single" w:sz="8" w:color="auto"/>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10,886</w:t>
            </w: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10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(2,184)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difference</w:t>
            </w:r>
          </w:p>
        </w:tc>
        <w:tc>
          <w:tcPr>
            <w:tcW w:w="2100" w:type="dxa"/>
            <w:vAlign w:val="bottom"/>
            <w:shd w:val="clear" w:color="auto" w:fill="CCEEFF"/>
          </w:tcPr>
          <w:p>
            <w:pPr>
              <w:spacing w:after="0"/>
              <w:rPr>
                <w:sz w:val="23"/>
                <w:szCs w:val="2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100" w:type="dxa"/>
            <w:vAlign w:val="bottom"/>
          </w:tcPr>
          <w:p>
            <w:pPr>
              <w:spacing w:after="0"/>
              <w:rPr>
                <w:sz w:val="21"/>
                <w:szCs w:val="21"/>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9,694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10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10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210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(2,098)</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w:t>
            </w:r>
          </w:p>
        </w:tc>
        <w:tc>
          <w:tcPr>
            <w:tcW w:w="2100" w:type="dxa"/>
            <w:vAlign w:val="bottom"/>
          </w:tcPr>
          <w:p>
            <w:pPr>
              <w:spacing w:after="0"/>
              <w:rPr>
                <w:sz w:val="23"/>
                <w:szCs w:val="2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10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8,550</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74916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-1868170</wp:posOffset>
            </wp:positionV>
            <wp:extent cx="1371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999" w:firstLine="360"/>
        <w:spacing w:after="0" w:line="268" w:lineRule="auto"/>
        <w:rPr>
          <w:sz w:val="20"/>
          <w:szCs w:val="20"/>
          <w:color w:val="auto"/>
        </w:rPr>
      </w:pPr>
      <w:r>
        <w:rPr>
          <w:rFonts w:ascii="Times New Roman" w:cs="Times New Roman" w:eastAsia="Times New Roman" w:hAnsi="Times New Roman"/>
          <w:sz w:val="18"/>
          <w:szCs w:val="18"/>
          <w:color w:val="auto"/>
        </w:rPr>
        <w:t>The consolidated statement of profit or loss and other comprehensive income (loss) included the following amounts of lease related expense:</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right of-use assets</w:t>
            </w:r>
          </w:p>
        </w:tc>
        <w:tc>
          <w:tcPr>
            <w:tcW w:w="2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98"/>
              </w:rPr>
              <w:t>(1,540)</w:t>
            </w:r>
          </w:p>
        </w:tc>
        <w:tc>
          <w:tcPr>
            <w:tcW w:w="700" w:type="dxa"/>
            <w:vAlign w:val="bottom"/>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(1,649)</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(779</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380" w:type="dxa"/>
            <w:vAlign w:val="bottom"/>
            <w:shd w:val="clear" w:color="auto" w:fill="CCEEFF"/>
          </w:tcPr>
          <w:p>
            <w:pPr>
              <w:spacing w:after="0"/>
              <w:rPr>
                <w:sz w:val="4"/>
                <w:szCs w:val="4"/>
                <w:color w:val="auto"/>
              </w:rPr>
            </w:pPr>
          </w:p>
        </w:tc>
        <w:tc>
          <w:tcPr>
            <w:tcW w:w="3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expense on lease liabilities</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70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60" w:type="dxa"/>
            <w:vAlign w:val="bottom"/>
            <w:gridSpan w:val="2"/>
          </w:tcPr>
          <w:p>
            <w:pPr>
              <w:ind w:left="40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Short-term lease expenses</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38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gridSpan w:val="4"/>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 expenses for low-value assets</w:t>
            </w:r>
          </w:p>
        </w:tc>
        <w:tc>
          <w:tcPr>
            <w:tcW w:w="22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7"/>
                <w:szCs w:val="17"/>
                <w:color w:val="auto"/>
              </w:rPr>
            </w:pP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3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gridSpan w:val="4"/>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gridSpan w:val="4"/>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60" w:type="dxa"/>
            <w:vAlign w:val="bottom"/>
            <w:gridSpan w:val="2"/>
          </w:tcPr>
          <w:p>
            <w:pPr>
              <w:ind w:left="400"/>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amount recognized in expense</w:t>
            </w:r>
          </w:p>
        </w:tc>
        <w:tc>
          <w:tcPr>
            <w:tcW w:w="2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​(2,490)</w:t>
            </w: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​(2,701)</w:t>
            </w: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3"/>
              </w:rPr>
              <w:t>​(1,273)</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30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700" w:type="dxa"/>
            <w:vAlign w:val="bottom"/>
            <w:gridSpan w:val="4"/>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700" w:type="dxa"/>
            <w:vAlign w:val="bottom"/>
            <w:gridSpan w:val="4"/>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44881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-856615</wp:posOffset>
            </wp:positionV>
            <wp:extent cx="137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-856615</wp:posOffset>
            </wp:positionV>
            <wp:extent cx="137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-856615</wp:posOffset>
            </wp:positionV>
            <wp:extent cx="137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below table provides information on the total cash outflow from all leases during the year:</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Principal paid</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w w:val="98"/>
              </w:rPr>
              <w:t>(1,513)</w:t>
            </w:r>
          </w:p>
        </w:tc>
        <w:tc>
          <w:tcPr>
            <w:tcW w:w="700" w:type="dxa"/>
            <w:vAlign w:val="bottom"/>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(1,543)</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(715</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38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1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520" w:type="dxa"/>
            <w:vAlign w:val="bottom"/>
            <w:gridSpan w:val="2"/>
            <w:shd w:val="clear" w:color="auto" w:fill="CCEEFF"/>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paid</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(585)</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(641)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5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52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1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Short term and low value leases</w:t>
            </w:r>
          </w:p>
        </w:tc>
        <w:tc>
          <w:tcPr>
            <w:tcW w:w="1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(391)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3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2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40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amount paid</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60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​(2,462)</w:t>
            </w:r>
          </w:p>
        </w:tc>
        <w:tc>
          <w:tcPr>
            <w:tcW w:w="100" w:type="dxa"/>
            <w:vAlign w:val="bottom"/>
          </w:tcPr>
          <w:p>
            <w:pPr>
              <w:spacing w:after="0"/>
              <w:rPr>
                <w:sz w:val="17"/>
                <w:szCs w:val="17"/>
                <w:color w:val="auto"/>
              </w:rPr>
            </w:pPr>
          </w:p>
        </w:tc>
        <w:tc>
          <w:tcPr>
            <w:tcW w:w="60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​(2,596)</w:t>
            </w:r>
          </w:p>
        </w:tc>
        <w:tc>
          <w:tcPr>
            <w:tcW w:w="120" w:type="dxa"/>
            <w:vAlign w:val="bottom"/>
          </w:tcPr>
          <w:p>
            <w:pPr>
              <w:spacing w:after="0"/>
              <w:rPr>
                <w:sz w:val="17"/>
                <w:szCs w:val="17"/>
                <w:color w:val="auto"/>
              </w:rPr>
            </w:pP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5"/>
              </w:rPr>
              <w:t>​(1,209)</w:t>
            </w:r>
          </w:p>
        </w:tc>
        <w:tc>
          <w:tcPr>
            <w:tcW w:w="0" w:type="dxa"/>
            <w:vAlign w:val="bottom"/>
          </w:tcPr>
          <w:p>
            <w:pPr>
              <w:spacing w:after="0"/>
              <w:rPr>
                <w:sz w:val="1"/>
                <w:szCs w:val="1"/>
                <w:color w:val="auto"/>
              </w:rPr>
            </w:pPr>
          </w:p>
        </w:tc>
      </w:tr>
      <w:tr>
        <w:trPr>
          <w:trHeight w:val="68"/>
        </w:trPr>
        <w:tc>
          <w:tcPr>
            <w:tcW w:w="53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52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8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0" w:type="dxa"/>
            <w:vAlign w:val="bottom"/>
          </w:tcPr>
          <w:p>
            <w:pPr>
              <w:spacing w:after="0"/>
              <w:rPr>
                <w:sz w:val="5"/>
                <w:szCs w:val="5"/>
                <w:color w:val="auto"/>
              </w:rPr>
            </w:pPr>
          </w:p>
        </w:tc>
        <w:tc>
          <w:tcPr>
            <w:tcW w:w="60" w:type="dxa"/>
            <w:vAlign w:val="bottom"/>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-693420</wp:posOffset>
            </wp:positionV>
            <wp:extent cx="137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4888865</wp:posOffset>
            </wp:positionH>
            <wp:positionV relativeFrom="paragraph">
              <wp:posOffset>-693420</wp:posOffset>
            </wp:positionV>
            <wp:extent cx="1371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-693420</wp:posOffset>
            </wp:positionV>
            <wp:extent cx="1371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759" w:firstLine="360"/>
        <w:spacing w:after="0" w:line="268" w:lineRule="auto"/>
        <w:rPr>
          <w:sz w:val="20"/>
          <w:szCs w:val="20"/>
          <w:color w:val="auto"/>
        </w:rPr>
      </w:pPr>
      <w:r>
        <w:rPr>
          <w:rFonts w:ascii="Times New Roman" w:cs="Times New Roman" w:eastAsia="Times New Roman" w:hAnsi="Times New Roman"/>
          <w:sz w:val="18"/>
          <w:szCs w:val="18"/>
          <w:color w:val="auto"/>
        </w:rPr>
        <w:t>The below table shows a maturity analysis of undiscounted lease payments for which a right-of-use asset and lease liability were recognized:</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760" w:type="dxa"/>
            <w:vAlign w:val="bottom"/>
            <w:gridSpan w:val="11"/>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2024</w:t>
            </w:r>
            <w:r>
              <w:rPr>
                <w:rFonts w:ascii="Times New Roman" w:cs="Times New Roman" w:eastAsia="Times New Roman" w:hAnsi="Times New Roman"/>
                <w:sz w:val="28"/>
                <w:szCs w:val="28"/>
                <w:b w:val="1"/>
                <w:bCs w:val="1"/>
                <w:color w:val="auto"/>
                <w:vertAlign w:val="subscript"/>
              </w:rPr>
              <w:t>​</w:t>
            </w:r>
          </w:p>
        </w:tc>
      </w:tr>
      <w:tr>
        <w:trPr>
          <w:trHeight w:val="20"/>
        </w:trPr>
        <w:tc>
          <w:tcPr>
            <w:tcW w:w="47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 year</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1,902</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&gt; 1</w:t>
            </w: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 years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1,452</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1,755</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 2</w:t>
            </w:r>
          </w:p>
        </w:tc>
        <w:tc>
          <w:tcPr>
            <w:tcW w:w="4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 years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3,733</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3,778</w:t>
            </w:r>
          </w:p>
        </w:tc>
        <w:tc>
          <w:tcPr>
            <w:tcW w:w="14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&gt; 5</w:t>
            </w:r>
          </w:p>
        </w:tc>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3,600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4,800</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lease liabilities – minimum lease payments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gridSpan w:val="3"/>
            <w:shd w:val="clear" w:color="auto" w:fill="CCEEFF"/>
          </w:tcPr>
          <w:p>
            <w:pPr>
              <w:ind w:left="3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10,688</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gridSpan w:val="3"/>
            <w:shd w:val="clear" w:color="auto" w:fill="CCEEFF"/>
          </w:tcPr>
          <w:p>
            <w:pPr>
              <w:ind w:left="3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12,361</w:t>
            </w:r>
          </w:p>
        </w:tc>
        <w:tc>
          <w:tcPr>
            <w:tcW w:w="140" w:type="dxa"/>
            <w:vAlign w:val="bottom"/>
            <w:shd w:val="clear" w:color="auto" w:fill="CCEEFF"/>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and foreign currency effects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(2,138)</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ind w:left="3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(2,667)</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7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the lease liabilities</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gridSpan w:val="3"/>
            <w:shd w:val="clear" w:color="auto" w:fill="CCEEFF"/>
          </w:tcPr>
          <w:p>
            <w:pPr>
              <w:ind w:left="32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8,550</w:t>
            </w:r>
          </w:p>
        </w:tc>
        <w:tc>
          <w:tcPr>
            <w:tcW w:w="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1000" w:type="dxa"/>
            <w:vAlign w:val="bottom"/>
            <w:gridSpan w:val="3"/>
            <w:shd w:val="clear" w:color="auto" w:fill="CCEEFF"/>
          </w:tcPr>
          <w:p>
            <w:pPr>
              <w:ind w:left="32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 9,694</w:t>
            </w:r>
          </w:p>
        </w:tc>
        <w:tc>
          <w:tcPr>
            <w:tcW w:w="14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0" w:type="dxa"/>
            <w:vAlign w:val="bottom"/>
            <w:shd w:val="clear" w:color="auto" w:fill="CCEEFF"/>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-196215</wp:posOffset>
            </wp:positionV>
            <wp:extent cx="474916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474916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-1173480</wp:posOffset>
            </wp:positionV>
            <wp:extent cx="137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-1173480</wp:posOffset>
            </wp:positionV>
            <wp:extent cx="137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Lessor accounting</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w:t>
      </w:r>
    </w:p>
    <w:p>
      <w:pPr>
        <w:spacing w:after="0" w:line="124"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FINANCIAL ASSETS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August 2025, outstanding receivables of €7,833 thousand against Christian Schmid and Schmid Verwaltungs GmbH were settled through the transfer of shares in Group14 Technologies Inc, a company that develops and manufactures silicon-carbon anode technology for lithium-ion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w:t>
      </w:r>
    </w:p>
    <w:p>
      <w:pPr>
        <w:spacing w:after="0" w:line="340"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Also included in financial assets is a derivative resulting from the XJ Harbour Set-off agreement amounting to €7,713 thousand. For more detailed information refer to note 29. Non-current and current financial liabilities.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23. INVENTORIES</w:t>
      </w:r>
    </w:p>
    <w:p>
      <w:pPr>
        <w:spacing w:after="0" w:line="3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12/31/2025 </w:t>
            </w:r>
            <w:r>
              <w:rPr>
                <w:rFonts w:ascii="Times New Roman" w:cs="Times New Roman" w:eastAsia="Times New Roman" w:hAnsi="Times New Roman"/>
                <w:sz w:val="28"/>
                <w:szCs w:val="28"/>
                <w:b w:val="1"/>
                <w:bCs w:val="1"/>
                <w:color w:val="auto"/>
                <w:vertAlign w:val="subscript"/>
              </w:rPr>
              <w:t>​</w:t>
            </w: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250"/>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3,543</w:t>
            </w:r>
          </w:p>
        </w:tc>
        <w:tc>
          <w:tcPr>
            <w:tcW w:w="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4,136</w:t>
            </w:r>
          </w:p>
        </w:tc>
        <w:tc>
          <w:tcPr>
            <w:tcW w:w="8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9,147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6,317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5,423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5,281</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18,112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15,734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-693420</wp:posOffset>
            </wp:positionV>
            <wp:extent cx="1371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-693420</wp:posOffset>
            </wp:positionV>
            <wp:extent cx="1371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24. TRADE RECEIVABLES AND OTHER RECEIVABLES</w:t>
      </w:r>
    </w:p>
    <w:p>
      <w:pPr>
        <w:spacing w:after="0" w:line="31" w:lineRule="exact"/>
        <w:rPr>
          <w:sz w:val="20"/>
          <w:szCs w:val="20"/>
          <w:color w:val="auto"/>
        </w:rPr>
      </w:pPr>
    </w:p>
    <w:p>
      <w:pPr>
        <w:ind w:left="162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in € thousand</w:t>
      </w:r>
      <w:r>
        <w:rPr>
          <w:sz w:val="20"/>
          <w:szCs w:val="20"/>
          <w:color w:val="auto"/>
        </w:rPr>
        <w:tab/>
      </w:r>
      <w:r>
        <w:rPr>
          <w:rFonts w:ascii="Times New Roman" w:cs="Times New Roman" w:eastAsia="Times New Roman" w:hAnsi="Times New Roman"/>
          <w:sz w:val="20"/>
          <w:szCs w:val="20"/>
          <w:b w:val="1"/>
          <w:bCs w:val="1"/>
          <w:color w:val="auto"/>
          <w:vertAlign w:val="subscript"/>
        </w:rPr>
        <w:t xml:space="preserve">​ ​ </w:t>
      </w:r>
      <w:r>
        <w:rPr>
          <w:rFonts w:ascii="Times New Roman" w:cs="Times New Roman" w:eastAsia="Times New Roman" w:hAnsi="Times New Roman"/>
          <w:sz w:val="20"/>
          <w:szCs w:val="20"/>
          <w:b w:val="1"/>
          <w:bCs w:val="1"/>
          <w:color w:val="auto"/>
        </w:rPr>
        <w:t xml:space="preserve">12/31/2025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1"/>
          <w:szCs w:val="11"/>
          <w:b w:val="1"/>
          <w:bCs w:val="1"/>
          <w:color w:val="auto"/>
        </w:rPr>
        <w:t>12/31/2024</w:t>
      </w:r>
      <w:r>
        <w:rPr>
          <w:rFonts w:ascii="Times New Roman" w:cs="Times New Roman" w:eastAsia="Times New Roman" w:hAnsi="Times New Roman"/>
          <w:sz w:val="20"/>
          <w:szCs w:val="20"/>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85725</wp:posOffset>
            </wp:positionV>
            <wp:extent cx="4749165" cy="1543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Receivables from equity 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454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Receivables from shareholder</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trade and other receivables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28,865</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24,704</w:t>
            </w:r>
          </w:p>
        </w:tc>
        <w:tc>
          <w:tcPr>
            <w:tcW w:w="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4,435</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4,207</w:t>
            </w:r>
          </w:p>
        </w:tc>
        <w:tc>
          <w:tcPr>
            <w:tcW w:w="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4,711</w:t>
            </w:r>
            <w:r>
              <w:rPr>
                <w:rFonts w:ascii="Times New Roman" w:cs="Times New Roman" w:eastAsia="Times New Roman" w:hAnsi="Times New Roman"/>
                <w:sz w:val="18"/>
                <w:szCs w:val="18"/>
                <w:b w:val="1"/>
                <w:bCs w:val="1"/>
                <w:color w:val="auto"/>
              </w:rPr>
              <w:t xml:space="preserve"> ​</w:t>
            </w:r>
          </w:p>
        </w:tc>
      </w:tr>
      <w:tr>
        <w:trPr>
          <w:trHeight w:val="256"/>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4,599</w:t>
            </w:r>
          </w:p>
        </w:tc>
        <w:tc>
          <w:tcPr>
            <w:tcW w:w="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gridSpan w:val="2"/>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33,653</w:t>
            </w:r>
          </w:p>
        </w:tc>
        <w:tc>
          <w:tcPr>
            <w:tcW w:w="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38,221</w:t>
            </w:r>
          </w:p>
        </w:tc>
        <w:tc>
          <w:tcPr>
            <w:tcW w:w="80" w:type="dxa"/>
            <w:vAlign w:val="bottom"/>
            <w:tcBorders>
              <w:bottom w:val="single" w:sz="8" w:color="CCEEFF"/>
            </w:tcBorders>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620" w:space="720"/>
            <w:col w:w="2539"/>
          </w:cols>
          <w:pgMar w:left="580" w:top="97" w:right="1440" w:bottom="1440" w:gutter="0" w:footer="0" w:header="0"/>
          <w:type w:val="continuous"/>
        </w:sectPr>
      </w:pPr>
    </w:p>
    <w:p>
      <w:pPr>
        <w:spacing w:after="0" w:line="1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Trade receivables have a residual term of less than one year. Receivables from equity investees refer to SCHMID Avaco Korea, Co. Ltd and SCHMID Energy Systems GmbH.</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25. OTHER CURRENT ASSETS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current non-financial assets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900" w:type="dxa"/>
            <w:vAlign w:val="bottom"/>
            <w:gridSpan w:val="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 </w:t>
            </w:r>
            <w:r>
              <w:rPr>
                <w:rFonts w:ascii="Times New Roman" w:cs="Times New Roman" w:eastAsia="Times New Roman" w:hAnsi="Times New Roman"/>
                <w:sz w:val="28"/>
                <w:szCs w:val="28"/>
                <w:b w:val="1"/>
                <w:bCs w:val="1"/>
                <w:color w:val="auto"/>
                <w:vertAlign w:val="subscript"/>
              </w:rPr>
              <w:t>​</w:t>
            </w:r>
          </w:p>
        </w:tc>
      </w:tr>
      <w:tr>
        <w:trPr>
          <w:trHeight w:val="20"/>
        </w:trPr>
        <w:tc>
          <w:tcPr>
            <w:tcW w:w="5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​1,899</w:t>
            </w:r>
          </w:p>
        </w:tc>
        <w:tc>
          <w:tcPr>
            <w:tcW w:w="14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on inventories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​1,897</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3"/>
              </w:rPr>
              <w:t>​1,097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right w:val="single" w:sz="8" w:color="CCEEFF"/>
            </w:tcBorders>
            <w:shd w:val="clear" w:color="auto" w:fill="CCEEFF"/>
          </w:tcPr>
          <w:p>
            <w:pPr>
              <w:spacing w:after="0"/>
              <w:rPr>
                <w:sz w:val="23"/>
                <w:szCs w:val="23"/>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59</w:t>
            </w:r>
          </w:p>
        </w:tc>
        <w:tc>
          <w:tcPr>
            <w:tcW w:w="14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current non-financial assets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80" w:type="dxa"/>
            <w:vAlign w:val="bottom"/>
            <w:gridSpan w:val="4"/>
          </w:tcPr>
          <w:p>
            <w:pPr>
              <w:jc w:val="right"/>
              <w:ind w:right="1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​3,918</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​3,054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-693420</wp:posOffset>
            </wp:positionV>
            <wp:extent cx="137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-693420</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Restricted cash refers to bank accounts that are used as securities for customer prepayments, mainly in China. Changes within the restricted cash have been disclosed within the operating cashflow.</w:t>
      </w:r>
    </w:p>
    <w:p>
      <w:pPr>
        <w:spacing w:after="0" w:line="94"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the prepaid expenses mainly comprise prepaid expenses for insurance expenses of €1,617 thousand (December 31, 2024: €1,500 thousand).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26. CASH &amp; CASH EQUIVALENTS</w:t>
      </w:r>
    </w:p>
    <w:p>
      <w:pPr>
        <w:spacing w:after="0" w:line="162" w:lineRule="exact"/>
        <w:rPr>
          <w:sz w:val="20"/>
          <w:szCs w:val="20"/>
          <w:color w:val="auto"/>
        </w:rPr>
      </w:pPr>
    </w:p>
    <w:p>
      <w:pPr>
        <w:ind w:left="1260" w:right="1439" w:firstLine="36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as well as deposits on bank accounts amounting to €1,574 thousand as of December 31, 2025 (December 31, 2024: €3,791 thousand).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27. EQUITY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Ordinary Shares have a par value of €0.01. The number of authorized shares as of December 31,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2025 amounts to 66,723,559 shares and the number of outstanding shares as of December 31, 2025 amounts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43,062,427, unchanged from December 31, 2024. The total share capital amounts to €431 thousand.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number of issued shares as of December 31, 2025 amounts to 44,135,963, including 1,073,536 shares that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were issued to SCHMID Avaco Korea Co. Ltd. under an agreement but were not registered with the SEC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therefore not included in the outstanding shares. Since the shares were not registered by January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2026, as provided for in the agreement, the share transaction was canceled in 2026.</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capital reserves amount to €114,980 thousand.</w:t>
      </w:r>
    </w:p>
    <w:p>
      <w:pPr>
        <w:spacing w:after="0" w:line="15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Other reserves comprise loss carried forward, net profit/loss for the year, remeasurement of defined benefit obligation and currency translation differences.</w:t>
      </w:r>
    </w:p>
    <w:p>
      <w:pPr>
        <w:spacing w:after="0" w:line="81"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Non-controlling interest contains the equity, profit/loss carried forward and currency translation differences relating to the minority shareholders of SCHMID.</w:t>
      </w:r>
    </w:p>
    <w:p>
      <w:pPr>
        <w:spacing w:after="0" w:line="158" w:lineRule="exact"/>
        <w:rPr>
          <w:sz w:val="20"/>
          <w:szCs w:val="20"/>
          <w:color w:val="auto"/>
        </w:rPr>
      </w:pPr>
    </w:p>
    <w:p>
      <w:pPr>
        <w:ind w:left="126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NON-CONTROLLING INTEREST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Non-controlling interests relate to SCHMID Singapore Pte. Ltd. (10.00%) and SCHMID Taiwan Ltd.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(13.95%).</w:t>
      </w:r>
    </w:p>
    <w:p>
      <w:pPr>
        <w:spacing w:after="0" w:line="13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59"/>
        <w:spacing w:after="0" w:line="258" w:lineRule="auto"/>
        <w:rPr>
          <w:sz w:val="20"/>
          <w:szCs w:val="20"/>
          <w:color w:val="auto"/>
        </w:rPr>
      </w:pPr>
      <w:r>
        <w:rPr>
          <w:rFonts w:ascii="Times New Roman" w:cs="Times New Roman" w:eastAsia="Times New Roman" w:hAnsi="Times New Roman"/>
          <w:sz w:val="18"/>
          <w:szCs w:val="18"/>
          <w:color w:val="auto"/>
        </w:rPr>
        <w:t>(measured at present value of the redemption amount), with corresponding adjustment recorded in equity. Accordingly as of December 31, 2024 and December 31, 2025, no non-controlling interests are recognized in STG.</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net assets attributable to NCI are €652 thousand (2024: €742 thousand).</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29. NON-CURRENT AND CURRENT FINANCIAL LIABILITIES</w:t>
      </w:r>
    </w:p>
    <w:p>
      <w:pPr>
        <w:spacing w:after="0" w:line="148"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an overview of the financial liabilities of SCHMID as of December 31, 2025:</w:t>
      </w:r>
    </w:p>
    <w:p>
      <w:pPr>
        <w:ind w:left="1620"/>
        <w:spacing w:after="0"/>
        <w:tabs>
          <w:tab w:leader="none" w:pos="7440" w:val="left"/>
        </w:tabs>
        <w:rPr>
          <w:sz w:val="20"/>
          <w:szCs w:val="20"/>
          <w:color w:val="auto"/>
        </w:rPr>
      </w:pPr>
      <w:r>
        <w:rPr>
          <w:rFonts w:ascii="Times New Roman" w:cs="Times New Roman" w:eastAsia="Times New Roman" w:hAnsi="Times New Roman"/>
          <w:sz w:val="14"/>
          <w:szCs w:val="14"/>
          <w:b w:val="1"/>
          <w:bCs w:val="1"/>
          <w:color w:val="auto"/>
        </w:rPr>
        <w:t>in € thousand</w:t>
      </w:r>
      <w:r>
        <w:rPr>
          <w:sz w:val="20"/>
          <w:szCs w:val="20"/>
          <w:color w:val="auto"/>
        </w:rPr>
        <w:tab/>
      </w:r>
      <w:r>
        <w:rPr>
          <w:rFonts w:ascii="Times New Roman" w:cs="Times New Roman" w:eastAsia="Times New Roman" w:hAnsi="Times New Roman"/>
          <w:sz w:val="20"/>
          <w:szCs w:val="20"/>
          <w:b w:val="1"/>
          <w:bCs w:val="1"/>
          <w:color w:val="auto"/>
          <w:vertAlign w:val="subscript"/>
        </w:rPr>
        <w:t xml:space="preserve">​ ​ </w:t>
      </w:r>
      <w:r>
        <w:rPr>
          <w:rFonts w:ascii="Times New Roman" w:cs="Times New Roman" w:eastAsia="Times New Roman" w:hAnsi="Times New Roman"/>
          <w:sz w:val="20"/>
          <w:szCs w:val="20"/>
          <w:b w:val="1"/>
          <w:bCs w:val="1"/>
          <w:color w:val="auto"/>
        </w:rPr>
        <w:t xml:space="preserve">Non-current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1"/>
          <w:szCs w:val="11"/>
          <w:b w:val="1"/>
          <w:bCs w:val="1"/>
          <w:color w:val="auto"/>
        </w:rPr>
        <w:t>Current</w:t>
      </w:r>
      <w:r>
        <w:rPr>
          <w:rFonts w:ascii="Times New Roman" w:cs="Times New Roman" w:eastAsia="Times New Roman" w:hAnsi="Times New Roman"/>
          <w:sz w:val="20"/>
          <w:szCs w:val="20"/>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76835</wp:posOffset>
            </wp:positionV>
            <wp:extent cx="4749165" cy="1714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Loans from banks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Black forest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third party loans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Loans from other related parties</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wp:posOffset>
            </wp:positionV>
            <wp:extent cx="4749165" cy="16319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Black forest term loan facility (derivative)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XJ Harbour Set-off agreement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1,191  ​​ ​​ 1,232​</w:t>
      </w:r>
    </w:p>
    <w:p>
      <w:pPr>
        <w:spacing w:after="0" w:line="54" w:lineRule="exact"/>
        <w:rPr>
          <w:sz w:val="20"/>
          <w:szCs w:val="20"/>
          <w:color w:val="auto"/>
        </w:rPr>
      </w:pPr>
    </w:p>
    <w:p>
      <w:pPr>
        <w:spacing w:after="0"/>
        <w:tabs>
          <w:tab w:leader="none" w:pos="500" w:val="left"/>
          <w:tab w:leader="none" w:pos="144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574  ​​ ​​</w:t>
      </w:r>
      <w:r>
        <w:rPr>
          <w:sz w:val="20"/>
          <w:szCs w:val="20"/>
          <w:color w:val="auto"/>
        </w:rPr>
        <w:tab/>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2,200  ​​ ​​ 3,114​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21,000  ​​ ​​ 4,611​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11,000  ​​ ​​ 8,634​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  ​35,965 ​​ ​​17,591​</w:t>
      </w:r>
    </w:p>
    <w:p>
      <w:pPr>
        <w:spacing w:after="0" w:line="5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b/>
        <w:t>—  ​​ ​​ 5,290​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9,459  ​​ ​​64,267​</w:t>
      </w:r>
    </w:p>
    <w:p>
      <w:pPr>
        <w:spacing w:after="0" w:line="1" w:lineRule="exact"/>
        <w:rPr>
          <w:sz w:val="20"/>
          <w:szCs w:val="20"/>
          <w:color w:val="auto"/>
        </w:rPr>
      </w:pPr>
    </w:p>
    <w:p>
      <w:pPr>
        <w:sectPr>
          <w:pgSz w:w="11900" w:h="16838" w:orient="portrait"/>
          <w:cols w:equalWidth="0" w:num="2">
            <w:col w:w="6740" w:space="720"/>
            <w:col w:w="241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93"/>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60"/>
              <w:spacing w:after="0" w:line="293"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26,094</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40"/>
              <w:spacing w:after="0" w:line="29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3"/>
                <w:szCs w:val="33"/>
                <w:color w:val="auto"/>
                <w:vertAlign w:val="superscript"/>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71,518</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​87,148</w:t>
            </w:r>
            <w:r>
              <w:rPr>
                <w:rFonts w:ascii="Times New Roman" w:cs="Times New Roman" w:eastAsia="Times New Roman" w:hAnsi="Times New Roman"/>
                <w:sz w:val="32"/>
                <w:szCs w:val="32"/>
                <w:b w:val="1"/>
                <w:bCs w:val="1"/>
                <w:color w:val="auto"/>
                <w:vertAlign w:val="subscript"/>
              </w:rPr>
              <w:t>​</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60" w:right="8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shows an overview of the financial liabilities of SCHMID as of December 31, 2024:</w:t>
      </w:r>
    </w:p>
    <w:p>
      <w:pPr>
        <w:ind w:left="1620"/>
        <w:spacing w:after="0"/>
        <w:tabs>
          <w:tab w:leader="none" w:pos="7440" w:val="left"/>
        </w:tabs>
        <w:rPr>
          <w:sz w:val="20"/>
          <w:szCs w:val="20"/>
          <w:color w:val="auto"/>
        </w:rPr>
      </w:pPr>
      <w:r>
        <w:rPr>
          <w:rFonts w:ascii="Times New Roman" w:cs="Times New Roman" w:eastAsia="Times New Roman" w:hAnsi="Times New Roman"/>
          <w:sz w:val="14"/>
          <w:szCs w:val="14"/>
          <w:b w:val="1"/>
          <w:bCs w:val="1"/>
          <w:color w:val="auto"/>
        </w:rPr>
        <w:t>in € thousand</w:t>
      </w:r>
      <w:r>
        <w:rPr>
          <w:sz w:val="20"/>
          <w:szCs w:val="20"/>
          <w:color w:val="auto"/>
        </w:rPr>
        <w:tab/>
      </w:r>
      <w:r>
        <w:rPr>
          <w:rFonts w:ascii="Times New Roman" w:cs="Times New Roman" w:eastAsia="Times New Roman" w:hAnsi="Times New Roman"/>
          <w:sz w:val="20"/>
          <w:szCs w:val="20"/>
          <w:b w:val="1"/>
          <w:bCs w:val="1"/>
          <w:color w:val="auto"/>
          <w:vertAlign w:val="subscript"/>
        </w:rPr>
        <w:t xml:space="preserve">​ ​ </w:t>
      </w:r>
      <w:r>
        <w:rPr>
          <w:rFonts w:ascii="Times New Roman" w:cs="Times New Roman" w:eastAsia="Times New Roman" w:hAnsi="Times New Roman"/>
          <w:sz w:val="20"/>
          <w:szCs w:val="20"/>
          <w:b w:val="1"/>
          <w:bCs w:val="1"/>
          <w:color w:val="auto"/>
        </w:rPr>
        <w:t xml:space="preserve">Non-current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1"/>
          <w:szCs w:val="11"/>
          <w:b w:val="1"/>
          <w:bCs w:val="1"/>
          <w:color w:val="auto"/>
        </w:rPr>
        <w:t>Current</w:t>
      </w:r>
      <w:r>
        <w:rPr>
          <w:rFonts w:ascii="Times New Roman" w:cs="Times New Roman" w:eastAsia="Times New Roman" w:hAnsi="Times New Roman"/>
          <w:sz w:val="20"/>
          <w:szCs w:val="20"/>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85725</wp:posOffset>
            </wp:positionV>
            <wp:extent cx="4749165" cy="1714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Loans from banks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XJ Harbour share purchase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third party loans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Loans from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Loans from other related parties</w:t>
      </w:r>
    </w:p>
    <w:p>
      <w:pPr>
        <w:spacing w:after="0" w:line="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debt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2,219​</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​​23,539​</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2,000</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3,008​</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21,000</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8,694​</w:t>
            </w:r>
          </w:p>
        </w:tc>
      </w:tr>
      <w:tr>
        <w:trPr>
          <w:trHeight w:val="252"/>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14,000</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 2,973​</w:t>
            </w:r>
          </w:p>
        </w:tc>
      </w:tr>
      <w:tr>
        <w:trPr>
          <w:trHeight w:val="236"/>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​37,000</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​​40,433​</w:t>
            </w:r>
          </w:p>
        </w:tc>
      </w:tr>
    </w:tbl>
    <w:p>
      <w:pPr>
        <w:spacing w:after="0" w:line="1" w:lineRule="exact"/>
        <w:rPr>
          <w:sz w:val="20"/>
          <w:szCs w:val="20"/>
          <w:color w:val="auto"/>
        </w:rPr>
      </w:pPr>
    </w:p>
    <w:p>
      <w:pPr>
        <w:sectPr>
          <w:pgSz w:w="11900" w:h="16838" w:orient="portrait"/>
          <w:cols w:equalWidth="0" w:num="2">
            <w:col w:w="6740" w:space="720"/>
            <w:col w:w="241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72"/>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6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5,053</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40"/>
              <w:spacing w:after="0" w:line="27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42,053</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​40,433</w:t>
            </w:r>
            <w:r>
              <w:rPr>
                <w:rFonts w:ascii="Times New Roman" w:cs="Times New Roman" w:eastAsia="Times New Roman" w:hAnsi="Times New Roman"/>
                <w:sz w:val="30"/>
                <w:szCs w:val="30"/>
                <w:b w:val="1"/>
                <w:bCs w:val="1"/>
                <w:color w:val="auto"/>
                <w:vertAlign w:val="subscript"/>
              </w:rPr>
              <w:t>​</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Loans from banks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current loans from banks relate to a long-standing overdraft facility held by Gebr. SCHMID GmbH with a local bank in Germany. The non-current loans from banks relate to a new bank loan granted to STG by a Chinese bank.</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Black forest term loan facility</w:t>
      </w:r>
    </w:p>
    <w:p>
      <w:pPr>
        <w:spacing w:after="0" w:line="162"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w:t>
      </w:r>
    </w:p>
    <w:p>
      <w:pPr>
        <w:spacing w:after="0" w:line="3" w:lineRule="exact"/>
        <w:rPr>
          <w:sz w:val="20"/>
          <w:szCs w:val="20"/>
          <w:color w:val="auto"/>
        </w:rPr>
      </w:pPr>
    </w:p>
    <w:p>
      <w:pPr>
        <w:ind w:left="1260" w:right="1039"/>
        <w:spacing w:after="0" w:line="245" w:lineRule="auto"/>
        <w:rPr>
          <w:sz w:val="20"/>
          <w:szCs w:val="20"/>
          <w:color w:val="auto"/>
        </w:rPr>
      </w:pPr>
      <w:r>
        <w:rPr>
          <w:rFonts w:ascii="Times New Roman" w:cs="Times New Roman" w:eastAsia="Times New Roman" w:hAnsi="Times New Roman"/>
          <w:sz w:val="18"/>
          <w:szCs w:val="18"/>
          <w:color w:val="auto"/>
        </w:rPr>
        <w:t>€574 thousand. In addition, the conversion option amounts to €1,746 thousand as is accounted for as FVTPL.</w:t>
      </w:r>
    </w:p>
    <w:p>
      <w:pPr>
        <w:spacing w:after="0" w:line="113"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w:t>
      </w:r>
    </w:p>
    <w:p>
      <w:pPr>
        <w:sectPr>
          <w:pgSz w:w="11900" w:h="16838" w:orient="portrait"/>
          <w:cols w:equalWidth="0" w:num="1">
            <w:col w:w="9879"/>
          </w:cols>
          <w:pgMar w:left="580" w:top="97" w:right="1440" w:bottom="1440" w:gutter="0" w:footer="0" w:header="0"/>
          <w:type w:val="continuous"/>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second tranche payment has not been executed and is no longer expected by the Company. The term loan facility has a 15% p.a. interest rate with interest payable at maturity, unless the conversion right is exercised and interest is also converted into shares of the Company.</w:t>
      </w:r>
    </w:p>
    <w:p>
      <w:pPr>
        <w:spacing w:after="0" w:line="108"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w:t>
      </w:r>
    </w:p>
    <w:p>
      <w:pPr>
        <w:spacing w:after="0" w:line="33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XJ Harbour Set-off agreement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estimate regarding the share price as of settlement date are recognized as finance expense. As of December 31, 2025, the liability without the embedded derivatives described in the following paragraph has a book value of €64,267 thousand.</w:t>
      </w:r>
    </w:p>
    <w:p>
      <w:pPr>
        <w:spacing w:after="0" w:line="12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w:t>
      </w:r>
    </w:p>
    <w:p>
      <w:pPr>
        <w:spacing w:after="0" w:line="33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Fair value changes from those derivatives are recognized in finance expense. The book and fair value of the share price protection clause is €9,459 thousand whereas the corresponding cap is recognized as a non-current financial asset amounting to €7,713 thousand.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Other third party loans</w:t>
      </w:r>
    </w:p>
    <w:p>
      <w:pPr>
        <w:spacing w:after="0" w:line="14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Loans from shareholders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loans from shareholders of €21 million are due end of 2027. The term is automatically extended by a further year if the contract is not terminated 6 months before expiry. Interest is floating at 3 months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97" w:lineRule="auto"/>
        <w:rPr>
          <w:sz w:val="20"/>
          <w:szCs w:val="20"/>
          <w:color w:val="auto"/>
        </w:rPr>
      </w:pPr>
      <w:r>
        <w:rPr>
          <w:rFonts w:ascii="Times New Roman" w:cs="Times New Roman" w:eastAsia="Times New Roman" w:hAnsi="Times New Roman"/>
          <w:sz w:val="18"/>
          <w:szCs w:val="18"/>
          <w:color w:val="auto"/>
        </w:rPr>
        <w:t>EURIBOR plus 1% margin. SCHMID entered into an agreement after the balance sheet date to set off those liabilities by issuing share. For further details see note 38. Events after the reporting period.</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Loans from other related parties</w:t>
      </w:r>
    </w:p>
    <w:p>
      <w:pPr>
        <w:spacing w:after="0" w:line="148" w:lineRule="exact"/>
        <w:rPr>
          <w:sz w:val="20"/>
          <w:szCs w:val="20"/>
          <w:color w:val="auto"/>
        </w:rPr>
      </w:pPr>
    </w:p>
    <w:p>
      <w:pPr>
        <w:ind w:left="1260" w:right="539" w:firstLine="360"/>
        <w:spacing w:after="0" w:line="270" w:lineRule="auto"/>
        <w:rPr>
          <w:sz w:val="20"/>
          <w:szCs w:val="20"/>
          <w:color w:val="auto"/>
        </w:rPr>
      </w:pPr>
      <w:r>
        <w:rPr>
          <w:rFonts w:ascii="Times New Roman" w:cs="Times New Roman" w:eastAsia="Times New Roman" w:hAnsi="Times New Roman"/>
          <w:sz w:val="18"/>
          <w:szCs w:val="18"/>
          <w:color w:val="auto"/>
        </w:rPr>
        <w:t>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Warrants</w:t>
      </w:r>
    </w:p>
    <w:p>
      <w:pPr>
        <w:spacing w:after="0" w:line="148"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w:t>
      </w:r>
    </w:p>
    <w:p>
      <w:pPr>
        <w:spacing w:after="0" w:line="118"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30. OTHER PROVISIONS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Movement in provisions during the year is as follows:</w:t>
      </w:r>
    </w:p>
    <w:p>
      <w:pPr>
        <w:sectPr>
          <w:pgSz w:w="11900" w:h="16838" w:orient="portrait"/>
          <w:cols w:equalWidth="0" w:num="1">
            <w:col w:w="9879"/>
          </w:cols>
          <w:pgMar w:left="580" w:top="97" w:right="1440" w:bottom="1440" w:gutter="0" w:footer="0" w:header="0"/>
        </w:sectPr>
      </w:pP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Warranty provision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Jubilee provision</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Total non-current provisions</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Warranty provision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 for legal claims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provisions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provisions</w:t>
      </w:r>
    </w:p>
    <w:p>
      <w:pPr>
        <w:spacing w:after="0" w:line="200" w:lineRule="exact"/>
        <w:rPr>
          <w:sz w:val="20"/>
          <w:szCs w:val="20"/>
          <w:color w:val="auto"/>
        </w:rPr>
      </w:pPr>
    </w:p>
    <w:p>
      <w:pPr>
        <w:spacing w:after="0" w:line="3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Warranty provision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Jubilee provision</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Total non-current provisions</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Warranty provision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 for legal claims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provisions</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provisions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Additions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Utilization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Reclassification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27305</wp:posOffset>
            </wp:positionV>
            <wp:extent cx="5212080" cy="1714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1"/>
              </w:rPr>
              <w:t>​211</w:t>
            </w:r>
          </w:p>
        </w:tc>
        <w:tc>
          <w:tcPr>
            <w:tcW w:w="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​128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line="247" w:lineRule="exact"/>
              <w:rPr>
                <w:sz w:val="20"/>
                <w:szCs w:val="20"/>
                <w:color w:val="auto"/>
              </w:rPr>
            </w:pPr>
            <w:r>
              <w:rPr>
                <w:rFonts w:ascii="Times New Roman" w:cs="Times New Roman" w:eastAsia="Times New Roman" w:hAnsi="Times New Roman"/>
                <w:sz w:val="28"/>
                <w:szCs w:val="28"/>
                <w:color w:val="auto"/>
                <w:w w:val="97"/>
                <w:vertAlign w:val="subscript"/>
              </w:rPr>
              <w:t>​</w:t>
            </w:r>
            <w:r>
              <w:rPr>
                <w:rFonts w:ascii="Times New Roman" w:cs="Times New Roman" w:eastAsia="Times New Roman" w:hAnsi="Times New Roman"/>
                <w:sz w:val="15"/>
                <w:szCs w:val="15"/>
                <w:color w:val="auto"/>
                <w:w w:val="97"/>
              </w:rPr>
              <w:t>134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ind w:lef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ind w:left="1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(8)</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gridSpan w:val="5"/>
          </w:tcPr>
          <w:p>
            <w:pPr>
              <w:ind w:left="10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1"/>
              </w:rPr>
              <w:t>​345</w:t>
            </w:r>
          </w:p>
        </w:tc>
        <w:tc>
          <w:tcPr>
            <w:tcW w:w="4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4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 (8)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3"/>
                <w:szCs w:val="23"/>
                <w:color w:val="auto"/>
              </w:rPr>
            </w:pP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​(83)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88"/>
              </w:rPr>
              <w:t>​254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39</w:t>
            </w:r>
          </w:p>
        </w:tc>
        <w:tc>
          <w:tcPr>
            <w:tcW w:w="4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​122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9</w:t>
            </w:r>
          </w:p>
        </w:tc>
        <w:tc>
          <w:tcPr>
            <w:tcW w:w="1760" w:type="dxa"/>
            <w:vAlign w:val="bottom"/>
            <w:gridSpan w:val="13"/>
          </w:tcPr>
          <w:p>
            <w:pPr>
              <w:ind w:left="200"/>
              <w:spacing w:after="0"/>
              <w:rPr>
                <w:sz w:val="20"/>
                <w:szCs w:val="20"/>
                <w:color w:val="auto"/>
              </w:rPr>
            </w:pPr>
            <w:r>
              <w:rPr>
                <w:rFonts w:ascii="Times New Roman" w:cs="Times New Roman" w:eastAsia="Times New Roman" w:hAnsi="Times New Roman"/>
                <w:sz w:val="18"/>
                <w:szCs w:val="18"/>
                <w:color w:val="auto"/>
              </w:rPr>
              <w:t xml:space="preserve">​​ ​  ​ —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 ​  ​  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line="247" w:lineRule="exact"/>
              <w:rPr>
                <w:sz w:val="20"/>
                <w:szCs w:val="20"/>
                <w:color w:val="auto"/>
              </w:rPr>
            </w:pPr>
            <w:r>
              <w:rPr>
                <w:rFonts w:ascii="Times New Roman" w:cs="Times New Roman" w:eastAsia="Times New Roman" w:hAnsi="Times New Roman"/>
                <w:sz w:val="28"/>
                <w:szCs w:val="28"/>
                <w:color w:val="auto"/>
                <w:w w:val="97"/>
                <w:vertAlign w:val="subscript"/>
              </w:rPr>
              <w:t>​</w:t>
            </w:r>
            <w:r>
              <w:rPr>
                <w:rFonts w:ascii="Times New Roman" w:cs="Times New Roman" w:eastAsia="Times New Roman" w:hAnsi="Times New Roman"/>
                <w:sz w:val="15"/>
                <w:szCs w:val="15"/>
                <w:color w:val="auto"/>
                <w:w w:val="97"/>
              </w:rPr>
              <w:t>136</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4"/>
          </w:tcPr>
          <w:p>
            <w:pPr>
              <w:ind w:left="1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​165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ind w:left="1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(17)</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00" w:type="dxa"/>
            <w:vAlign w:val="bottom"/>
            <w:gridSpan w:val="5"/>
          </w:tcPr>
          <w:p>
            <w:pPr>
              <w:ind w:left="10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w w:val="91"/>
                <w:vertAlign w:val="subscript"/>
              </w:rPr>
              <w:t>​</w:t>
            </w:r>
            <w:r>
              <w:rPr>
                <w:rFonts w:ascii="Times New Roman" w:cs="Times New Roman" w:eastAsia="Times New Roman" w:hAnsi="Times New Roman"/>
                <w:sz w:val="16"/>
                <w:szCs w:val="16"/>
                <w:b w:val="1"/>
                <w:bCs w:val="1"/>
                <w:color w:val="auto"/>
                <w:w w:val="91"/>
              </w:rPr>
              <w:t>184</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4"/>
          </w:tcPr>
          <w:p>
            <w:pPr>
              <w:ind w:left="1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​165</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4"/>
          </w:tcPr>
          <w:p>
            <w:pPr>
              <w:ind w:left="1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(17)</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700" w:type="dxa"/>
            <w:vAlign w:val="bottom"/>
            <w:gridSpan w:val="5"/>
          </w:tcPr>
          <w:p>
            <w:pPr>
              <w:ind w:lef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83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200"/>
              <w:spacing w:after="0" w:line="264" w:lineRule="exact"/>
              <w:rPr>
                <w:sz w:val="20"/>
                <w:szCs w:val="20"/>
                <w:color w:val="auto"/>
              </w:rPr>
            </w:pPr>
            <w:r>
              <w:rPr>
                <w:rFonts w:ascii="Times New Roman" w:cs="Times New Roman" w:eastAsia="Times New Roman" w:hAnsi="Times New Roman"/>
                <w:sz w:val="30"/>
                <w:szCs w:val="30"/>
                <w:b w:val="1"/>
                <w:bCs w:val="1"/>
                <w:color w:val="auto"/>
                <w:w w:val="99"/>
                <w:vertAlign w:val="subscript"/>
              </w:rPr>
              <w:t>​</w:t>
            </w:r>
            <w:r>
              <w:rPr>
                <w:rFonts w:ascii="Times New Roman" w:cs="Times New Roman" w:eastAsia="Times New Roman" w:hAnsi="Times New Roman"/>
                <w:sz w:val="16"/>
                <w:szCs w:val="16"/>
                <w:b w:val="1"/>
                <w:bCs w:val="1"/>
                <w:color w:val="auto"/>
                <w:w w:val="99"/>
              </w:rPr>
              <w:t>415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9"/>
        </w:trPr>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Reversal of</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unused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24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12/31/2023</w:t>
            </w:r>
          </w:p>
        </w:tc>
        <w:tc>
          <w:tcPr>
            <w:tcW w:w="1900" w:type="dxa"/>
            <w:vAlign w:val="bottom"/>
            <w:gridSpan w:val="1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Additions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Utilization </w:t>
            </w:r>
            <w:r>
              <w:rPr>
                <w:rFonts w:ascii="Times New Roman" w:cs="Times New Roman" w:eastAsia="Times New Roman" w:hAnsi="Times New Roman"/>
                <w:sz w:val="24"/>
                <w:szCs w:val="24"/>
                <w:b w:val="1"/>
                <w:bCs w:val="1"/>
                <w:color w:val="auto"/>
                <w:vertAlign w:val="subscript"/>
              </w:rPr>
              <w:t>​ ​</w:t>
            </w:r>
          </w:p>
        </w:tc>
        <w:tc>
          <w:tcPr>
            <w:tcW w:w="7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amounts</w:t>
            </w:r>
          </w:p>
        </w:tc>
        <w:tc>
          <w:tcPr>
            <w:tcW w:w="9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12/31/2024 </w:t>
            </w:r>
            <w:r>
              <w:rPr>
                <w:rFonts w:ascii="Times New Roman" w:cs="Times New Roman" w:eastAsia="Times New Roman" w:hAnsi="Times New Roman"/>
                <w:sz w:val="24"/>
                <w:szCs w:val="24"/>
                <w:b w:val="1"/>
                <w:bCs w:val="1"/>
                <w:color w:val="auto"/>
                <w:vertAlign w:val="subscript"/>
              </w:rPr>
              <w:t>​</w:t>
            </w: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24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3"/>
                <w:szCs w:val="23"/>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​211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ind w:left="1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​169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28"/>
                <w:szCs w:val="28"/>
                <w:color w:val="auto"/>
                <w:vertAlign w:val="subscript"/>
              </w:rPr>
              <w:t>​​ ​</w:t>
            </w:r>
          </w:p>
        </w:tc>
        <w:tc>
          <w:tcPr>
            <w:tcW w:w="100" w:type="dxa"/>
            <w:vAlign w:val="bottom"/>
          </w:tcPr>
          <w:p>
            <w:pPr>
              <w:spacing w:after="0"/>
              <w:rPr>
                <w:sz w:val="21"/>
                <w:szCs w:val="21"/>
                <w:color w:val="auto"/>
              </w:rPr>
            </w:pPr>
          </w:p>
        </w:tc>
        <w:tc>
          <w:tcPr>
            <w:tcW w:w="600" w:type="dxa"/>
            <w:vAlign w:val="bottom"/>
            <w:gridSpan w:val="4"/>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24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​237</w:t>
            </w:r>
          </w:p>
        </w:tc>
        <w:tc>
          <w:tcPr>
            <w:tcW w:w="100" w:type="dxa"/>
            <w:vAlign w:val="bottom"/>
          </w:tcPr>
          <w:p>
            <w:pPr>
              <w:spacing w:after="0"/>
              <w:rPr>
                <w:sz w:val="23"/>
                <w:szCs w:val="23"/>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​169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88"/>
              </w:rPr>
              <w:t>​345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(374) ​​ ​</w:t>
            </w:r>
          </w:p>
        </w:tc>
        <w:tc>
          <w:tcPr>
            <w:tcW w:w="100" w:type="dxa"/>
            <w:vAlign w:val="bottom"/>
          </w:tcPr>
          <w:p>
            <w:pPr>
              <w:spacing w:after="0"/>
              <w:rPr>
                <w:sz w:val="22"/>
                <w:szCs w:val="22"/>
                <w:color w:val="auto"/>
              </w:rPr>
            </w:pP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53</w:t>
            </w:r>
          </w:p>
        </w:tc>
        <w:tc>
          <w:tcPr>
            <w:tcW w:w="1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ind w:righ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695</w:t>
            </w:r>
          </w:p>
        </w:tc>
        <w:tc>
          <w:tcPr>
            <w:tcW w:w="100" w:type="dxa"/>
            <w:vAlign w:val="bottom"/>
          </w:tcPr>
          <w:p>
            <w:pPr>
              <w:spacing w:after="0"/>
              <w:rPr>
                <w:sz w:val="21"/>
                <w:szCs w:val="21"/>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ind w:left="1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​170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6"/>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(700) </w:t>
            </w:r>
            <w:r>
              <w:rPr>
                <w:rFonts w:ascii="Times New Roman" w:cs="Times New Roman" w:eastAsia="Times New Roman" w:hAnsi="Times New Roman"/>
                <w:sz w:val="28"/>
                <w:szCs w:val="28"/>
                <w:color w:val="auto"/>
                <w:vertAlign w:val="subscript"/>
              </w:rPr>
              <w:t>​​ ​</w:t>
            </w:r>
          </w:p>
        </w:tc>
        <w:tc>
          <w:tcPr>
            <w:tcW w:w="100" w:type="dxa"/>
            <w:vAlign w:val="bottom"/>
          </w:tcPr>
          <w:p>
            <w:pPr>
              <w:spacing w:after="0"/>
              <w:rPr>
                <w:sz w:val="21"/>
                <w:szCs w:val="21"/>
                <w:color w:val="auto"/>
              </w:rPr>
            </w:pPr>
          </w:p>
        </w:tc>
        <w:tc>
          <w:tcPr>
            <w:tcW w:w="600" w:type="dxa"/>
            <w:vAlign w:val="bottom"/>
            <w:gridSpan w:val="4"/>
          </w:tcPr>
          <w:p>
            <w:pPr>
              <w:ind w:left="1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3"/>
          </w:tcPr>
          <w:p>
            <w:pPr>
              <w:jc w:val="right"/>
              <w:ind w:righ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973</w:t>
            </w:r>
          </w:p>
        </w:tc>
        <w:tc>
          <w:tcPr>
            <w:tcW w:w="100" w:type="dxa"/>
            <w:vAlign w:val="bottom"/>
          </w:tcPr>
          <w:p>
            <w:pPr>
              <w:spacing w:after="0"/>
              <w:rPr>
                <w:sz w:val="22"/>
                <w:szCs w:val="22"/>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4"/>
          </w:tcPr>
          <w:p>
            <w:pPr>
              <w:ind w:left="16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​420</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(1,115) </w:t>
            </w:r>
            <w:r>
              <w:rPr>
                <w:rFonts w:ascii="Times New Roman" w:cs="Times New Roman" w:eastAsia="Times New Roman" w:hAnsi="Times New Roman"/>
                <w:sz w:val="30"/>
                <w:szCs w:val="30"/>
                <w:b w:val="1"/>
                <w:bCs w:val="1"/>
                <w:color w:val="auto"/>
                <w:vertAlign w:val="subscript"/>
              </w:rPr>
              <w:t>​​ ​</w:t>
            </w:r>
          </w:p>
        </w:tc>
        <w:tc>
          <w:tcPr>
            <w:tcW w:w="100" w:type="dxa"/>
            <w:vAlign w:val="bottom"/>
          </w:tcPr>
          <w:p>
            <w:pPr>
              <w:spacing w:after="0"/>
              <w:rPr>
                <w:sz w:val="22"/>
                <w:szCs w:val="22"/>
                <w:color w:val="auto"/>
              </w:rPr>
            </w:pPr>
          </w:p>
        </w:tc>
        <w:tc>
          <w:tcPr>
            <w:tcW w:w="600" w:type="dxa"/>
            <w:vAlign w:val="bottom"/>
            <w:gridSpan w:val="4"/>
          </w:tcPr>
          <w:p>
            <w:pPr>
              <w:ind w:left="1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(94)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200"/>
              <w:spacing w:after="0" w:line="264" w:lineRule="exact"/>
              <w:rPr>
                <w:sz w:val="20"/>
                <w:szCs w:val="20"/>
                <w:color w:val="auto"/>
              </w:rPr>
            </w:pPr>
            <w:r>
              <w:rPr>
                <w:rFonts w:ascii="Times New Roman" w:cs="Times New Roman" w:eastAsia="Times New Roman" w:hAnsi="Times New Roman"/>
                <w:sz w:val="30"/>
                <w:szCs w:val="30"/>
                <w:b w:val="1"/>
                <w:bCs w:val="1"/>
                <w:color w:val="auto"/>
                <w:w w:val="99"/>
                <w:vertAlign w:val="subscript"/>
              </w:rPr>
              <w:t>​</w:t>
            </w:r>
            <w:r>
              <w:rPr>
                <w:rFonts w:ascii="Times New Roman" w:cs="Times New Roman" w:eastAsia="Times New Roman" w:hAnsi="Times New Roman"/>
                <w:sz w:val="16"/>
                <w:szCs w:val="16"/>
                <w:b w:val="1"/>
                <w:bCs w:val="1"/>
                <w:color w:val="auto"/>
                <w:w w:val="99"/>
              </w:rPr>
              <w:t>184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40" w:type="dxa"/>
            <w:vAlign w:val="bottom"/>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-2142490</wp:posOffset>
            </wp:positionV>
            <wp:extent cx="5212080" cy="1625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-1808480</wp:posOffset>
            </wp:positionV>
            <wp:extent cx="5212080" cy="18859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-2476500</wp:posOffset>
            </wp:positionV>
            <wp:extent cx="5212080" cy="1714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-522605</wp:posOffset>
            </wp:positionV>
            <wp:extent cx="5212080" cy="1625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-187960</wp:posOffset>
            </wp:positionV>
            <wp:extent cx="5212080" cy="18859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-856615</wp:posOffset>
            </wp:positionV>
            <wp:extent cx="5212080" cy="1714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-1199515</wp:posOffset>
            </wp:positionV>
            <wp:extent cx="5212080" cy="1714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5019"/>
          </w:cols>
          <w:pgMar w:left="580" w:top="97" w:right="1440" w:bottom="1440" w:gutter="0" w:footer="0" w:header="0"/>
          <w:type w:val="continuous"/>
        </w:sectPr>
      </w:pPr>
    </w:p>
    <w:p>
      <w:pPr>
        <w:spacing w:after="0" w:line="1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31. POST-EMPLOYMENT BENEFITS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162"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Defined benefit plan</w:t>
      </w:r>
    </w:p>
    <w:p>
      <w:pPr>
        <w:spacing w:after="0" w:line="148"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w:t>
      </w:r>
    </w:p>
    <w:p>
      <w:pPr>
        <w:spacing w:after="0" w:line="309"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present value of the defined benefit obligation at the end of the fiscal year 2025 amounted to €969 thousand (December 31, 2024: €978 thousand, December 31, 2023: €894 thousand).</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the net defined benefit liability:</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defined liability at January 1</w:t>
            </w:r>
          </w:p>
        </w:tc>
        <w:tc>
          <w:tcPr>
            <w:tcW w:w="520" w:type="dxa"/>
            <w:vAlign w:val="bottom"/>
            <w:tcBorders>
              <w:right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978</w:t>
            </w:r>
          </w:p>
        </w:tc>
        <w:tc>
          <w:tcPr>
            <w:tcW w:w="48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894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income recognized in consolidated statement of profit or loss</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33</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Defined benefit cost recognized in other comprehensive income</w:t>
            </w:r>
          </w:p>
        </w:tc>
        <w:tc>
          <w:tcPr>
            <w:tcW w:w="800" w:type="dxa"/>
            <w:vAlign w:val="bottom"/>
            <w:tcBorders>
              <w:right w:val="single" w:sz="8" w:color="CCEEFF"/>
            </w:tcBorders>
            <w:gridSpan w:val="3"/>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99"/>
              </w:rPr>
              <w:t>44</w:t>
            </w:r>
          </w:p>
        </w:tc>
        <w:tc>
          <w:tcPr>
            <w:tcW w:w="6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60" w:type="dxa"/>
            <w:vAlign w:val="bottom"/>
            <w:shd w:val="clear" w:color="auto" w:fill="CCEEFF"/>
          </w:tcPr>
          <w:p>
            <w:pPr>
              <w:spacing w:after="0"/>
              <w:rPr>
                <w:sz w:val="4"/>
                <w:szCs w:val="4"/>
                <w:color w:val="auto"/>
              </w:rPr>
            </w:pPr>
          </w:p>
        </w:tc>
        <w:tc>
          <w:tcPr>
            <w:tcW w:w="520" w:type="dxa"/>
            <w:vAlign w:val="bottom"/>
            <w:tcBorders>
              <w:right w:val="single" w:sz="8" w:color="CCEEFF"/>
            </w:tcBorders>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Borders>
              <w:righ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00" w:type="dxa"/>
            <w:vAlign w:val="bottom"/>
            <w:shd w:val="clear" w:color="auto" w:fill="CCEEFF"/>
          </w:tcPr>
          <w:p>
            <w:pPr>
              <w:spacing w:after="0"/>
              <w:rPr>
                <w:sz w:val="4"/>
                <w:szCs w:val="4"/>
                <w:color w:val="auto"/>
              </w:rPr>
            </w:pPr>
          </w:p>
        </w:tc>
        <w:tc>
          <w:tcPr>
            <w:tcW w:w="6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other liabilities</w:t>
            </w:r>
          </w:p>
        </w:tc>
        <w:tc>
          <w:tcPr>
            <w:tcW w:w="80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 ​</w:t>
            </w:r>
          </w:p>
        </w:tc>
        <w:tc>
          <w:tcPr>
            <w:tcW w:w="2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defined liability at December 31</w:t>
            </w:r>
          </w:p>
        </w:tc>
        <w:tc>
          <w:tcPr>
            <w:tcW w:w="520" w:type="dxa"/>
            <w:vAlign w:val="bottom"/>
            <w:tcBorders>
              <w:right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969</w:t>
            </w:r>
          </w:p>
        </w:tc>
        <w:tc>
          <w:tcPr>
            <w:tcW w:w="48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978</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-8255</wp:posOffset>
            </wp:positionV>
            <wp:extent cx="889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-187960</wp:posOffset>
            </wp:positionV>
            <wp:extent cx="474916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-694055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-873760</wp:posOffset>
            </wp:positionV>
            <wp:extent cx="137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-873760</wp:posOffset>
            </wp:positionV>
            <wp:extent cx="1371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Reconciliation of the amount recognized in the consolidated statement of financial position:</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6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benefit obligations recognized as of January 1</w:t>
            </w:r>
          </w:p>
        </w:tc>
        <w:tc>
          <w:tcPr>
            <w:tcW w:w="520" w:type="dxa"/>
            <w:vAlign w:val="bottom"/>
            <w:tcBorders>
              <w:right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978</w:t>
            </w:r>
          </w:p>
        </w:tc>
        <w:tc>
          <w:tcPr>
            <w:tcW w:w="48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894</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Actuarial adjustments</w:t>
            </w:r>
          </w:p>
        </w:tc>
        <w:tc>
          <w:tcPr>
            <w:tcW w:w="220" w:type="dxa"/>
            <w:vAlign w:val="bottom"/>
          </w:tcPr>
          <w:p>
            <w:pPr>
              <w:spacing w:after="0"/>
              <w:rPr>
                <w:sz w:val="17"/>
                <w:szCs w:val="17"/>
                <w:color w:val="auto"/>
              </w:rPr>
            </w:pPr>
          </w:p>
        </w:tc>
        <w:tc>
          <w:tcPr>
            <w:tcW w:w="580" w:type="dxa"/>
            <w:vAlign w:val="bottom"/>
            <w:gridSpan w:val="2"/>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6460" w:type="dxa"/>
            <w:vAlign w:val="bottom"/>
          </w:tcPr>
          <w:p>
            <w:pPr>
              <w:spacing w:after="0"/>
              <w:rPr>
                <w:sz w:val="4"/>
                <w:szCs w:val="4"/>
                <w:color w:val="auto"/>
              </w:rPr>
            </w:pPr>
          </w:p>
        </w:tc>
        <w:tc>
          <w:tcPr>
            <w:tcW w:w="52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2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34</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of other liabilities</w:t>
            </w:r>
          </w:p>
        </w:tc>
        <w:tc>
          <w:tcPr>
            <w:tcW w:w="80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 ​</w:t>
            </w:r>
          </w:p>
        </w:tc>
        <w:tc>
          <w:tcPr>
            <w:tcW w:w="2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31"/>
                <w:szCs w:val="31"/>
                <w:b w:val="1"/>
                <w:bCs w:val="1"/>
                <w:color w:val="auto"/>
                <w:vertAlign w:val="subscript"/>
              </w:rPr>
              <w:t>​</w:t>
            </w:r>
          </w:p>
        </w:tc>
        <w:tc>
          <w:tcPr>
            <w:tcW w:w="0" w:type="dxa"/>
            <w:vAlign w:val="bottom"/>
          </w:tcPr>
          <w:p>
            <w:pPr>
              <w:spacing w:after="0"/>
              <w:rPr>
                <w:sz w:val="1"/>
                <w:szCs w:val="1"/>
                <w:color w:val="auto"/>
              </w:rPr>
            </w:pP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Employee benefit obligations recognized as of December 31</w:t>
            </w:r>
          </w:p>
        </w:tc>
        <w:tc>
          <w:tcPr>
            <w:tcW w:w="520" w:type="dxa"/>
            <w:vAlign w:val="bottom"/>
            <w:tcBorders>
              <w:right w:val="single" w:sz="8" w:color="CCEEFF"/>
            </w:tcBorders>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969</w:t>
            </w:r>
          </w:p>
        </w:tc>
        <w:tc>
          <w:tcPr>
            <w:tcW w:w="48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 ​ ​</w:t>
            </w:r>
            <w:r>
              <w:rPr>
                <w:rFonts w:ascii="Times New Roman" w:cs="Times New Roman" w:eastAsia="Times New Roman" w:hAnsi="Times New Roman"/>
                <w:sz w:val="30"/>
                <w:szCs w:val="30"/>
                <w:b w:val="1"/>
                <w:bCs w:val="1"/>
                <w:color w:val="auto"/>
                <w:vertAlign w:val="superscript"/>
              </w:rPr>
              <w:t>978</w:t>
            </w:r>
          </w:p>
        </w:tc>
        <w:tc>
          <w:tcPr>
            <w:tcW w:w="6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-8255</wp:posOffset>
            </wp:positionV>
            <wp:extent cx="88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-187960</wp:posOffset>
            </wp:positionV>
            <wp:extent cx="474916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-693420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-873760</wp:posOffset>
            </wp:positionV>
            <wp:extent cx="1371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-873760</wp:posOffset>
            </wp:positionV>
            <wp:extent cx="13716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7" w:lineRule="exact"/>
        <w:rPr>
          <w:sz w:val="20"/>
          <w:szCs w:val="20"/>
          <w:color w:val="auto"/>
        </w:rPr>
      </w:pPr>
    </w:p>
    <w:p>
      <w:pPr>
        <w:ind w:left="1260" w:right="959" w:firstLine="360"/>
        <w:spacing w:after="0" w:line="253" w:lineRule="auto"/>
        <w:rPr>
          <w:sz w:val="20"/>
          <w:szCs w:val="20"/>
          <w:color w:val="auto"/>
        </w:rPr>
      </w:pPr>
      <w:r>
        <w:rPr>
          <w:rFonts w:ascii="Times New Roman" w:cs="Times New Roman" w:eastAsia="Times New Roman" w:hAnsi="Times New Roman"/>
          <w:sz w:val="18"/>
          <w:szCs w:val="18"/>
          <w:color w:val="auto"/>
        </w:rPr>
        <w:t>The expense recognized in the consolidated statements of profit or loss and other comprehensive income is as follows</w:t>
      </w:r>
    </w:p>
    <w:p>
      <w:pPr>
        <w:sectPr>
          <w:pgSz w:w="11900" w:h="16838" w:orient="portrait"/>
          <w:cols w:equalWidth="0" w:num="1">
            <w:col w:w="9879"/>
          </w:cols>
          <w:pgMar w:left="580" w:top="97" w:right="1440" w:bottom="1440" w:gutter="0" w:footer="0" w:header="0"/>
        </w:sectPr>
      </w:pPr>
    </w:p>
    <w:p>
      <w:pPr>
        <w:spacing w:after="0" w:line="13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line="310" w:lineRule="auto"/>
        <w:rPr>
          <w:sz w:val="20"/>
          <w:szCs w:val="20"/>
          <w:color w:val="auto"/>
        </w:rPr>
      </w:pPr>
      <w:r>
        <w:rPr>
          <w:rFonts w:ascii="Times New Roman" w:cs="Times New Roman" w:eastAsia="Times New Roman" w:hAnsi="Times New Roman"/>
          <w:sz w:val="18"/>
          <w:szCs w:val="18"/>
          <w:color w:val="auto"/>
        </w:rPr>
        <w:t>Actuarial (gains) / losses deriving from changes in financial assumptions Actuarial (gains) / losses deriving from experience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714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b w:val="1"/>
          <w:bCs w:val="1"/>
          <w:color w:val="auto"/>
        </w:rPr>
        <w:t>Included in other comprehensive income</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8859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Included in the consolidated statements of profit or loss</w:t>
      </w:r>
    </w:p>
    <w:p>
      <w:pPr>
        <w:spacing w:after="0" w:line="63" w:lineRule="exact"/>
        <w:rPr>
          <w:sz w:val="20"/>
          <w:szCs w:val="20"/>
          <w:color w:val="auto"/>
        </w:rPr>
      </w:pPr>
    </w:p>
    <w:p>
      <w:pPr>
        <w:ind w:left="1800" w:right="3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Total included in the consolidated statements of profit or loss and other comprehensive income (loss)</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w:t>
      </w:r>
      <w:r>
        <w:rPr>
          <w:rFonts w:ascii="Times New Roman" w:cs="Times New Roman" w:eastAsia="Times New Roman" w:hAnsi="Times New Roman"/>
          <w:sz w:val="28"/>
          <w:szCs w:val="28"/>
          <w:b w:val="1"/>
          <w:bCs w:val="1"/>
          <w:color w:val="auto"/>
          <w:vertAlign w:val="subscript"/>
        </w:rPr>
        <w:t>​</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43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46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b w:val="1"/>
          <w:bCs w:val="1"/>
          <w:color w:val="auto"/>
        </w:rPr>
        <w:t>​</w:t>
      </w:r>
    </w:p>
    <w:p>
      <w:pPr>
        <w:ind w:left="60"/>
        <w:spacing w:after="0" w:line="210"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35"/>
          <w:szCs w:val="35"/>
          <w:u w:val="single" w:color="auto"/>
          <w:color w:val="auto"/>
          <w:vertAlign w:val="superscript"/>
        </w:rPr>
        <w:t>(1</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35"/>
          <w:szCs w:val="35"/>
          <w:u w:val="single" w:color="auto"/>
          <w:color w:val="auto"/>
          <w:vertAlign w:val="superscript"/>
        </w:rPr>
        <w:t>(2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auto"/>
          <w:vertAlign w:val="superscript"/>
        </w:rPr>
        <w:t>(2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w:t>
            </w:r>
            <w:r>
              <w:rPr>
                <w:rFonts w:ascii="Times New Roman" w:cs="Times New Roman" w:eastAsia="Times New Roman" w:hAnsi="Times New Roman"/>
                <w:sz w:val="18"/>
                <w:szCs w:val="18"/>
                <w:b w:val="1"/>
                <w:bCs w:val="1"/>
                <w:color w:val="auto"/>
              </w:rPr>
              <w:t>​</w:t>
            </w:r>
          </w:p>
        </w:tc>
      </w:tr>
      <w:tr>
        <w:trPr>
          <w:trHeight w:val="248"/>
        </w:trPr>
        <w:tc>
          <w:tcPr>
            <w:tcW w:w="46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34</w:t>
            </w:r>
          </w:p>
        </w:tc>
        <w:tc>
          <w:tcPr>
            <w:tcW w:w="52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36</w:t>
            </w:r>
          </w:p>
        </w:tc>
        <w:tc>
          <w:tcPr>
            <w:tcW w:w="54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6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34</w:t>
            </w:r>
          </w:p>
        </w:tc>
        <w:tc>
          <w:tcPr>
            <w:tcW w:w="52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36</w:t>
            </w: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 ​ ​76 ​​ ​ ​80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7120" w:space="440"/>
            <w:col w:w="231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interest cost relating to the obligation is a component of the result from financing activities.</w:t>
      </w:r>
    </w:p>
    <w:p>
      <w:pPr>
        <w:spacing w:after="0" w:line="1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were the principal actuarial assumptions as of:</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12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20"/>
        </w:trPr>
        <w:tc>
          <w:tcPr>
            <w:tcW w:w="34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4080" w:type="dxa"/>
            <w:vAlign w:val="bottom"/>
            <w:gridSpan w:val="4"/>
            <w:shd w:val="clear" w:color="auto" w:fill="CCEEFF"/>
          </w:tcPr>
          <w:p>
            <w:pPr>
              <w:ind w:left="238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4.0% </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32879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32879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8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Duration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duration of the obligation is 10 years as of December 31, 2025 (December 31, 2024: 11 years).</w:t>
      </w:r>
    </w:p>
    <w:p>
      <w:pPr>
        <w:spacing w:after="0" w:line="22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32.</w:t>
            </w:r>
          </w:p>
        </w:tc>
        <w:tc>
          <w:tcPr>
            <w:tcW w:w="5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TRADE AND RELATED PARTY PAYABLES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1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35,408 ​​ ​</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27,822</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Associated company payables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5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2,663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357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trade and related party payables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38,071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shd w:val="clear" w:color="auto" w:fill="CCEEFF"/>
          </w:tcPr>
          <w:p>
            <w:pPr>
              <w:ind w:left="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28,179</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3"/>
        </w:trPr>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33.</w:t>
            </w:r>
          </w:p>
        </w:tc>
        <w:tc>
          <w:tcPr>
            <w:tcW w:w="5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non-financial liabilities are as follows: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w:t>
            </w: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-976630</wp:posOffset>
            </wp:positionV>
            <wp:extent cx="47491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-1319530</wp:posOffset>
            </wp:positionV>
            <wp:extent cx="137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-1319530</wp:posOffset>
            </wp:positionV>
            <wp:extent cx="137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Personnel related accruals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Tax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related accruals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Production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Liabilities due to reorganization</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and consulting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Miscellaneous other current liabilities</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p>
      <w:pPr>
        <w:spacing w:after="0" w:line="306" w:lineRule="exact"/>
        <w:rPr>
          <w:sz w:val="20"/>
          <w:szCs w:val="20"/>
          <w:color w:val="auto"/>
        </w:rPr>
      </w:pPr>
    </w:p>
    <w:p>
      <w:pPr>
        <w:ind w:left="1260"/>
        <w:spacing w:after="0" w:line="456" w:lineRule="auto"/>
        <w:tabs>
          <w:tab w:leader="none" w:pos="1598"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FINANCIAL RISK MANAGEMENT Carrying Amounts and Fair Values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4,621</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2,579</w:t>
            </w:r>
          </w:p>
        </w:tc>
        <w:tc>
          <w:tcPr>
            <w:tcW w:w="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432</w:t>
            </w:r>
          </w:p>
        </w:tc>
        <w:tc>
          <w:tcPr>
            <w:tcW w:w="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1,853</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2,400</w:t>
            </w:r>
          </w:p>
        </w:tc>
        <w:tc>
          <w:tcPr>
            <w:tcW w:w="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2,645</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1,596</w:t>
            </w:r>
          </w:p>
        </w:tc>
        <w:tc>
          <w:tcPr>
            <w:tcW w:w="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2,809</w:t>
            </w:r>
            <w:r>
              <w:rPr>
                <w:rFonts w:ascii="Times New Roman" w:cs="Times New Roman" w:eastAsia="Times New Roman" w:hAnsi="Times New Roman"/>
                <w:sz w:val="18"/>
                <w:szCs w:val="18"/>
                <w:b w:val="1"/>
                <w:bCs w:val="1"/>
                <w:color w:val="auto"/>
              </w:rPr>
              <w:t xml:space="preserve"> ​</w:t>
            </w:r>
          </w:p>
        </w:tc>
      </w:tr>
      <w:tr>
        <w:trPr>
          <w:trHeight w:val="257"/>
        </w:trPr>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3,140</w:t>
            </w:r>
          </w:p>
        </w:tc>
        <w:tc>
          <w:tcPr>
            <w:tcW w:w="8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5,142 </w:t>
            </w:r>
            <w:r>
              <w:rPr>
                <w:rFonts w:ascii="Times New Roman" w:cs="Times New Roman" w:eastAsia="Times New Roman" w:hAnsi="Times New Roman"/>
                <w:sz w:val="28"/>
                <w:szCs w:val="28"/>
                <w:color w:val="auto"/>
                <w:vertAlign w:val="subscript"/>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4,557 </w:t>
            </w:r>
            <w:r>
              <w:rPr>
                <w:rFonts w:ascii="Times New Roman" w:cs="Times New Roman" w:eastAsia="Times New Roman" w:hAnsi="Times New Roman"/>
                <w:sz w:val="28"/>
                <w:szCs w:val="28"/>
                <w:b w:val="1"/>
                <w:bCs w:val="1"/>
                <w:color w:val="auto"/>
                <w:vertAlign w:val="subscript"/>
              </w:rPr>
              <w:t>​</w:t>
            </w:r>
          </w:p>
        </w:tc>
      </w:tr>
      <w:tr>
        <w:trPr>
          <w:trHeight w:val="20"/>
        </w:trPr>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15,505 </w:t>
            </w:r>
            <w:r>
              <w:rPr>
                <w:rFonts w:ascii="Times New Roman" w:cs="Times New Roman" w:eastAsia="Times New Roman" w:hAnsi="Times New Roman"/>
                <w:sz w:val="30"/>
                <w:szCs w:val="30"/>
                <w:b w:val="1"/>
                <w:bCs w:val="1"/>
                <w:color w:val="auto"/>
                <w:vertAlign w:val="subscript"/>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17,513 </w:t>
            </w:r>
            <w:r>
              <w:rPr>
                <w:rFonts w:ascii="Times New Roman" w:cs="Times New Roman" w:eastAsia="Times New Roman" w:hAnsi="Times New Roman"/>
                <w:sz w:val="30"/>
                <w:szCs w:val="30"/>
                <w:b w:val="1"/>
                <w:bCs w:val="1"/>
                <w:color w:val="auto"/>
                <w:vertAlign w:val="subscript"/>
              </w:rPr>
              <w:t>​</w:t>
            </w:r>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5" w:lineRule="exact"/>
        <w:rPr>
          <w:sz w:val="20"/>
          <w:szCs w:val="20"/>
          <w:color w:val="auto"/>
        </w:rPr>
      </w:pPr>
    </w:p>
    <w:p>
      <w:pPr>
        <w:sectPr>
          <w:pgSz w:w="11900" w:h="16838" w:orient="portrait"/>
          <w:cols w:equalWidth="0" w:num="2">
            <w:col w:w="7200" w:space="140"/>
            <w:col w:w="2539"/>
          </w:cols>
          <w:pgMar w:left="580" w:top="97" w:right="1440" w:bottom="1440" w:gutter="0" w:footer="0" w:header="0"/>
          <w:type w:val="continuous"/>
        </w:sect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tables disclose the carrying amounts of each class of financial instruments together with its corresponding fair value and the aggregated carrying amount per category.</w:t>
      </w:r>
    </w:p>
    <w:tbl>
      <w:tblPr>
        <w:tblLayout w:type="fixed"/>
        <w:tblInd w:w="1620" w:type="dxa"/>
        <w:tblCellMar>
          <w:top w:w="0" w:type="dxa"/>
          <w:left w:w="0" w:type="dxa"/>
          <w:bottom w:w="0" w:type="dxa"/>
          <w:right w:w="0" w:type="dxa"/>
        </w:tblCellMar>
      </w:tblPr>
      <w:tr>
        <w:trPr>
          <w:trHeight w:val="351"/>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12/31/2025</w:t>
            </w:r>
            <w:r>
              <w:rPr>
                <w:rFonts w:ascii="Times New Roman" w:cs="Times New Roman" w:eastAsia="Times New Roman" w:hAnsi="Times New Roman"/>
                <w:sz w:val="28"/>
                <w:szCs w:val="28"/>
                <w:b w:val="1"/>
                <w:bCs w:val="1"/>
                <w:color w:val="auto"/>
                <w:vertAlign w:val="subscript"/>
              </w:rPr>
              <w:t>​</w:t>
            </w:r>
          </w:p>
        </w:tc>
      </w:tr>
      <w:tr>
        <w:trPr>
          <w:trHeight w:val="144"/>
        </w:trPr>
        <w:tc>
          <w:tcPr>
            <w:tcW w:w="4200" w:type="dxa"/>
            <w:vAlign w:val="bottom"/>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Financial instruments, analyzed by classes and categories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right"/>
              <w:ind w:right="72"/>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2"/>
                <w:szCs w:val="12"/>
                <w:color w:val="auto"/>
              </w:rPr>
            </w:pPr>
          </w:p>
        </w:tc>
      </w:tr>
      <w:tr>
        <w:trPr>
          <w:trHeight w:val="200"/>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Category ​</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Fair value ​</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hierarchy ​</w:t>
            </w:r>
          </w:p>
        </w:tc>
      </w:tr>
      <w:tr>
        <w:trPr>
          <w:trHeight w:val="20"/>
        </w:trPr>
        <w:tc>
          <w:tcPr>
            <w:tcW w:w="4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financial assets</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8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Group14 shares</w:t>
            </w:r>
          </w:p>
        </w:tc>
        <w:tc>
          <w:tcPr>
            <w:tcW w:w="110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FVTPL​​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8,478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XJ Harbour price protection cap derivative</w:t>
            </w:r>
          </w:p>
        </w:tc>
        <w:tc>
          <w:tcPr>
            <w:tcW w:w="110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FVTPL​​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7,713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loans and investments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financial assets</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financial assets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and other receivables</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28,865</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from equity method investees</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4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spacing w:after="0"/>
              <w:rPr>
                <w:sz w:val="19"/>
                <w:szCs w:val="19"/>
                <w:color w:val="auto"/>
              </w:rPr>
            </w:pP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2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financial liabilities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from banks</w:t>
            </w:r>
          </w:p>
        </w:tc>
        <w:tc>
          <w:tcPr>
            <w:tcW w:w="1100" w:type="dxa"/>
            <w:vAlign w:val="bottom"/>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Black forest term loan facility</w:t>
            </w:r>
          </w:p>
        </w:tc>
        <w:tc>
          <w:tcPr>
            <w:tcW w:w="110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XJ Harbour price protection derivative</w:t>
            </w:r>
          </w:p>
        </w:tc>
        <w:tc>
          <w:tcPr>
            <w:tcW w:w="110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FVTPL​​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9,459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7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third parties</w:t>
            </w:r>
          </w:p>
        </w:tc>
        <w:tc>
          <w:tcPr>
            <w:tcW w:w="110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3"/>
                <w:szCs w:val="23"/>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-2365375</wp:posOffset>
            </wp:positionV>
            <wp:extent cx="4749165" cy="1460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49165" cy="1460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-325120</wp:posOffset>
            </wp:positionV>
            <wp:extent cx="4749165"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749165" cy="15430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-2665095</wp:posOffset>
            </wp:positionV>
            <wp:extent cx="1371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-2665095</wp:posOffset>
            </wp:positionV>
            <wp:extent cx="137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-2665095</wp:posOffset>
            </wp:positionV>
            <wp:extent cx="13716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-2665095</wp:posOffset>
            </wp:positionV>
            <wp:extent cx="1371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12/31/2025</w:t>
            </w:r>
            <w:r>
              <w:rPr>
                <w:rFonts w:ascii="Times New Roman" w:cs="Times New Roman" w:eastAsia="Times New Roman" w:hAnsi="Times New Roman"/>
                <w:sz w:val="28"/>
                <w:szCs w:val="28"/>
                <w:b w:val="1"/>
                <w:bCs w:val="1"/>
                <w:color w:val="auto"/>
                <w:vertAlign w:val="subscript"/>
              </w:rPr>
              <w:t>​</w:t>
            </w:r>
          </w:p>
        </w:tc>
      </w:tr>
      <w:tr>
        <w:trPr>
          <w:trHeight w:val="158"/>
        </w:trPr>
        <w:tc>
          <w:tcPr>
            <w:tcW w:w="420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Financial instruments, analyzed by classes and categories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5"/>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Fair value</w:t>
            </w:r>
          </w:p>
        </w:tc>
        <w:tc>
          <w:tcPr>
            <w:tcW w:w="40" w:type="dxa"/>
            <w:vAlign w:val="bottom"/>
          </w:tcPr>
          <w:p>
            <w:pPr>
              <w:spacing w:after="0"/>
              <w:rPr>
                <w:sz w:val="13"/>
                <w:szCs w:val="13"/>
                <w:color w:val="auto"/>
              </w:rPr>
            </w:pPr>
          </w:p>
        </w:tc>
      </w:tr>
      <w:tr>
        <w:trPr>
          <w:trHeight w:val="200"/>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Category ​</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 Fair value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hierarchy ​</w:t>
            </w:r>
          </w:p>
        </w:tc>
      </w:tr>
      <w:tr>
        <w:trPr>
          <w:trHeight w:val="20"/>
        </w:trPr>
        <w:tc>
          <w:tcPr>
            <w:tcW w:w="4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from shareholders</w:t>
            </w:r>
          </w:p>
        </w:tc>
        <w:tc>
          <w:tcPr>
            <w:tcW w:w="1580" w:type="dxa"/>
            <w:vAlign w:val="bottom"/>
            <w:tcBorders>
              <w:right w:val="single" w:sz="8" w:color="CCEEFF"/>
            </w:tcBorders>
            <w:gridSpan w:val="9"/>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21,000</w:t>
            </w: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1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11,000</w:t>
            </w: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FVTPL​​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26,094</w:t>
            </w: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Level 1​</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financial liabilities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4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 ​ ​</w:t>
            </w:r>
          </w:p>
        </w:tc>
        <w:tc>
          <w:tcPr>
            <w:tcW w:w="480" w:type="dxa"/>
            <w:vAlign w:val="bottom"/>
          </w:tcPr>
          <w:p>
            <w:pPr>
              <w:spacing w:after="0"/>
              <w:rPr>
                <w:sz w:val="19"/>
                <w:szCs w:val="19"/>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3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banks</w:t>
            </w:r>
          </w:p>
        </w:tc>
        <w:tc>
          <w:tcPr>
            <w:tcW w:w="110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 ​​</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Black forest term loan facility</w:t>
            </w:r>
          </w:p>
        </w:tc>
        <w:tc>
          <w:tcPr>
            <w:tcW w:w="11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FVTPL​​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XJ Harbour Set-off agreement</w:t>
            </w:r>
          </w:p>
        </w:tc>
        <w:tc>
          <w:tcPr>
            <w:tcW w:w="1580" w:type="dxa"/>
            <w:vAlign w:val="bottom"/>
            <w:tcBorders>
              <w:right w:val="single" w:sz="8" w:color="CCEEFF"/>
            </w:tcBorders>
            <w:gridSpan w:val="9"/>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64,267</w:t>
            </w:r>
          </w:p>
        </w:tc>
        <w:tc>
          <w:tcPr>
            <w:tcW w:w="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64,267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29"/>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third parties</w:t>
            </w:r>
          </w:p>
        </w:tc>
        <w:tc>
          <w:tcPr>
            <w:tcW w:w="11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0"/>
              </w:rPr>
              <w:t>n/a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shareholders</w:t>
            </w:r>
          </w:p>
        </w:tc>
        <w:tc>
          <w:tcPr>
            <w:tcW w:w="110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0"/>
              </w:rPr>
              <w:t>n/a</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11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w:t>
            </w:r>
          </w:p>
        </w:tc>
        <w:tc>
          <w:tcPr>
            <w:tcW w:w="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0"/>
              </w:rPr>
              <w:t>n/a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related party payables</w:t>
            </w:r>
          </w:p>
        </w:tc>
        <w:tc>
          <w:tcPr>
            <w:tcW w:w="1580" w:type="dxa"/>
            <w:vAlign w:val="bottom"/>
            <w:tcBorders>
              <w:right w:val="single" w:sz="8" w:color="CCEEFF"/>
            </w:tcBorders>
            <w:gridSpan w:val="9"/>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FLAC​​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38,071</w:t>
            </w:r>
          </w:p>
        </w:tc>
        <w:tc>
          <w:tcPr>
            <w:tcW w:w="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 ​​ ​</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spacing w:after="0"/>
              <w:rPr>
                <w:sz w:val="19"/>
                <w:szCs w:val="19"/>
                <w:color w:val="auto"/>
              </w:rPr>
            </w:pPr>
          </w:p>
        </w:tc>
      </w:tr>
      <w:tr>
        <w:trPr>
          <w:trHeight w:val="380"/>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Carrying</w:t>
            </w: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Thereof aggregated by categories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6"/>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Category </w:t>
            </w:r>
            <w:r>
              <w:rPr>
                <w:rFonts w:ascii="Times New Roman" w:cs="Times New Roman" w:eastAsia="Times New Roman" w:hAnsi="Times New Roman"/>
                <w:sz w:val="24"/>
                <w:szCs w:val="24"/>
                <w:b w:val="1"/>
                <w:bCs w:val="1"/>
                <w:color w:val="auto"/>
                <w:vertAlign w:val="sub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p>
        </w:tc>
      </w:tr>
      <w:tr>
        <w:trPr>
          <w:trHeight w:val="20"/>
        </w:trPr>
        <w:tc>
          <w:tcPr>
            <w:tcW w:w="4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-1696720</wp:posOffset>
            </wp:positionV>
            <wp:extent cx="4749165" cy="1454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749165" cy="14541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-1996440</wp:posOffset>
            </wp:positionV>
            <wp:extent cx="1371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-1996440</wp:posOffset>
            </wp:positionV>
            <wp:extent cx="137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-1996440</wp:posOffset>
            </wp:positionV>
            <wp:extent cx="1371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-1996440</wp:posOffset>
            </wp:positionV>
            <wp:extent cx="1371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assets measured at amortized cost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assets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liabilities measured at fair value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liabilities measured at amortized cost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 ​​</w:t>
        <w:tab/>
        <w:t>AC​​ ​​ 35,286​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​​FVTPL​​ ​​ 16,191​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​​FVTPL​​ ​​ 40,843​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FLAC​​ ​​155,893​</w:t>
      </w:r>
    </w:p>
    <w:p>
      <w:pPr>
        <w:spacing w:after="0" w:line="62" w:lineRule="exact"/>
        <w:rPr>
          <w:sz w:val="20"/>
          <w:szCs w:val="20"/>
          <w:color w:val="auto"/>
        </w:rPr>
      </w:pPr>
    </w:p>
    <w:p>
      <w:pPr>
        <w:sectPr>
          <w:pgSz w:w="11900" w:h="16838" w:orient="portrait"/>
          <w:cols w:equalWidth="0" w:num="2">
            <w:col w:w="6820" w:space="720"/>
            <w:col w:w="233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379"/>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analyzed by classes and categories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4"/>
                <w:szCs w:val="14"/>
                <w:color w:val="auto"/>
              </w:rPr>
            </w:pPr>
          </w:p>
        </w:tc>
      </w:tr>
      <w:tr>
        <w:trPr>
          <w:trHeight w:val="214"/>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Category </w:t>
            </w:r>
            <w:r>
              <w:rPr>
                <w:rFonts w:ascii="Times New Roman" w:cs="Times New Roman" w:eastAsia="Times New Roman" w:hAnsi="Times New Roman"/>
                <w:sz w:val="24"/>
                <w:szCs w:val="24"/>
                <w:b w:val="1"/>
                <w:bCs w:val="1"/>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Fair value </w:t>
            </w:r>
            <w:r>
              <w:rPr>
                <w:rFonts w:ascii="Times New Roman" w:cs="Times New Roman" w:eastAsia="Times New Roman" w:hAnsi="Times New Roman"/>
                <w:sz w:val="24"/>
                <w:szCs w:val="24"/>
                <w:b w:val="1"/>
                <w:bCs w:val="1"/>
                <w:color w:val="auto"/>
                <w:vertAlign w:val="subscript"/>
              </w:rPr>
              <w:t>​</w:t>
            </w:r>
          </w:p>
        </w:tc>
        <w:tc>
          <w:tcPr>
            <w:tcW w:w="78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hierarchy </w:t>
            </w:r>
            <w:r>
              <w:rPr>
                <w:rFonts w:ascii="Times New Roman" w:cs="Times New Roman" w:eastAsia="Times New Roman" w:hAnsi="Times New Roman"/>
                <w:sz w:val="24"/>
                <w:szCs w:val="24"/>
                <w:b w:val="1"/>
                <w:bCs w:val="1"/>
                <w:color w:val="auto"/>
                <w:vertAlign w:val="subscript"/>
              </w:rPr>
              <w:t>​</w:t>
            </w:r>
          </w:p>
        </w:tc>
      </w:tr>
      <w:tr>
        <w:trPr>
          <w:trHeight w:val="20"/>
        </w:trPr>
        <w:tc>
          <w:tcPr>
            <w:tcW w:w="4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financial assets</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-170815</wp:posOffset>
            </wp:positionV>
            <wp:extent cx="1371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-170815</wp:posOffset>
            </wp:positionV>
            <wp:extent cx="13716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-170815</wp:posOffset>
            </wp:positionV>
            <wp:extent cx="1371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-170815</wp:posOffset>
            </wp:positionV>
            <wp:extent cx="1371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Other loans and other investments</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Other non-current financial assets</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Current financial assets</w:t>
      </w:r>
    </w:p>
    <w:p>
      <w:pPr>
        <w:spacing w:after="0" w:line="67" w:lineRule="exact"/>
        <w:rPr>
          <w:sz w:val="20"/>
          <w:szCs w:val="20"/>
          <w:color w:val="auto"/>
        </w:rPr>
      </w:pPr>
    </w:p>
    <w:p>
      <w:pPr>
        <w:ind w:left="1800" w:right="560" w:hanging="179"/>
        <w:spacing w:after="0" w:line="313" w:lineRule="auto"/>
        <w:rPr>
          <w:sz w:val="20"/>
          <w:szCs w:val="20"/>
          <w:color w:val="auto"/>
        </w:rPr>
      </w:pPr>
      <w:r>
        <w:rPr>
          <w:rFonts w:ascii="Times New Roman" w:cs="Times New Roman" w:eastAsia="Times New Roman" w:hAnsi="Times New Roman"/>
          <w:sz w:val="18"/>
          <w:szCs w:val="18"/>
          <w:color w:val="auto"/>
        </w:rPr>
        <w:t>Trade receivables and other receivables Trade receivables</w:t>
      </w:r>
    </w:p>
    <w:p>
      <w:pPr>
        <w:ind w:left="1800"/>
        <w:spacing w:after="0"/>
        <w:rPr>
          <w:sz w:val="20"/>
          <w:szCs w:val="20"/>
          <w:color w:val="auto"/>
        </w:rPr>
      </w:pPr>
      <w:r>
        <w:rPr>
          <w:rFonts w:ascii="Times New Roman" w:cs="Times New Roman" w:eastAsia="Times New Roman" w:hAnsi="Times New Roman"/>
          <w:sz w:val="18"/>
          <w:szCs w:val="18"/>
          <w:color w:val="auto"/>
        </w:rPr>
        <w:t>Receivables from equity investees</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Receivables from shareholder</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Restricted cash</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Non-current borrowings</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Loans from other third parties</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Loans from shareholders</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Loans from other related parties</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non-current financial liabilities</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24,704</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4,207</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4,599</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5,243</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3,791</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n/a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FLAC​​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2,130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FLAC​​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21,000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​22,365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FLAC​​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14,000</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​​FVTPL​​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5,053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-3256915</wp:posOffset>
            </wp:positionV>
            <wp:extent cx="4749165" cy="1625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-2931160</wp:posOffset>
            </wp:positionV>
            <wp:extent cx="4749165" cy="1714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-2588260</wp:posOffset>
            </wp:positionV>
            <wp:extent cx="4749165" cy="1714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-2245360</wp:posOffset>
            </wp:positionV>
            <wp:extent cx="4749165"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-1902460</wp:posOffset>
            </wp:positionV>
            <wp:extent cx="4749165" cy="1714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-1559560</wp:posOffset>
            </wp:positionV>
            <wp:extent cx="4749165" cy="1714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-1216660</wp:posOffset>
            </wp:positionV>
            <wp:extent cx="4749165" cy="1714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-873760</wp:posOffset>
            </wp:positionV>
            <wp:extent cx="4749165" cy="1714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-530860</wp:posOffset>
            </wp:positionV>
            <wp:extent cx="4749165" cy="1714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-187960</wp:posOffset>
            </wp:positionV>
            <wp:extent cx="4749165" cy="1714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3999"/>
          </w:cols>
          <w:pgMar w:left="580" w:top="97" w:right="1440" w:bottom="1440" w:gutter="0" w:footer="0" w:header="0"/>
          <w:type w:val="continuous"/>
        </w:sectPr>
      </w:pPr>
    </w:p>
    <w:p>
      <w:pPr>
        <w:spacing w:after="0" w:line="14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620" w:type="dxa"/>
        <w:tblCellMar>
          <w:top w:w="0" w:type="dxa"/>
          <w:left w:w="0" w:type="dxa"/>
          <w:bottom w:w="0" w:type="dxa"/>
          <w:right w:w="0" w:type="dxa"/>
        </w:tblCellMar>
      </w:tblPr>
      <w:tr>
        <w:trPr>
          <w:trHeight w:val="379"/>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171"/>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analyzed by classes and categories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Fair value</w:t>
            </w:r>
          </w:p>
        </w:tc>
        <w:tc>
          <w:tcPr>
            <w:tcW w:w="40" w:type="dxa"/>
            <w:vAlign w:val="bottom"/>
          </w:tcPr>
          <w:p>
            <w:pPr>
              <w:spacing w:after="0"/>
              <w:rPr>
                <w:sz w:val="14"/>
                <w:szCs w:val="14"/>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Category </w:t>
            </w:r>
            <w:r>
              <w:rPr>
                <w:rFonts w:ascii="Times New Roman" w:cs="Times New Roman" w:eastAsia="Times New Roman" w:hAnsi="Times New Roman"/>
                <w:sz w:val="24"/>
                <w:szCs w:val="24"/>
                <w:b w:val="1"/>
                <w:bCs w:val="1"/>
                <w:color w:val="auto"/>
                <w:vertAlign w:val="subscript"/>
              </w:rPr>
              <w:t>​</w:t>
            </w:r>
          </w:p>
        </w:tc>
        <w:tc>
          <w:tcPr>
            <w:tcW w:w="6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7"/>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Fair value </w:t>
            </w:r>
            <w:r>
              <w:rPr>
                <w:rFonts w:ascii="Times New Roman" w:cs="Times New Roman" w:eastAsia="Times New Roman" w:hAnsi="Times New Roman"/>
                <w:sz w:val="24"/>
                <w:szCs w:val="24"/>
                <w:b w:val="1"/>
                <w:bCs w:val="1"/>
                <w:color w:val="auto"/>
                <w:vertAlign w:val="subscript"/>
              </w:rPr>
              <w:t>​</w:t>
            </w:r>
          </w:p>
        </w:tc>
        <w:tc>
          <w:tcPr>
            <w:tcW w:w="78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hierarchy </w:t>
            </w:r>
            <w:r>
              <w:rPr>
                <w:rFonts w:ascii="Times New Roman" w:cs="Times New Roman" w:eastAsia="Times New Roman" w:hAnsi="Times New Roman"/>
                <w:sz w:val="24"/>
                <w:szCs w:val="24"/>
                <w:b w:val="1"/>
                <w:bCs w:val="1"/>
                <w:color w:val="auto"/>
                <w:vertAlign w:val="subscript"/>
              </w:rPr>
              <w:t>​</w:t>
            </w:r>
          </w:p>
        </w:tc>
      </w:tr>
      <w:tr>
        <w:trPr>
          <w:trHeight w:val="20"/>
        </w:trPr>
        <w:tc>
          <w:tcPr>
            <w:tcW w:w="418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shd w:val="clear" w:color="auto" w:fill="CCEEFF"/>
          </w:tcPr>
          <w:p>
            <w:pPr>
              <w:spacing w:after="0"/>
              <w:rPr>
                <w:sz w:val="21"/>
                <w:szCs w:val="21"/>
                <w:color w:val="auto"/>
              </w:rPr>
            </w:pPr>
          </w:p>
        </w:tc>
        <w:tc>
          <w:tcPr>
            <w:tcW w:w="4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 ​</w:t>
            </w:r>
          </w:p>
        </w:tc>
        <w:tc>
          <w:tcPr>
            <w:tcW w:w="48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Current borrowings</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2"/>
                <w:szCs w:val="22"/>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banks</w:t>
            </w:r>
          </w:p>
        </w:tc>
        <w:tc>
          <w:tcPr>
            <w:tcW w:w="112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FLAC ​​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third parties</w:t>
            </w:r>
          </w:p>
        </w:tc>
        <w:tc>
          <w:tcPr>
            <w:tcW w:w="1980" w:type="dxa"/>
            <w:vAlign w:val="bottom"/>
            <w:gridSpan w:val="1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FLAC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26,547 ​​ ​</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shareholders</w:t>
            </w:r>
          </w:p>
        </w:tc>
        <w:tc>
          <w:tcPr>
            <w:tcW w:w="112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FLAC ​​ ​ </w:t>
            </w: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112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FLAC ​​ ​ </w:t>
            </w: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w:t>
            </w:r>
          </w:p>
        </w:tc>
        <w:tc>
          <w:tcPr>
            <w:tcW w:w="10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n/a​</w:t>
            </w:r>
          </w:p>
        </w:tc>
      </w:tr>
      <w:tr>
        <w:trPr>
          <w:trHeight w:val="27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 liabilities</w:t>
            </w:r>
          </w:p>
        </w:tc>
        <w:tc>
          <w:tcPr>
            <w:tcW w:w="1600" w:type="dxa"/>
            <w:vAlign w:val="bottom"/>
            <w:tcBorders>
              <w:right w:val="single" w:sz="8" w:color="CCEEFF"/>
            </w:tcBorders>
            <w:gridSpan w:val="9"/>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FLAC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28,179</w:t>
            </w: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23"/>
                <w:szCs w:val="23"/>
                <w:color w:val="auto"/>
              </w:rPr>
            </w:pPr>
          </w:p>
        </w:tc>
        <w:tc>
          <w:tcPr>
            <w:tcW w:w="400" w:type="dxa"/>
            <w:vAlign w:val="bottom"/>
            <w:tcBorders>
              <w:right w:val="single" w:sz="8" w:color="CCEEFF"/>
            </w:tcBorders>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9"/>
              </w:rPr>
              <w:t>n/a</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80"/>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0"/>
              </w:rPr>
              <w:t>Carrying</w:t>
            </w: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Thereof aggregated by categories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Category </w:t>
            </w:r>
            <w:r>
              <w:rPr>
                <w:rFonts w:ascii="Times New Roman" w:cs="Times New Roman" w:eastAsia="Times New Roman" w:hAnsi="Times New Roman"/>
                <w:sz w:val="24"/>
                <w:szCs w:val="24"/>
                <w:b w:val="1"/>
                <w:bCs w:val="1"/>
                <w:color w:val="auto"/>
                <w:vertAlign w:val="sub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amount </w:t>
            </w:r>
            <w:r>
              <w:rPr>
                <w:rFonts w:ascii="Times New Roman" w:cs="Times New Roman" w:eastAsia="Times New Roman" w:hAnsi="Times New Roman"/>
                <w:sz w:val="24"/>
                <w:szCs w:val="24"/>
                <w:b w:val="1"/>
                <w:bCs w:val="1"/>
                <w:color w:val="auto"/>
                <w:vertAlign w:val="subscript"/>
              </w:rPr>
              <w:t>​</w:t>
            </w:r>
          </w:p>
        </w:tc>
      </w:tr>
      <w:tr>
        <w:trPr>
          <w:trHeight w:val="20"/>
        </w:trPr>
        <w:tc>
          <w:tcPr>
            <w:tcW w:w="4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measured at amortized cost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6"/>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 ​​ 42,212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fair value</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 ​​FVTPL​​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5,053​</w:t>
            </w:r>
          </w:p>
        </w:tc>
      </w:tr>
      <w:tr>
        <w:trPr>
          <w:trHeight w:val="257"/>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measured at amortized cost</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58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FLAC​​ ​​105,612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-2048510</wp:posOffset>
            </wp:positionV>
            <wp:extent cx="1371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-2048510</wp:posOffset>
            </wp:positionV>
            <wp:extent cx="137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-2048510</wp:posOffset>
            </wp:positionV>
            <wp:extent cx="137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-2048510</wp:posOffset>
            </wp:positionV>
            <wp:extent cx="1371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-496570</wp:posOffset>
            </wp:positionV>
            <wp:extent cx="1371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-496570</wp:posOffset>
            </wp:positionV>
            <wp:extent cx="1371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trade and other receivables, loans from banks and trade payables, are considered reasonable estimates of their fair values because of the short maturities of these items.</w:t>
      </w:r>
    </w:p>
    <w:p>
      <w:pPr>
        <w:spacing w:after="0" w:line="10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Incentive options and conversion rights (Black forest term loan facility):</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warrants and the embedded conversion right of the convertible loan are classified as Level 3 of the fair value hierarchy. The warrants are valued using a Monte Carlo simulation model under risk-neutral Geometric Brownian Motion dynamics. A Black — Scholes closed-form valuation is performed as a cross-check. The fair value of the embedded conversion right within the EUR-denominated convertible loan is determined using a Least-Squares Monte Carlo (Longstaff — 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XJ Harbour Share Price Protection and Cap:</w:t>
      </w:r>
    </w:p>
    <w:p>
      <w:pPr>
        <w:spacing w:after="0" w:line="144"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derivates resulting from the share price protection arrangement are classified as Level 3 of the fair value hierarchy. The fair value is calculated using a Monte Carlo simulation model under risk-neutral Geometric Brownian Motion dynamics. A Black — 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w:t>
      </w: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97" w:lineRule="auto"/>
        <w:rPr>
          <w:sz w:val="20"/>
          <w:szCs w:val="20"/>
          <w:color w:val="auto"/>
        </w:rPr>
      </w:pPr>
      <w:r>
        <w:rPr>
          <w:rFonts w:ascii="Times New Roman" w:cs="Times New Roman" w:eastAsia="Times New Roman" w:hAnsi="Times New Roman"/>
          <w:sz w:val="18"/>
          <w:szCs w:val="18"/>
          <w:color w:val="auto"/>
        </w:rPr>
        <w:t>The below tables show the effect that an increase in historical volatility of the interest rates would have on the fair values of the embedded derivatives as of December 31, 2025.</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31.12.2025</w:t>
            </w:r>
          </w:p>
        </w:tc>
        <w:tc>
          <w:tcPr>
            <w:tcW w:w="20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of embedded</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 on financial</w:t>
            </w:r>
          </w:p>
        </w:tc>
        <w:tc>
          <w:tcPr>
            <w:tcW w:w="40" w:type="dxa"/>
            <w:vAlign w:val="bottom"/>
          </w:tcPr>
          <w:p>
            <w:pPr>
              <w:spacing w:after="0"/>
              <w:rPr>
                <w:sz w:val="14"/>
                <w:szCs w:val="14"/>
                <w:color w:val="auto"/>
              </w:rPr>
            </w:pPr>
          </w:p>
        </w:tc>
      </w:tr>
      <w:tr>
        <w:trPr>
          <w:trHeight w:val="21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derivatives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result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tbl>
      <w:tblPr>
        <w:tblLayout w:type="fixed"/>
        <w:tblInd w:w="1620" w:type="dxa"/>
        <w:tblCellMar>
          <w:top w:w="0" w:type="dxa"/>
          <w:left w:w="0" w:type="dxa"/>
          <w:bottom w:w="0" w:type="dxa"/>
          <w:right w:w="0" w:type="dxa"/>
        </w:tblCellMar>
      </w:tblPr>
      <w:tr>
        <w:trPr>
          <w:trHeight w:val="261"/>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Share Price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+10 percentage points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11.460</w:t>
            </w:r>
          </w:p>
        </w:tc>
        <w:tc>
          <w:tcPr>
            <w:tcW w:w="240" w:type="dxa"/>
            <w:vAlign w:val="bottom"/>
          </w:tcPr>
          <w:p>
            <w:pPr>
              <w:spacing w:after="0"/>
              <w:rPr>
                <w:sz w:val="20"/>
                <w:szCs w:val="20"/>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w:t>
            </w:r>
          </w:p>
        </w:tc>
      </w:tr>
      <w:tr>
        <w:trPr>
          <w:trHeight w:val="270"/>
        </w:trPr>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 percentage points</w:t>
            </w:r>
          </w:p>
        </w:tc>
        <w:tc>
          <w:tcPr>
            <w:tcW w:w="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w:t>
            </w:r>
          </w:p>
        </w:tc>
        <w:tc>
          <w:tcPr>
            <w:tcW w:w="24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w:t>
            </w:r>
          </w:p>
        </w:tc>
      </w:tr>
      <w:tr>
        <w:trPr>
          <w:trHeight w:val="272"/>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Share volatility</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+10 percentage points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10.846</w:t>
            </w:r>
          </w:p>
        </w:tc>
        <w:tc>
          <w:tcPr>
            <w:tcW w:w="240" w:type="dxa"/>
            <w:vAlign w:val="bottom"/>
          </w:tcPr>
          <w:p>
            <w:pPr>
              <w:spacing w:after="0"/>
              <w:rPr>
                <w:sz w:val="22"/>
                <w:szCs w:val="22"/>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w:t>
            </w:r>
          </w:p>
        </w:tc>
      </w:tr>
      <w:tr>
        <w:trPr>
          <w:trHeight w:val="248"/>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-10 percentage points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240" w:type="dxa"/>
            <w:vAlign w:val="bottom"/>
          </w:tcPr>
          <w:p>
            <w:pPr>
              <w:spacing w:after="0"/>
              <w:rPr>
                <w:sz w:val="21"/>
                <w:szCs w:val="21"/>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w:t>
            </w:r>
          </w:p>
        </w:tc>
      </w:tr>
      <w:tr>
        <w:trPr>
          <w:trHeight w:val="27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Credit Spread</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+10 percentage points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10.390</w:t>
            </w:r>
          </w:p>
        </w:tc>
        <w:tc>
          <w:tcPr>
            <w:tcW w:w="24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w:t>
            </w:r>
          </w:p>
        </w:tc>
      </w:tr>
      <w:tr>
        <w:trPr>
          <w:trHeight w:val="27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-10 percentage points</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10.468</w:t>
            </w:r>
          </w:p>
        </w:tc>
        <w:tc>
          <w:tcPr>
            <w:tcW w:w="24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19126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749165" cy="1191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760" w:type="dxa"/>
            <w:vAlign w:val="bottom"/>
            <w:gridSpan w:val="4"/>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(995)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3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760" w:type="dxa"/>
            <w:vAlign w:val="bottom"/>
            <w:gridSpan w:val="4"/>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(483)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tcPr>
          <w:p>
            <w:pPr>
              <w:spacing w:after="0"/>
              <w:rPr>
                <w:sz w:val="24"/>
                <w:szCs w:val="24"/>
                <w:color w:val="auto"/>
              </w:rPr>
            </w:pPr>
          </w:p>
        </w:tc>
        <w:tc>
          <w:tcPr>
            <w:tcW w:w="3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17" w:lineRule="exact"/>
        <w:rPr>
          <w:sz w:val="20"/>
          <w:szCs w:val="20"/>
          <w:color w:val="auto"/>
        </w:rPr>
      </w:pPr>
    </w:p>
    <w:p>
      <w:pPr>
        <w:sectPr>
          <w:pgSz w:w="11900" w:h="16838" w:orient="portrait"/>
          <w:cols w:equalWidth="0" w:num="2">
            <w:col w:w="7960" w:space="360"/>
            <w:col w:w="155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There were no transfers between levels 1, 2 and 3 for recurring fair value measurements during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year.</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Fair value level 3 assets reconciliation:</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XJ Harbour price</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protection cap</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Group14 shares </w:t>
            </w:r>
            <w:r>
              <w:rPr>
                <w:rFonts w:ascii="Times New Roman" w:cs="Times New Roman" w:eastAsia="Times New Roman" w:hAnsi="Times New Roman"/>
                <w:sz w:val="24"/>
                <w:szCs w:val="24"/>
                <w:b w:val="1"/>
                <w:bCs w:val="1"/>
                <w:color w:val="auto"/>
                <w:vertAlign w:val="subscript"/>
              </w:rPr>
              <w:t>​</w:t>
            </w:r>
          </w:p>
        </w:tc>
        <w:tc>
          <w:tcPr>
            <w:tcW w:w="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derivative</w:t>
            </w:r>
          </w:p>
        </w:tc>
        <w:tc>
          <w:tcPr>
            <w:tcW w:w="2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r>
      <w:tr>
        <w:trPr>
          <w:trHeight w:val="20"/>
        </w:trPr>
        <w:tc>
          <w:tcPr>
            <w:tcW w:w="3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4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​6,234</w:t>
            </w:r>
          </w:p>
        </w:tc>
        <w:tc>
          <w:tcPr>
            <w:tcW w:w="4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10,808</w:t>
            </w:r>
          </w:p>
        </w:tc>
        <w:tc>
          <w:tcPr>
            <w:tcW w:w="220" w:type="dxa"/>
            <w:vAlign w:val="bottom"/>
          </w:tcPr>
          <w:p>
            <w:pPr>
              <w:spacing w:after="0"/>
              <w:rPr>
                <w:sz w:val="22"/>
                <w:szCs w:val="2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​​17,042​</w:t>
            </w:r>
          </w:p>
        </w:tc>
      </w:tr>
      <w:tr>
        <w:trPr>
          <w:trHeight w:val="2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from fair value remeasurement</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​2,244</w:t>
            </w:r>
          </w:p>
        </w:tc>
        <w:tc>
          <w:tcPr>
            <w:tcW w:w="40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(3,095)</w:t>
            </w:r>
          </w:p>
        </w:tc>
        <w:tc>
          <w:tcPr>
            <w:tcW w:w="220" w:type="dxa"/>
            <w:vAlign w:val="bottom"/>
            <w:tcBorders>
              <w:right w:val="single" w:sz="8" w:color="CCEEFF"/>
            </w:tcBorders>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r>
      <w:tr>
        <w:trPr>
          <w:trHeight w:val="284"/>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​8,478</w:t>
            </w:r>
          </w:p>
        </w:tc>
        <w:tc>
          <w:tcPr>
            <w:tcW w:w="40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7,713</w:t>
            </w:r>
          </w:p>
        </w:tc>
        <w:tc>
          <w:tcPr>
            <w:tcW w:w="2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​​16,191​</w:t>
            </w:r>
          </w:p>
        </w:tc>
      </w:tr>
      <w:tr>
        <w:trPr>
          <w:trHeight w:val="35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level 3 liabilities reconciliation:</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Black forest –  </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XJ Harbour –  </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Black forest –  </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embedded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embedded</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76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Total  </w:t>
            </w:r>
            <w:r>
              <w:rPr>
                <w:rFonts w:ascii="Times New Roman" w:cs="Times New Roman" w:eastAsia="Times New Roman" w:hAnsi="Times New Roman"/>
                <w:sz w:val="24"/>
                <w:szCs w:val="24"/>
                <w:b w:val="1"/>
                <w:bCs w:val="1"/>
                <w:color w:val="auto"/>
                <w:vertAlign w:val="subscript"/>
              </w:rPr>
              <w:t>​</w:t>
            </w:r>
          </w:p>
        </w:tc>
      </w:tr>
      <w:tr>
        <w:trPr>
          <w:trHeight w:val="20"/>
        </w:trPr>
        <w:tc>
          <w:tcPr>
            <w:tcW w:w="3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3,418</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​12,964</w:t>
            </w:r>
          </w:p>
        </w:tc>
        <w:tc>
          <w:tcPr>
            <w:tcW w:w="220" w:type="dxa"/>
            <w:vAlign w:val="bottom"/>
          </w:tcPr>
          <w:p>
            <w:pPr>
              <w:spacing w:after="0"/>
              <w:rPr>
                <w:sz w:val="22"/>
                <w:szCs w:val="2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​​18,286​</w:t>
            </w:r>
          </w:p>
        </w:tc>
      </w:tr>
      <w:tr>
        <w:trPr>
          <w:trHeight w:val="25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from fair value remeasurement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(1,644)</w:t>
            </w:r>
          </w:p>
        </w:tc>
        <w:tc>
          <w:tcPr>
            <w:tcW w:w="1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(317)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​(3,505)</w:t>
            </w: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​​(5,466</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r>
      <w:tr>
        <w:trPr>
          <w:trHeight w:val="284"/>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1,775</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​1,587</w:t>
            </w:r>
          </w:p>
        </w:tc>
        <w:tc>
          <w:tcPr>
            <w:tcW w:w="12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4"/>
                <w:szCs w:val="24"/>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9,459</w:t>
            </w:r>
          </w:p>
        </w:tc>
        <w:tc>
          <w:tcPr>
            <w:tcW w:w="22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​​12,820​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-2022475</wp:posOffset>
            </wp:positionV>
            <wp:extent cx="1371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-2022475</wp:posOffset>
            </wp:positionV>
            <wp:extent cx="1371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-2022475</wp:posOffset>
            </wp:positionV>
            <wp:extent cx="13716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-676910</wp:posOffset>
            </wp:positionV>
            <wp:extent cx="1371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-676910</wp:posOffset>
            </wp:positionV>
            <wp:extent cx="137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-676910</wp:posOffset>
            </wp:positionV>
            <wp:extent cx="1371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-676910</wp:posOffset>
            </wp:positionV>
            <wp:extent cx="1371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Items of income, expenses, gains or losses resulting from financial instruments</w:t>
      </w:r>
    </w:p>
    <w:p>
      <w:pPr>
        <w:spacing w:after="0" w:line="162" w:lineRule="exact"/>
        <w:rPr>
          <w:sz w:val="20"/>
          <w:szCs w:val="20"/>
          <w:color w:val="auto"/>
        </w:rPr>
      </w:pPr>
    </w:p>
    <w:p>
      <w:pPr>
        <w:ind w:left="1260" w:right="659" w:firstLine="360"/>
        <w:spacing w:after="0" w:line="297" w:lineRule="auto"/>
        <w:rPr>
          <w:sz w:val="20"/>
          <w:szCs w:val="20"/>
          <w:color w:val="auto"/>
        </w:rPr>
      </w:pPr>
      <w:r>
        <w:rPr>
          <w:rFonts w:ascii="Times New Roman" w:cs="Times New Roman" w:eastAsia="Times New Roman" w:hAnsi="Times New Roman"/>
          <w:sz w:val="18"/>
          <w:szCs w:val="18"/>
          <w:color w:val="auto"/>
        </w:rPr>
        <w:t>The net gains or losses for each of the financial instrument measurement categories differentiated by the respective sources were as follows:</w:t>
      </w:r>
    </w:p>
    <w:p>
      <w:pPr>
        <w:sectPr>
          <w:pgSz w:w="11900" w:h="16838" w:orient="portrait"/>
          <w:cols w:equalWidth="0" w:num="1">
            <w:col w:w="9879"/>
          </w:cols>
          <w:pgMar w:left="580" w:top="97" w:right="1440" w:bottom="1440" w:gutter="0" w:footer="0" w:header="0"/>
          <w:type w:val="continuous"/>
        </w:sectPr>
      </w:pPr>
    </w:p>
    <w:p>
      <w:pPr>
        <w:spacing w:after="0" w:line="1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30480</wp:posOffset>
            </wp:positionV>
            <wp:extent cx="4749165" cy="1714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assets – AC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liabilities – FLAC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Financial assets and liabilities – FVTPL</w:t>
      </w:r>
    </w:p>
    <w:p>
      <w:pPr>
        <w:spacing w:after="0" w:line="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19"/>
                <w:szCs w:val="19"/>
                <w:color w:val="auto"/>
              </w:rPr>
            </w:pPr>
          </w:p>
        </w:tc>
        <w:tc>
          <w:tcPr>
            <w:tcW w:w="1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Subsequent measurement</w:t>
            </w:r>
          </w:p>
        </w:tc>
        <w:tc>
          <w:tcPr>
            <w:tcW w:w="26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4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27"/>
                <w:szCs w:val="27"/>
                <w:b w:val="1"/>
                <w:bCs w:val="1"/>
                <w:color w:val="auto"/>
                <w:vertAlign w:val="subscript"/>
              </w:rPr>
              <w:t>​</w:t>
            </w:r>
          </w:p>
        </w:tc>
        <w:tc>
          <w:tcPr>
            <w:tcW w:w="840" w:type="dxa"/>
            <w:vAlign w:val="bottom"/>
            <w:gridSpan w:val="4"/>
          </w:tcPr>
          <w:p>
            <w:pPr>
              <w:jc w:val="right"/>
              <w:ind w:right="6"/>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Fair value </w:t>
            </w:r>
            <w:r>
              <w:rPr>
                <w:rFonts w:ascii="Times New Roman" w:cs="Times New Roman" w:eastAsia="Times New Roman" w:hAnsi="Times New Roman"/>
                <w:sz w:val="27"/>
                <w:szCs w:val="27"/>
                <w:b w:val="1"/>
                <w:bCs w:val="1"/>
                <w:color w:val="auto"/>
                <w:vertAlign w:val="subscript"/>
              </w:rPr>
              <w:t>​</w:t>
            </w:r>
          </w:p>
        </w:tc>
        <w:tc>
          <w:tcPr>
            <w:tcW w:w="72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66​​ ​ ​</w:t>
            </w:r>
          </w:p>
        </w:tc>
        <w:tc>
          <w:tcPr>
            <w:tcW w:w="54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n/a ​​</w:t>
            </w: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80"/>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0"/>
              <w:spacing w:after="0" w:line="181" w:lineRule="exact"/>
              <w:rPr>
                <w:sz w:val="20"/>
                <w:szCs w:val="20"/>
                <w:color w:val="auto"/>
              </w:rPr>
            </w:pPr>
            <w:r>
              <w:rPr>
                <w:rFonts w:ascii="Times New Roman" w:cs="Times New Roman" w:eastAsia="Times New Roman" w:hAnsi="Times New Roman"/>
                <w:sz w:val="18"/>
                <w:szCs w:val="18"/>
                <w:color w:val="auto"/>
              </w:rPr>
              <w:t>(11,402)</w:t>
            </w:r>
          </w:p>
        </w:tc>
        <w:tc>
          <w:tcPr>
            <w:tcW w:w="3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54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(11,402)</w:t>
            </w:r>
          </w:p>
        </w:tc>
        <w:tc>
          <w:tcPr>
            <w:tcW w:w="0" w:type="dxa"/>
            <w:vAlign w:val="bottom"/>
          </w:tcPr>
          <w:p>
            <w:pPr>
              <w:spacing w:after="0"/>
              <w:rPr>
                <w:sz w:val="1"/>
                <w:szCs w:val="1"/>
                <w:color w:val="auto"/>
              </w:rPr>
            </w:pPr>
          </w:p>
        </w:tc>
      </w:tr>
      <w:tr>
        <w:trPr>
          <w:trHeight w:val="76"/>
        </w:trPr>
        <w:tc>
          <w:tcPr>
            <w:tcW w:w="100" w:type="dxa"/>
            <w:vAlign w:val="bottom"/>
            <w:vMerge w:val="continue"/>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w:t>
            </w:r>
          </w:p>
        </w:tc>
        <w:tc>
          <w:tcPr>
            <w:tcW w:w="30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400" w:type="dxa"/>
            <w:vAlign w:val="bottom"/>
            <w:gridSpan w:val="2"/>
          </w:tcPr>
          <w:p>
            <w:pPr>
              <w:ind w:left="20"/>
              <w:spacing w:after="0" w:line="76"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6"/>
                <w:szCs w:val="6"/>
                <w:color w:val="auto"/>
              </w:rPr>
            </w:pPr>
          </w:p>
        </w:tc>
        <w:tc>
          <w:tcPr>
            <w:tcW w:w="6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248"/>
        </w:trPr>
        <w:tc>
          <w:tcPr>
            <w:tcW w:w="28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color w:val="auto"/>
                <w:vertAlign w:val="superscript"/>
              </w:rPr>
              <w:t>​</w:t>
            </w:r>
          </w:p>
        </w:tc>
        <w:tc>
          <w:tcPr>
            <w:tcW w:w="640" w:type="dxa"/>
            <w:vAlign w:val="bottom"/>
            <w:gridSpan w:val="2"/>
          </w:tcPr>
          <w:p>
            <w:pPr>
              <w:jc w:val="right"/>
              <w:ind w:right="40"/>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w:t>
            </w:r>
          </w:p>
        </w:tc>
        <w:tc>
          <w:tcPr>
            <w:tcW w:w="840" w:type="dxa"/>
            <w:vAlign w:val="bottom"/>
            <w:gridSpan w:val="4"/>
          </w:tcPr>
          <w:p>
            <w:pPr>
              <w:jc w:val="right"/>
              <w:ind w:right="6"/>
              <w:spacing w:after="0" w:line="247"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color w:val="auto"/>
              </w:rPr>
              <w:t>​(28,076)</w:t>
            </w:r>
            <w:r>
              <w:rPr>
                <w:rFonts w:ascii="Times New Roman" w:cs="Times New Roman" w:eastAsia="Times New Roman" w:hAnsi="Times New Roman"/>
                <w:sz w:val="28"/>
                <w:szCs w:val="28"/>
                <w:color w:val="auto"/>
                <w:vertAlign w:val="subscript"/>
              </w:rPr>
              <w:t>​​</w:t>
            </w:r>
          </w:p>
        </w:tc>
        <w:tc>
          <w:tcPr>
            <w:tcW w:w="720" w:type="dxa"/>
            <w:vAlign w:val="bottom"/>
            <w:gridSpan w:val="4"/>
          </w:tcPr>
          <w:p>
            <w:pPr>
              <w:ind w:left="2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​(28,076</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64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4"/>
              </w:rPr>
              <w:t>​ (2,886)</w:t>
            </w:r>
          </w:p>
        </w:tc>
        <w:tc>
          <w:tcPr>
            <w:tcW w:w="120" w:type="dxa"/>
            <w:vAlign w:val="bottom"/>
          </w:tcPr>
          <w:p>
            <w:pPr>
              <w:spacing w:after="0"/>
              <w:rPr>
                <w:sz w:val="17"/>
                <w:szCs w:val="17"/>
                <w:color w:val="auto"/>
              </w:rPr>
            </w:pPr>
          </w:p>
        </w:tc>
        <w:tc>
          <w:tcPr>
            <w:tcW w:w="720" w:type="dxa"/>
            <w:vAlign w:val="bottom"/>
            <w:gridSpan w:val="3"/>
          </w:tcPr>
          <w:p>
            <w:pPr>
              <w:jc w:val="right"/>
              <w:ind w:right="66"/>
              <w:spacing w:after="0" w:line="196" w:lineRule="exact"/>
              <w:rPr>
                <w:sz w:val="20"/>
                <w:szCs w:val="20"/>
                <w:color w:val="auto"/>
              </w:rPr>
            </w:pPr>
            <w:r>
              <w:rPr>
                <w:rFonts w:ascii="Times New Roman" w:cs="Times New Roman" w:eastAsia="Times New Roman" w:hAnsi="Times New Roman"/>
                <w:sz w:val="18"/>
                <w:szCs w:val="18"/>
                <w:b w:val="1"/>
                <w:bCs w:val="1"/>
                <w:color w:val="auto"/>
                <w:w w:val="97"/>
              </w:rPr>
              <w:t>​(28,076)</w:t>
            </w:r>
          </w:p>
        </w:tc>
        <w:tc>
          <w:tcPr>
            <w:tcW w:w="100" w:type="dxa"/>
            <w:vAlign w:val="bottom"/>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​(39,413)</w:t>
            </w:r>
          </w:p>
        </w:tc>
        <w:tc>
          <w:tcPr>
            <w:tcW w:w="0" w:type="dxa"/>
            <w:vAlign w:val="bottom"/>
          </w:tcPr>
          <w:p>
            <w:pPr>
              <w:spacing w:after="0"/>
              <w:rPr>
                <w:sz w:val="1"/>
                <w:szCs w:val="1"/>
                <w:color w:val="auto"/>
              </w:rPr>
            </w:pPr>
          </w:p>
        </w:tc>
      </w:tr>
      <w:tr>
        <w:trPr>
          <w:trHeight w:val="68"/>
        </w:trPr>
        <w:tc>
          <w:tcPr>
            <w:tcW w:w="100" w:type="dxa"/>
            <w:vAlign w:val="bottom"/>
            <w:vMerge w:val="continue"/>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6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00" w:type="dxa"/>
            <w:vAlign w:val="bottom"/>
            <w:gridSpan w:val="2"/>
          </w:tcPr>
          <w:p>
            <w:pPr>
              <w:jc w:val="right"/>
              <w:ind w:right="7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380" w:type="dxa"/>
            <w:vAlign w:val="bottom"/>
          </w:tcPr>
          <w:p>
            <w:pPr>
              <w:spacing w:after="0"/>
              <w:rPr>
                <w:sz w:val="5"/>
                <w:szCs w:val="5"/>
                <w:color w:val="auto"/>
              </w:rPr>
            </w:pPr>
          </w:p>
        </w:tc>
        <w:tc>
          <w:tcPr>
            <w:tcW w:w="160" w:type="dxa"/>
            <w:vAlign w:val="bottom"/>
          </w:tcPr>
          <w:p>
            <w:pPr>
              <w:jc w:val="right"/>
              <w:ind w:right="6"/>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0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26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60" w:space="720"/>
            <w:col w:w="3199"/>
          </w:cols>
          <w:pgMar w:left="580" w:top="97" w:right="1440"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10"/>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Subsequent measurement</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4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4"/>
          </w:tcPr>
          <w:p>
            <w:pPr>
              <w:jc w:val="right"/>
              <w:ind w:righ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Interest </w:t>
            </w:r>
            <w:r>
              <w:rPr>
                <w:rFonts w:ascii="Times New Roman" w:cs="Times New Roman" w:eastAsia="Times New Roman" w:hAnsi="Times New Roman"/>
                <w:sz w:val="27"/>
                <w:szCs w:val="27"/>
                <w:b w:val="1"/>
                <w:bCs w:val="1"/>
                <w:color w:val="auto"/>
                <w:vertAlign w:val="subscript"/>
              </w:rPr>
              <w:t>​</w:t>
            </w:r>
          </w:p>
        </w:tc>
        <w:tc>
          <w:tcPr>
            <w:tcW w:w="820" w:type="dxa"/>
            <w:vAlign w:val="bottom"/>
            <w:gridSpan w:val="6"/>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Fair value </w:t>
            </w:r>
            <w:r>
              <w:rPr>
                <w:rFonts w:ascii="Times New Roman" w:cs="Times New Roman" w:eastAsia="Times New Roman" w:hAnsi="Times New Roman"/>
                <w:sz w:val="27"/>
                <w:szCs w:val="27"/>
                <w:b w:val="1"/>
                <w:bCs w:val="1"/>
                <w:color w:val="auto"/>
                <w:vertAlign w:val="subscript"/>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 AC</w:t>
            </w:r>
          </w:p>
        </w:tc>
        <w:tc>
          <w:tcPr>
            <w:tcW w:w="11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Financial liabilities – FLAC</w:t>
            </w:r>
          </w:p>
        </w:tc>
        <w:tc>
          <w:tcPr>
            <w:tcW w:w="1140" w:type="dxa"/>
            <w:vAlign w:val="bottom"/>
          </w:tcPr>
          <w:p>
            <w:pPr>
              <w:spacing w:after="0"/>
              <w:rPr>
                <w:sz w:val="17"/>
                <w:szCs w:val="1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(4,863)</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480" w:type="dxa"/>
            <w:vAlign w:val="bottom"/>
            <w:gridSpan w:val="2"/>
          </w:tcPr>
          <w:p>
            <w:pPr>
              <w:jc w:val="right"/>
              <w:ind w:right="20"/>
              <w:spacing w:after="0" w:line="54" w:lineRule="exact"/>
              <w:rPr>
                <w:sz w:val="20"/>
                <w:szCs w:val="20"/>
                <w:color w:val="auto"/>
              </w:rPr>
            </w:pPr>
            <w:r>
              <w:rPr>
                <w:rFonts w:ascii="Times New Roman" w:cs="Times New Roman" w:eastAsia="Times New Roman" w:hAnsi="Times New Roman"/>
                <w:sz w:val="6"/>
                <w:szCs w:val="6"/>
                <w:color w:val="auto"/>
              </w:rPr>
              <w:t>​​</w:t>
            </w:r>
          </w:p>
        </w:tc>
        <w:tc>
          <w:tcPr>
            <w:tcW w:w="100" w:type="dxa"/>
            <w:vAlign w:val="bottom"/>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60" w:type="dxa"/>
            <w:vAlign w:val="bottom"/>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and liabilities – FVTPL</w:t>
            </w:r>
          </w:p>
        </w:tc>
        <w:tc>
          <w:tcPr>
            <w:tcW w:w="114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80" w:type="dxa"/>
            <w:vAlign w:val="bottom"/>
            <w:gridSpan w:val="2"/>
            <w:shd w:val="clear" w:color="auto" w:fill="CCEEFF"/>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1,028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​1,028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17"/>
                <w:szCs w:val="17"/>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60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​(4,003)</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3"/>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1,028</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4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7"/>
              </w:rPr>
              <w:t>​(2,975)</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4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80" w:type="dxa"/>
            <w:vAlign w:val="bottom"/>
            <w:gridSpan w:val="2"/>
          </w:tcPr>
          <w:p>
            <w:pPr>
              <w:jc w:val="right"/>
              <w:ind w:right="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100" w:type="dxa"/>
            <w:vAlign w:val="bottom"/>
            <w:vMerge w:val="continue"/>
          </w:tcPr>
          <w:p>
            <w:pPr>
              <w:spacing w:after="0"/>
              <w:rPr>
                <w:sz w:val="5"/>
                <w:szCs w:val="5"/>
                <w:color w:val="auto"/>
              </w:rPr>
            </w:pPr>
          </w:p>
        </w:tc>
        <w:tc>
          <w:tcPr>
            <w:tcW w:w="200" w:type="dxa"/>
            <w:vAlign w:val="bottom"/>
            <w:gridSpan w:val="2"/>
          </w:tcPr>
          <w:p>
            <w:pPr>
              <w:ind w:left="8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3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60" w:type="dxa"/>
            <w:vAlign w:val="bottom"/>
          </w:tcPr>
          <w:p>
            <w:pPr>
              <w:ind w:left="4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420" w:type="dxa"/>
            <w:vAlign w:val="bottom"/>
          </w:tcPr>
          <w:p>
            <w:pPr>
              <w:spacing w:after="0"/>
              <w:rPr>
                <w:sz w:val="5"/>
                <w:szCs w:val="5"/>
                <w:color w:val="auto"/>
              </w:rPr>
            </w:pPr>
          </w:p>
        </w:tc>
        <w:tc>
          <w:tcPr>
            <w:tcW w:w="6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-693420</wp:posOffset>
            </wp:positionV>
            <wp:extent cx="1371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-693420</wp:posOffset>
            </wp:positionV>
            <wp:extent cx="1371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-693420</wp:posOffset>
            </wp:positionV>
            <wp:extent cx="137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5"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Financial Instrument Risk Management Objectives and Policies</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Credit Risk</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allowances for ECL determined for the different classes of financial assets developed as follows: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 xml:space="preserve">Trade receivables –  </w:t>
            </w:r>
          </w:p>
        </w:tc>
        <w:tc>
          <w:tcPr>
            <w:tcW w:w="2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 xml:space="preserve">Trade receivables –  </w:t>
            </w:r>
          </w:p>
        </w:tc>
        <w:tc>
          <w:tcPr>
            <w:tcW w:w="40" w:type="dxa"/>
            <w:vAlign w:val="bottom"/>
          </w:tcPr>
          <w:p>
            <w:pPr>
              <w:spacing w:after="0"/>
              <w:rPr>
                <w:sz w:val="14"/>
                <w:szCs w:val="14"/>
                <w:color w:val="auto"/>
              </w:rPr>
            </w:pPr>
          </w:p>
        </w:tc>
      </w:tr>
      <w:tr>
        <w:trPr>
          <w:trHeight w:val="214"/>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42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not credit impaired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credit impaired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 31/12/2023</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tcBorders>
              <w:top w:val="single" w:sz="8" w:color="auto"/>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​(137)</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tcBorders>
              <w:top w:val="single" w:sz="8" w:color="auto"/>
            </w:tcBorders>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​(569)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14</w:t>
            </w:r>
          </w:p>
        </w:tc>
        <w:tc>
          <w:tcPr>
            <w:tcW w:w="42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Reversal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 31/12/2024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​(376)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Reversal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Closing Balance 31/12/2025</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4"/>
            <w:shd w:val="clear" w:color="auto" w:fill="CCEEFF"/>
          </w:tcPr>
          <w:p>
            <w:pPr>
              <w:ind w:left="4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(319)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gridSpan w:val="4"/>
            <w:shd w:val="clear" w:color="auto" w:fill="CCEEFF"/>
          </w:tcPr>
          <w:p>
            <w:pPr>
              <w:ind w:left="4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(475)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-187960</wp:posOffset>
            </wp:positionV>
            <wp:extent cx="474916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-856615</wp:posOffset>
            </wp:positionV>
            <wp:extent cx="474916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-1525270</wp:posOffset>
            </wp:positionV>
            <wp:extent cx="13716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-1525270</wp:posOffset>
            </wp:positionV>
            <wp:extent cx="137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719" w:firstLine="360"/>
        <w:spacing w:after="0" w:line="256" w:lineRule="auto"/>
        <w:rPr>
          <w:sz w:val="20"/>
          <w:szCs w:val="20"/>
          <w:color w:val="auto"/>
        </w:rPr>
      </w:pPr>
      <w:r>
        <w:rPr>
          <w:rFonts w:ascii="Times New Roman" w:cs="Times New Roman" w:eastAsia="Times New Roman" w:hAnsi="Times New Roman"/>
          <w:sz w:val="18"/>
          <w:szCs w:val="18"/>
          <w:color w:val="auto"/>
        </w:rPr>
        <w:t>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81" w:lineRule="auto"/>
        <w:rPr>
          <w:sz w:val="20"/>
          <w:szCs w:val="20"/>
          <w:color w:val="auto"/>
        </w:rPr>
      </w:pPr>
      <w:r>
        <w:rPr>
          <w:rFonts w:ascii="Times New Roman" w:cs="Times New Roman" w:eastAsia="Times New Roman" w:hAnsi="Times New Roman"/>
          <w:sz w:val="18"/>
          <w:szCs w:val="18"/>
          <w:color w:val="auto"/>
        </w:rPr>
        <w:t>The following tables provide information about the gross carrying amounts by credit-risk rating classes for the several types of financial assets that are not measured at FVTPL and therefore generally subject to the impairment regulations of IFRS 9.</w:t>
      </w:r>
    </w:p>
    <w:p>
      <w:pPr>
        <w:spacing w:after="0" w:line="117"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Carrying Amounts by Rating Class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12/31/2025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Stage 1</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Stage 2</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Stage 3  </w:t>
            </w:r>
            <w:r>
              <w:rPr>
                <w:rFonts w:ascii="Times New Roman" w:cs="Times New Roman" w:eastAsia="Times New Roman" w:hAnsi="Times New Roman"/>
                <w:sz w:val="27"/>
                <w:szCs w:val="27"/>
                <w:b w:val="1"/>
                <w:bCs w:val="1"/>
                <w:color w:val="auto"/>
                <w:vertAlign w:val="subscript"/>
              </w:rPr>
              <w:t>​</w:t>
            </w:r>
          </w:p>
        </w:tc>
      </w:tr>
      <w:tr>
        <w:trPr>
          <w:trHeight w:val="20"/>
        </w:trPr>
        <w:tc>
          <w:tcPr>
            <w:tcW w:w="5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General approach</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19685</wp:posOffset>
            </wp:positionV>
            <wp:extent cx="4749165" cy="16256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4" w:lineRule="exact"/>
        <w:rPr>
          <w:sz w:val="20"/>
          <w:szCs w:val="20"/>
          <w:color w:val="auto"/>
        </w:rPr>
      </w:pPr>
    </w:p>
    <w:p>
      <w:pPr>
        <w:ind w:left="2240" w:hanging="440"/>
        <w:spacing w:after="0"/>
        <w:tabs>
          <w:tab w:leader="none" w:pos="22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BBB (Investment grade)</w:t>
      </w:r>
    </w:p>
    <w:p>
      <w:pPr>
        <w:spacing w:after="0" w:line="4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Receivables from shareholders</w:t>
      </w:r>
    </w:p>
    <w:p>
      <w:pPr>
        <w:spacing w:after="0" w:line="53"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BBB- to CCC (Below investment grade)</w:t>
      </w:r>
    </w:p>
    <w:p>
      <w:pPr>
        <w:spacing w:after="0" w:line="4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Simplified approach</w:t>
      </w:r>
    </w:p>
    <w:p>
      <w:pPr>
        <w:spacing w:after="0" w:line="49" w:lineRule="exact"/>
        <w:rPr>
          <w:rFonts w:ascii="Times New Roman" w:cs="Times New Roman" w:eastAsia="Times New Roman" w:hAnsi="Times New Roman"/>
          <w:sz w:val="18"/>
          <w:szCs w:val="18"/>
          <w:color w:val="auto"/>
        </w:rPr>
      </w:pPr>
    </w:p>
    <w:p>
      <w:pPr>
        <w:ind w:left="1800" w:right="1640" w:hanging="180"/>
        <w:spacing w:after="0" w:line="2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Trade receivables and other receivables </w:t>
      </w:r>
      <w:r>
        <w:rPr>
          <w:rFonts w:ascii="Times New Roman" w:cs="Times New Roman" w:eastAsia="Times New Roman" w:hAnsi="Times New Roman"/>
          <w:sz w:val="18"/>
          <w:szCs w:val="18"/>
          <w:color w:val="auto"/>
        </w:rPr>
        <w:t>Current (not past due)</w:t>
      </w:r>
    </w:p>
    <w:p>
      <w:pPr>
        <w:spacing w:after="0" w:line="1" w:lineRule="exact"/>
        <w:rPr>
          <w:rFonts w:ascii="Times New Roman" w:cs="Times New Roman" w:eastAsia="Times New Roman" w:hAnsi="Times New Roman"/>
          <w:sz w:val="18"/>
          <w:szCs w:val="18"/>
          <w:color w:val="auto"/>
        </w:rPr>
      </w:pPr>
    </w:p>
    <w:p>
      <w:pPr>
        <w:ind w:left="1800" w:right="228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 30 days past due 31 – 60 days past due 61 – 90 days past due More than 90 days past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-1330960</wp:posOffset>
            </wp:positionV>
            <wp:extent cx="4749165" cy="1631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-1005205</wp:posOffset>
            </wp:positionV>
            <wp:extent cx="4749165" cy="1631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-679450</wp:posOffset>
            </wp:positionV>
            <wp:extent cx="4749165" cy="163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-353695</wp:posOffset>
            </wp:positionV>
            <wp:extent cx="4749165" cy="1714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260" w:type="dxa"/>
            <w:vAlign w:val="bottom"/>
          </w:tcPr>
          <w:p>
            <w:pPr>
              <w:spacing w:after="0"/>
              <w:rPr>
                <w:sz w:val="20"/>
                <w:szCs w:val="20"/>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r>
      <w:tr>
        <w:trPr>
          <w:trHeight w:val="25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61"/>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1,574</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26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r>
      <w:tr>
        <w:trPr>
          <w:trHeight w:val="25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2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​​14,538​​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1,924​​ ​</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p>
    <w:p>
      <w:pPr>
        <w:sectPr>
          <w:pgSz w:w="11900" w:h="16838" w:orient="portrait"/>
          <w:cols w:equalWidth="0" w:num="2">
            <w:col w:w="6160" w:space="720"/>
            <w:col w:w="299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66"/>
        </w:trPr>
        <w:tc>
          <w:tcPr>
            <w:tcW w:w="5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credit-impaired</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4"/>
            <w:shd w:val="clear" w:color="auto" w:fill="CCEEFF"/>
          </w:tcPr>
          <w:p>
            <w:pPr>
              <w:ind w:left="10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w:t>
            </w:r>
          </w:p>
        </w:tc>
        <w:tc>
          <w:tcPr>
            <w:tcW w:w="700" w:type="dxa"/>
            <w:vAlign w:val="bottom"/>
            <w:tcBorders>
              <w:right w:val="single" w:sz="8" w:color="CCEEFF"/>
            </w:tcBorders>
            <w:gridSpan w:val="4"/>
            <w:shd w:val="clear" w:color="auto" w:fill="CCEEFF"/>
          </w:tcPr>
          <w:p>
            <w:pPr>
              <w:ind w:left="18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w:t>
            </w:r>
          </w:p>
        </w:tc>
        <w:tc>
          <w:tcPr>
            <w:tcW w:w="540" w:type="dxa"/>
            <w:vAlign w:val="bottom"/>
            <w:gridSpan w:val="4"/>
            <w:shd w:val="clear" w:color="auto" w:fill="CCEEFF"/>
          </w:tcPr>
          <w:p>
            <w:pPr>
              <w:jc w:val="center"/>
              <w:spacing w:after="0" w:line="265"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11,459</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right w:val="single" w:sz="8" w:color="CCEEFF"/>
            </w:tcBorders>
            <w:gridSpan w:val="2"/>
            <w:shd w:val="clear" w:color="auto" w:fill="CCEE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7"/>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10"/>
          </w:tcPr>
          <w:p>
            <w:pPr>
              <w:ind w:left="6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1,574 </w:t>
            </w: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​17,622</w:t>
            </w:r>
            <w:r>
              <w:rPr>
                <w:rFonts w:ascii="Times New Roman" w:cs="Times New Roman" w:eastAsia="Times New Roman" w:hAnsi="Times New Roman"/>
                <w:sz w:val="32"/>
                <w:szCs w:val="32"/>
                <w:b w:val="1"/>
                <w:bCs w:val="1"/>
                <w:color w:val="auto"/>
                <w:vertAlign w:val="subscript"/>
              </w:rPr>
              <w:t>​​ ​</w:t>
            </w:r>
          </w:p>
        </w:tc>
        <w:tc>
          <w:tcPr>
            <w:tcW w:w="580" w:type="dxa"/>
            <w:vAlign w:val="bottom"/>
            <w:gridSpan w:val="5"/>
          </w:tcPr>
          <w:p>
            <w:pPr>
              <w:jc w:val="right"/>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 xml:space="preserve">11,459 </w:t>
            </w:r>
            <w:r>
              <w:rPr>
                <w:rFonts w:ascii="Times New Roman" w:cs="Times New Roman" w:eastAsia="Times New Roman" w:hAnsi="Times New Roman"/>
                <w:sz w:val="32"/>
                <w:szCs w:val="32"/>
                <w:b w:val="1"/>
                <w:bCs w:val="1"/>
                <w:color w:val="auto"/>
                <w:vertAlign w:val="subscript"/>
              </w:rPr>
              <w:t>​</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Carrying Amounts by Rating Class</w:t>
            </w:r>
          </w:p>
        </w:tc>
        <w:tc>
          <w:tcPr>
            <w:tcW w:w="2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78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Stage 1 </w:t>
            </w:r>
            <w:r>
              <w:rPr>
                <w:rFonts w:ascii="Times New Roman" w:cs="Times New Roman" w:eastAsia="Times New Roman" w:hAnsi="Times New Roman"/>
                <w:sz w:val="27"/>
                <w:szCs w:val="27"/>
                <w:b w:val="1"/>
                <w:bCs w:val="1"/>
                <w:color w:val="auto"/>
                <w:vertAlign w:val="subscript"/>
              </w:rPr>
              <w:t>​</w:t>
            </w:r>
          </w:p>
        </w:tc>
        <w:tc>
          <w:tcPr>
            <w:tcW w:w="62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Stage 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Stage 3</w:t>
            </w:r>
          </w:p>
        </w:tc>
        <w:tc>
          <w:tcPr>
            <w:tcW w:w="8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2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5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approach</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280" w:type="dxa"/>
            <w:vAlign w:val="bottom"/>
            <w:shd w:val="clear" w:color="auto" w:fill="CCEEFF"/>
          </w:tcPr>
          <w:p>
            <w:pPr>
              <w:spacing w:after="0"/>
              <w:rPr>
                <w:sz w:val="21"/>
                <w:szCs w:val="21"/>
                <w:color w:val="auto"/>
              </w:rPr>
            </w:pPr>
          </w:p>
        </w:tc>
        <w:tc>
          <w:tcPr>
            <w:tcW w:w="40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Borders>
              <w:right w:val="single" w:sz="8" w:color="CCEEFF"/>
            </w:tcBorders>
            <w:shd w:val="clear" w:color="auto" w:fill="CCEEFF"/>
          </w:tcPr>
          <w:p>
            <w:pPr>
              <w:spacing w:after="0"/>
              <w:rPr>
                <w:sz w:val="21"/>
                <w:szCs w:val="21"/>
                <w:color w:val="auto"/>
              </w:rPr>
            </w:pPr>
          </w:p>
        </w:tc>
        <w:tc>
          <w:tcPr>
            <w:tcW w:w="340" w:type="dxa"/>
            <w:vAlign w:val="bottom"/>
            <w:tcBorders>
              <w:left w:val="single" w:sz="8" w:color="CCEEFF"/>
              <w:right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tcPr>
          <w:p>
            <w:pPr>
              <w:spacing w:after="0"/>
              <w:rPr>
                <w:sz w:val="22"/>
                <w:szCs w:val="22"/>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3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AAA to BBB (Investment grade)</w:t>
            </w:r>
          </w:p>
        </w:tc>
        <w:tc>
          <w:tcPr>
            <w:tcW w:w="6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3,791</w:t>
            </w:r>
          </w:p>
        </w:tc>
        <w:tc>
          <w:tcPr>
            <w:tcW w:w="40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Receivables from shareholders</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tcPr>
          <w:p>
            <w:pPr>
              <w:spacing w:after="0"/>
              <w:rPr>
                <w:sz w:val="22"/>
                <w:szCs w:val="22"/>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3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BBB- to CCC (Below investment grade)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1100" w:type="dxa"/>
            <w:vAlign w:val="bottom"/>
            <w:tcBorders>
              <w:left w:val="single" w:sz="8" w:color="CCEEFF"/>
              <w:right w:val="single" w:sz="8" w:color="CCEEFF"/>
            </w:tcBorders>
            <w:gridSpan w:val="7"/>
            <w:shd w:val="clear" w:color="auto" w:fill="CCEEFF"/>
          </w:tcPr>
          <w:p>
            <w:pPr>
              <w:jc w:val="right"/>
              <w:ind w:right="68"/>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 4,711</w:t>
            </w: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Simplified approach</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28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60" w:type="dxa"/>
            <w:vAlign w:val="bottom"/>
          </w:tcPr>
          <w:p>
            <w:pPr>
              <w:spacing w:after="0"/>
              <w:rPr>
                <w:sz w:val="21"/>
                <w:szCs w:val="21"/>
                <w:color w:val="auto"/>
              </w:rPr>
            </w:pPr>
          </w:p>
        </w:tc>
        <w:tc>
          <w:tcPr>
            <w:tcW w:w="3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56"/>
        </w:trPr>
        <w:tc>
          <w:tcPr>
            <w:tcW w:w="5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 and other receivables</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shd w:val="clear" w:color="auto" w:fill="CCEEFF"/>
          </w:tcPr>
          <w:p>
            <w:pPr>
              <w:spacing w:after="0"/>
              <w:rPr>
                <w:sz w:val="22"/>
                <w:szCs w:val="22"/>
                <w:color w:val="auto"/>
              </w:rPr>
            </w:pPr>
          </w:p>
        </w:tc>
        <w:tc>
          <w:tcPr>
            <w:tcW w:w="40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Borders>
              <w:right w:val="single" w:sz="8" w:color="CCEEFF"/>
            </w:tcBorders>
            <w:shd w:val="clear" w:color="auto" w:fill="CCEEFF"/>
          </w:tcPr>
          <w:p>
            <w:pPr>
              <w:spacing w:after="0"/>
              <w:rPr>
                <w:sz w:val="22"/>
                <w:szCs w:val="22"/>
                <w:color w:val="auto"/>
              </w:rPr>
            </w:pPr>
          </w:p>
        </w:tc>
        <w:tc>
          <w:tcPr>
            <w:tcW w:w="340" w:type="dxa"/>
            <w:vAlign w:val="bottom"/>
            <w:tcBorders>
              <w:left w:val="single" w:sz="8" w:color="CCEEFF"/>
              <w:right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(not past due)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1100" w:type="dxa"/>
            <w:vAlign w:val="bottom"/>
            <w:gridSpan w:val="7"/>
          </w:tcPr>
          <w:p>
            <w:pPr>
              <w:jc w:val="right"/>
              <w:ind w:right="68"/>
              <w:spacing w:after="0"/>
              <w:rPr>
                <w:sz w:val="20"/>
                <w:szCs w:val="20"/>
                <w:color w:val="auto"/>
              </w:rPr>
            </w:pPr>
            <w:r>
              <w:rPr>
                <w:rFonts w:ascii="Times New Roman" w:cs="Times New Roman" w:eastAsia="Times New Roman" w:hAnsi="Times New Roman"/>
                <w:sz w:val="18"/>
                <w:szCs w:val="18"/>
                <w:color w:val="auto"/>
              </w:rPr>
              <w:t>​​ ​​ 9,829​​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 – 30 days past due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40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919​​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 60 days past due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jc w:val="right"/>
              <w:ind w:right="68"/>
              <w:spacing w:after="0"/>
              <w:rPr>
                <w:sz w:val="20"/>
                <w:szCs w:val="20"/>
                <w:color w:val="auto"/>
              </w:rPr>
            </w:pPr>
            <w:r>
              <w:rPr>
                <w:rFonts w:ascii="Times New Roman" w:cs="Times New Roman" w:eastAsia="Times New Roman" w:hAnsi="Times New Roman"/>
                <w:sz w:val="18"/>
                <w:szCs w:val="18"/>
                <w:color w:val="auto"/>
              </w:rPr>
              <w:t>294​​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 – 90 days past due</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400" w:type="dxa"/>
            <w:vAlign w:val="bottom"/>
            <w:tcBorders>
              <w:lef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More than 90 days past due</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1100" w:type="dxa"/>
            <w:vAlign w:val="bottom"/>
            <w:gridSpan w:val="7"/>
          </w:tcPr>
          <w:p>
            <w:pPr>
              <w:jc w:val="right"/>
              <w:ind w:right="68"/>
              <w:spacing w:after="0"/>
              <w:rPr>
                <w:sz w:val="20"/>
                <w:szCs w:val="20"/>
                <w:color w:val="auto"/>
              </w:rPr>
            </w:pPr>
            <w:r>
              <w:rPr>
                <w:rFonts w:ascii="Times New Roman" w:cs="Times New Roman" w:eastAsia="Times New Roman" w:hAnsi="Times New Roman"/>
                <w:sz w:val="18"/>
                <w:szCs w:val="18"/>
                <w:color w:val="auto"/>
              </w:rPr>
              <w:t>​​ ​​ 2,822​​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2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credit-impaired</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77"/>
              </w:rPr>
              <w:t>—</w:t>
            </w:r>
          </w:p>
        </w:tc>
        <w:tc>
          <w:tcPr>
            <w:tcW w:w="400" w:type="dxa"/>
            <w:vAlign w:val="bottom"/>
            <w:tcBorders>
              <w:left w:val="single" w:sz="8" w:color="CCEEFF"/>
            </w:tcBorders>
            <w:gridSpan w:val="3"/>
            <w:shd w:val="clear" w:color="auto" w:fill="CCEEFF"/>
          </w:tcPr>
          <w:p>
            <w:pPr>
              <w:jc w:val="right"/>
              <w:ind w:right="100"/>
              <w:spacing w:after="0" w:line="283"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700" w:type="dxa"/>
            <w:vAlign w:val="bottom"/>
            <w:tcBorders>
              <w:right w:val="single" w:sz="8" w:color="CCEEFF"/>
            </w:tcBorders>
            <w:gridSpan w:val="4"/>
            <w:shd w:val="clear" w:color="auto" w:fill="CCEEFF"/>
          </w:tcPr>
          <w:p>
            <w:pPr>
              <w:jc w:val="right"/>
              <w:ind w:right="68"/>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w:t>
            </w:r>
          </w:p>
        </w:tc>
        <w:tc>
          <w:tcPr>
            <w:tcW w:w="46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​5,473</w:t>
            </w:r>
          </w:p>
        </w:tc>
        <w:tc>
          <w:tcPr>
            <w:tcW w:w="8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7"/>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gridSpan w:val="3"/>
          </w:tcPr>
          <w:p>
            <w:pPr>
              <w:ind w:left="40"/>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3,791</w:t>
            </w:r>
          </w:p>
        </w:tc>
        <w:tc>
          <w:tcPr>
            <w:tcW w:w="1100" w:type="dxa"/>
            <w:vAlign w:val="bottom"/>
            <w:gridSpan w:val="7"/>
          </w:tcPr>
          <w:p>
            <w:pPr>
              <w:jc w:val="right"/>
              <w:ind w:right="68"/>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 ​​</w:t>
            </w:r>
            <w:r>
              <w:rPr>
                <w:rFonts w:ascii="Times New Roman" w:cs="Times New Roman" w:eastAsia="Times New Roman" w:hAnsi="Times New Roman"/>
                <w:sz w:val="17"/>
                <w:szCs w:val="17"/>
                <w:b w:val="1"/>
                <w:bCs w:val="1"/>
                <w:color w:val="auto"/>
              </w:rPr>
              <w:t>​18,635</w:t>
            </w:r>
            <w:r>
              <w:rPr>
                <w:rFonts w:ascii="Times New Roman" w:cs="Times New Roman" w:eastAsia="Times New Roman" w:hAnsi="Times New Roman"/>
                <w:sz w:val="32"/>
                <w:szCs w:val="32"/>
                <w:b w:val="1"/>
                <w:bCs w:val="1"/>
                <w:color w:val="auto"/>
                <w:vertAlign w:val="subscript"/>
              </w:rPr>
              <w:t>​​ ​</w:t>
            </w:r>
          </w:p>
        </w:tc>
        <w:tc>
          <w:tcPr>
            <w:tcW w:w="46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b w:val="1"/>
                <w:bCs w:val="1"/>
                <w:color w:val="auto"/>
                <w:vertAlign w:val="subscript"/>
              </w:rPr>
              <w:t>​</w:t>
            </w:r>
            <w:r>
              <w:rPr>
                <w:rFonts w:ascii="Times New Roman" w:cs="Times New Roman" w:eastAsia="Times New Roman" w:hAnsi="Times New Roman"/>
                <w:sz w:val="17"/>
                <w:szCs w:val="17"/>
                <w:b w:val="1"/>
                <w:bCs w:val="1"/>
                <w:color w:val="auto"/>
              </w:rPr>
              <w:t>​5,473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-2357120</wp:posOffset>
            </wp:positionV>
            <wp:extent cx="1371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-2357120</wp:posOffset>
            </wp:positionV>
            <wp:extent cx="13716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-2357120</wp:posOffset>
            </wp:positionV>
            <wp:extent cx="13716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Liquidity Risk</w:t>
      </w:r>
    </w:p>
    <w:p>
      <w:pPr>
        <w:spacing w:after="0" w:line="144" w:lineRule="exact"/>
        <w:rPr>
          <w:sz w:val="20"/>
          <w:szCs w:val="20"/>
          <w:color w:val="auto"/>
        </w:rPr>
      </w:pPr>
    </w:p>
    <w:p>
      <w:pPr>
        <w:ind w:left="1260" w:right="559" w:firstLine="360"/>
        <w:spacing w:after="0" w:line="270" w:lineRule="auto"/>
        <w:rPr>
          <w:sz w:val="20"/>
          <w:szCs w:val="20"/>
          <w:color w:val="auto"/>
        </w:rPr>
      </w:pPr>
      <w:r>
        <w:rPr>
          <w:rFonts w:ascii="Times New Roman" w:cs="Times New Roman" w:eastAsia="Times New Roman" w:hAnsi="Times New Roman"/>
          <w:sz w:val="18"/>
          <w:szCs w:val="18"/>
          <w:color w:val="auto"/>
        </w:rPr>
        <w:t>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more detail on the financial situation, please refer to the explanation on Going Concern (see note 2.</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9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provides details of the (undiscounted) cash outflows of financial liabilities (including interest payments).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Cash outflows within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12/31/2025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7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720" w:type="dxa"/>
            <w:vAlign w:val="bottom"/>
            <w:gridSpan w:val="3"/>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Total cash</w:t>
            </w:r>
          </w:p>
        </w:tc>
        <w:tc>
          <w:tcPr>
            <w:tcW w:w="0" w:type="dxa"/>
            <w:vAlign w:val="bottom"/>
          </w:tcPr>
          <w:p>
            <w:pPr>
              <w:spacing w:after="0"/>
              <w:rPr>
                <w:sz w:val="1"/>
                <w:szCs w:val="1"/>
                <w:color w:val="auto"/>
              </w:rPr>
            </w:pPr>
          </w:p>
        </w:tc>
      </w:tr>
      <w:tr>
        <w:trPr>
          <w:trHeight w:val="36"/>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5"/>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 1 year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&gt; 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 2 years</w:t>
            </w:r>
          </w:p>
        </w:tc>
        <w:tc>
          <w:tcPr>
            <w:tcW w:w="1040" w:type="dxa"/>
            <w:vAlign w:val="bottom"/>
            <w:gridSpan w:val="3"/>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&gt; 2 ≤ 5 years</w:t>
            </w:r>
          </w:p>
        </w:tc>
        <w:tc>
          <w:tcPr>
            <w:tcW w:w="100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&gt; 5 years </w:t>
            </w:r>
            <w:r>
              <w:rPr>
                <w:rFonts w:ascii="Times New Roman" w:cs="Times New Roman" w:eastAsia="Times New Roman" w:hAnsi="Times New Roman"/>
                <w:sz w:val="26"/>
                <w:szCs w:val="26"/>
                <w:b w:val="1"/>
                <w:bCs w:val="1"/>
                <w:color w:val="auto"/>
                <w:vertAlign w:val="subscript"/>
              </w:rPr>
              <w:t>​ ​</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flows</w:t>
            </w: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9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1,902​​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w w:val="98"/>
              </w:rPr>
              <w:t>1,452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​3,733</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​3,600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​10,688</w:t>
            </w:r>
          </w:p>
        </w:tc>
        <w:tc>
          <w:tcPr>
            <w:tcW w:w="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Borrowings (including embedded derivatives)</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banks</w:t>
            </w:r>
          </w:p>
        </w:tc>
        <w:tc>
          <w:tcPr>
            <w:tcW w:w="9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1,232​​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98"/>
              </w:rPr>
              <w:t>1,191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2,423</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third parties</w:t>
            </w:r>
          </w:p>
        </w:tc>
        <w:tc>
          <w:tcPr>
            <w:tcW w:w="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 ​</w:t>
            </w:r>
          </w:p>
        </w:tc>
        <w:tc>
          <w:tcPr>
            <w:tcW w:w="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8"/>
              </w:rPr>
              <w:t>5,234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8,348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shareholders</w:t>
            </w: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 ​</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21,651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26,261</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 8,634​​ ​</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11,341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19,975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payables and other liabilities</w:t>
            </w:r>
          </w:p>
        </w:tc>
        <w:tc>
          <w:tcPr>
            <w:tcW w:w="9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​​28,179​​ ​</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​28,179</w:t>
            </w:r>
          </w:p>
        </w:tc>
        <w:tc>
          <w:tcPr>
            <w:tcW w:w="8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-1165225</wp:posOffset>
            </wp:positionV>
            <wp:extent cx="1371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-1165225</wp:posOffset>
            </wp:positionV>
            <wp:extent cx="1371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-1165225</wp:posOffset>
            </wp:positionV>
            <wp:extent cx="1371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-1165225</wp:posOffset>
            </wp:positionV>
            <wp:extent cx="1371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-1165225</wp:posOffset>
            </wp:positionV>
            <wp:extent cx="137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Cash outflows within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12/31/2024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76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720" w:type="dxa"/>
            <w:vAlign w:val="bottom"/>
            <w:gridSpan w:val="4"/>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6"/>
              </w:rPr>
              <w:t>Total cash</w:t>
            </w:r>
          </w:p>
        </w:tc>
        <w:tc>
          <w:tcPr>
            <w:tcW w:w="0" w:type="dxa"/>
            <w:vAlign w:val="bottom"/>
          </w:tcPr>
          <w:p>
            <w:pPr>
              <w:spacing w:after="0"/>
              <w:rPr>
                <w:sz w:val="1"/>
                <w:szCs w:val="1"/>
                <w:color w:val="auto"/>
              </w:rPr>
            </w:pPr>
          </w:p>
        </w:tc>
      </w:tr>
      <w:tr>
        <w:trPr>
          <w:trHeight w:val="36"/>
        </w:trPr>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6"/>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 1 year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&gt; 1 ≤ 2 years</w:t>
            </w:r>
          </w:p>
        </w:tc>
        <w:tc>
          <w:tcPr>
            <w:tcW w:w="1040" w:type="dxa"/>
            <w:vAlign w:val="bottom"/>
            <w:gridSpan w:val="3"/>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&gt; 2 ≤ 5 years</w:t>
            </w:r>
          </w:p>
        </w:tc>
        <w:tc>
          <w:tcPr>
            <w:tcW w:w="100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&gt; 5 years </w:t>
            </w:r>
            <w:r>
              <w:rPr>
                <w:rFonts w:ascii="Times New Roman" w:cs="Times New Roman" w:eastAsia="Times New Roman" w:hAnsi="Times New Roman"/>
                <w:sz w:val="26"/>
                <w:szCs w:val="26"/>
                <w:b w:val="1"/>
                <w:bCs w:val="1"/>
                <w:color w:val="auto"/>
                <w:vertAlign w:val="subscript"/>
              </w:rPr>
              <w:t>​ ​</w:t>
            </w:r>
          </w:p>
        </w:tc>
        <w:tc>
          <w:tcPr>
            <w:tcW w:w="1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flows</w:t>
            </w:r>
          </w:p>
        </w:tc>
        <w:tc>
          <w:tcPr>
            <w:tcW w:w="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7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9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 2,108​​ ​</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1,928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​4,081</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​6,014 ​​ ​</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​14,131</w:t>
            </w:r>
          </w:p>
        </w:tc>
        <w:tc>
          <w:tcPr>
            <w:tcW w:w="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Borrowings (including embedded derivatives)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banks</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third parties</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2,063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2,790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from shareholders</w:t>
            </w:r>
          </w:p>
        </w:tc>
        <w:tc>
          <w:tcPr>
            <w:tcW w:w="9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9,216​​ ​</w:t>
            </w:r>
          </w:p>
        </w:tc>
        <w:tc>
          <w:tcPr>
            <w:tcW w:w="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21,661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30,877</w:t>
            </w:r>
          </w:p>
        </w:tc>
        <w:tc>
          <w:tcPr>
            <w:tcW w:w="8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from other related parties</w:t>
            </w:r>
          </w:p>
        </w:tc>
        <w:tc>
          <w:tcPr>
            <w:tcW w:w="9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​​24,971​​ ​</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14,394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39,365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payables and other liabilities</w:t>
            </w:r>
          </w:p>
        </w:tc>
        <w:tc>
          <w:tcPr>
            <w:tcW w:w="9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​​28,179​​ ​</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​28,179</w:t>
            </w:r>
          </w:p>
        </w:tc>
        <w:tc>
          <w:tcPr>
            <w:tcW w:w="80" w:type="dxa"/>
            <w:vAlign w:val="bottom"/>
            <w:shd w:val="clear" w:color="auto" w:fill="CCEEFF"/>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-1165225</wp:posOffset>
            </wp:positionV>
            <wp:extent cx="1371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-1165225</wp:posOffset>
            </wp:positionV>
            <wp:extent cx="13716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3654425</wp:posOffset>
            </wp:positionH>
            <wp:positionV relativeFrom="paragraph">
              <wp:posOffset>-1165225</wp:posOffset>
            </wp:positionV>
            <wp:extent cx="13716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-1165225</wp:posOffset>
            </wp:positionV>
            <wp:extent cx="13716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-1165225</wp:posOffset>
            </wp:positionV>
            <wp:extent cx="13716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Foreign Currency Risk</w:t>
      </w:r>
    </w:p>
    <w:p>
      <w:pPr>
        <w:spacing w:after="0" w:line="158" w:lineRule="exact"/>
        <w:rPr>
          <w:sz w:val="20"/>
          <w:szCs w:val="20"/>
          <w:color w:val="auto"/>
        </w:rPr>
      </w:pPr>
    </w:p>
    <w:p>
      <w:pPr>
        <w:jc w:val="both"/>
        <w:ind w:left="1260" w:right="579" w:firstLine="360"/>
        <w:spacing w:after="0" w:line="262" w:lineRule="auto"/>
        <w:rPr>
          <w:sz w:val="20"/>
          <w:szCs w:val="20"/>
          <w:color w:val="auto"/>
        </w:rPr>
      </w:pPr>
      <w:r>
        <w:rPr>
          <w:rFonts w:ascii="Times New Roman" w:cs="Times New Roman" w:eastAsia="Times New Roman" w:hAnsi="Times New Roman"/>
          <w:sz w:val="18"/>
          <w:szCs w:val="18"/>
          <w:color w:val="auto"/>
        </w:rPr>
        <w:t>SCHMID operates globally and is exposed to foreign exchange risk arising from exposure to various currencies in the ordinary course of business. SCHMID’s exposures primarily consist of the Euro (“EUR”) and US Dollar (“USD”), Chinese Yen (“CNY”), Hong Kong Dollar (“HKD”) and Korean Won (“KRW”).</w:t>
      </w:r>
    </w:p>
    <w:p>
      <w:pPr>
        <w:spacing w:after="0" w:line="2" w:lineRule="exact"/>
        <w:rPr>
          <w:sz w:val="20"/>
          <w:szCs w:val="20"/>
          <w:color w:val="auto"/>
        </w:rPr>
      </w:pPr>
    </w:p>
    <w:p>
      <w:pPr>
        <w:ind w:left="1260" w:right="599"/>
        <w:spacing w:after="0" w:line="269" w:lineRule="auto"/>
        <w:rPr>
          <w:sz w:val="20"/>
          <w:szCs w:val="20"/>
          <w:color w:val="auto"/>
        </w:rPr>
      </w:pPr>
      <w:r>
        <w:rPr>
          <w:rFonts w:ascii="Times New Roman" w:cs="Times New Roman" w:eastAsia="Times New Roman" w:hAnsi="Times New Roman"/>
          <w:sz w:val="18"/>
          <w:szCs w:val="18"/>
          <w:color w:val="auto"/>
        </w:rPr>
        <w:t>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w:t>
      </w:r>
    </w:p>
    <w:p>
      <w:pPr>
        <w:spacing w:after="0" w:line="107"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38"/>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functional currency entity</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vMerge w:val="restart"/>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4"/>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12/31/2025</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3"/>
                <w:szCs w:val="3"/>
                <w:color w:val="auto"/>
              </w:rPr>
            </w:pP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4"/>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line="20" w:lineRule="exact"/>
              <w:rPr>
                <w:sz w:val="1"/>
                <w:szCs w:val="1"/>
                <w:color w:val="auto"/>
              </w:rPr>
            </w:pPr>
          </w:p>
        </w:tc>
      </w:tr>
      <w:tr>
        <w:trPr>
          <w:trHeight w:val="189"/>
        </w:trPr>
        <w:tc>
          <w:tcPr>
            <w:tcW w:w="248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vMerge w:val="continue"/>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0"/>
                <w:szCs w:val="20"/>
                <w:color w:val="auto"/>
              </w:rPr>
            </w:pPr>
          </w:p>
        </w:tc>
        <w:tc>
          <w:tcPr>
            <w:tcW w:w="7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EUR  </w:t>
            </w:r>
            <w:r>
              <w:rPr>
                <w:rFonts w:ascii="Times New Roman" w:cs="Times New Roman" w:eastAsia="Times New Roman" w:hAnsi="Times New Roman"/>
                <w:sz w:val="27"/>
                <w:szCs w:val="27"/>
                <w:b w:val="1"/>
                <w:bCs w:val="1"/>
                <w:color w:val="auto"/>
                <w:vertAlign w:val="subscript"/>
              </w:rPr>
              <w:t>​ ​</w:t>
            </w: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8"/>
              </w:rPr>
              <w:t>CNY</w:t>
            </w:r>
          </w:p>
        </w:tc>
        <w:tc>
          <w:tcPr>
            <w:tcW w:w="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USD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HKD </w:t>
            </w:r>
            <w:r>
              <w:rPr>
                <w:rFonts w:ascii="Times New Roman" w:cs="Times New Roman" w:eastAsia="Times New Roman" w:hAnsi="Times New Roman"/>
                <w:sz w:val="27"/>
                <w:szCs w:val="27"/>
                <w:b w:val="1"/>
                <w:bCs w:val="1"/>
                <w:color w:val="auto"/>
                <w:vertAlign w:val="subscript"/>
              </w:rPr>
              <w:t>​</w:t>
            </w:r>
          </w:p>
        </w:tc>
        <w:tc>
          <w:tcPr>
            <w:tcW w:w="20" w:type="dxa"/>
            <w:vAlign w:val="bottom"/>
            <w:shd w:val="clear" w:color="auto" w:fill="000000"/>
          </w:tcPr>
          <w:p>
            <w:pPr>
              <w:spacing w:after="0"/>
              <w:rPr>
                <w:sz w:val="20"/>
                <w:szCs w:val="20"/>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EUR  </w:t>
            </w:r>
            <w:r>
              <w:rPr>
                <w:rFonts w:ascii="Times New Roman" w:cs="Times New Roman" w:eastAsia="Times New Roman" w:hAnsi="Times New Roman"/>
                <w:sz w:val="27"/>
                <w:szCs w:val="27"/>
                <w:b w:val="1"/>
                <w:bCs w:val="1"/>
                <w:color w:val="auto"/>
                <w:vertAlign w:val="subscript"/>
              </w:rPr>
              <w:t>​ ​</w:t>
            </w:r>
          </w:p>
        </w:tc>
        <w:tc>
          <w:tcPr>
            <w:tcW w:w="80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CNY   </w:t>
            </w:r>
            <w:r>
              <w:rPr>
                <w:rFonts w:ascii="Times New Roman" w:cs="Times New Roman" w:eastAsia="Times New Roman" w:hAnsi="Times New Roman"/>
                <w:sz w:val="27"/>
                <w:szCs w:val="27"/>
                <w:b w:val="1"/>
                <w:bCs w:val="1"/>
                <w:color w:val="auto"/>
                <w:vertAlign w:val="subscript"/>
              </w:rPr>
              <w:t>​ ​</w:t>
            </w:r>
          </w:p>
        </w:tc>
        <w:tc>
          <w:tcPr>
            <w:tcW w:w="70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USD  </w:t>
            </w:r>
            <w:r>
              <w:rPr>
                <w:rFonts w:ascii="Times New Roman" w:cs="Times New Roman" w:eastAsia="Times New Roman" w:hAnsi="Times New Roman"/>
                <w:sz w:val="27"/>
                <w:szCs w:val="27"/>
                <w:b w:val="1"/>
                <w:bCs w:val="1"/>
                <w:color w:val="auto"/>
                <w:vertAlign w:val="subscript"/>
              </w:rPr>
              <w:t>​ ​</w:t>
            </w:r>
          </w:p>
        </w:tc>
        <w:tc>
          <w:tcPr>
            <w:tcW w:w="46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HKD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w:t>
            </w: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vMerge w:val="continue"/>
            <w:shd w:val="clear" w:color="auto" w:fill="CCEEFF"/>
          </w:tcPr>
          <w:p>
            <w:pPr>
              <w:spacing w:after="0"/>
              <w:rPr>
                <w:sz w:val="17"/>
                <w:szCs w:val="17"/>
                <w:color w:val="auto"/>
              </w:rPr>
            </w:pP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3,657</w:t>
            </w:r>
          </w:p>
        </w:tc>
        <w:tc>
          <w:tcPr>
            <w:tcW w:w="1000" w:type="dxa"/>
            <w:vAlign w:val="bottom"/>
            <w:gridSpan w:val="4"/>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(62,449)</w:t>
            </w: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439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7"/>
                <w:szCs w:val="17"/>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27,201</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2,685</w:t>
            </w: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248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300" w:type="dxa"/>
            <w:vAlign w:val="bottom"/>
            <w:gridSpan w:val="2"/>
            <w:shd w:val="clear" w:color="auto" w:fill="CCEEFF"/>
          </w:tcPr>
          <w:p>
            <w:pPr>
              <w:jc w:val="center"/>
              <w:ind w:right="40"/>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2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tcBorders>
              <w:righ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CNY</w:t>
            </w:r>
          </w:p>
        </w:tc>
        <w:tc>
          <w:tcPr>
            <w:tcW w:w="7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23,164</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7"/>
                <w:szCs w:val="17"/>
                <w:color w:val="auto"/>
              </w:rPr>
            </w:pP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color w:val="auto"/>
              </w:rPr>
              <w:t>(1,335)  (236)</w:t>
            </w:r>
          </w:p>
        </w:tc>
        <w:tc>
          <w:tcPr>
            <w:tcW w:w="20" w:type="dxa"/>
            <w:vAlign w:val="bottom"/>
            <w:shd w:val="clear" w:color="auto" w:fill="000000"/>
          </w:tcPr>
          <w:p>
            <w:pPr>
              <w:spacing w:after="0"/>
              <w:rPr>
                <w:sz w:val="17"/>
                <w:szCs w:val="17"/>
                <w:color w:val="auto"/>
              </w:rPr>
            </w:pPr>
          </w:p>
        </w:tc>
        <w:tc>
          <w:tcPr>
            <w:tcW w:w="6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13,120</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7"/>
                <w:szCs w:val="17"/>
                <w:color w:val="auto"/>
              </w:rPr>
            </w:pPr>
          </w:p>
        </w:tc>
        <w:tc>
          <w:tcPr>
            <w:tcW w:w="1460" w:type="dxa"/>
            <w:vAlign w:val="bottom"/>
            <w:gridSpan w:val="7"/>
          </w:tcPr>
          <w:p>
            <w:pPr>
              <w:jc w:val="right"/>
              <w:spacing w:after="0" w:line="202" w:lineRule="exact"/>
              <w:rPr>
                <w:sz w:val="20"/>
                <w:szCs w:val="20"/>
                <w:color w:val="auto"/>
              </w:rPr>
            </w:pPr>
            <w:r>
              <w:rPr>
                <w:rFonts w:ascii="Times New Roman" w:cs="Times New Roman" w:eastAsia="Times New Roman" w:hAnsi="Times New Roman"/>
                <w:sz w:val="18"/>
                <w:szCs w:val="18"/>
                <w:color w:val="auto"/>
              </w:rPr>
              <w:t>(1,262)  (2,071)</w:t>
            </w: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300" w:type="dxa"/>
            <w:vAlign w:val="bottom"/>
            <w:gridSpan w:val="2"/>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300" w:type="dxa"/>
            <w:vAlign w:val="bottom"/>
          </w:tcPr>
          <w:p>
            <w:pPr>
              <w:spacing w:after="0"/>
              <w:rPr>
                <w:sz w:val="4"/>
                <w:szCs w:val="4"/>
                <w:color w:val="auto"/>
              </w:rPr>
            </w:pPr>
          </w:p>
        </w:tc>
        <w:tc>
          <w:tcPr>
            <w:tcW w:w="8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000000"/>
          </w:tcPr>
          <w:p>
            <w:pPr>
              <w:spacing w:after="0"/>
              <w:rPr>
                <w:sz w:val="4"/>
                <w:szCs w:val="4"/>
                <w:color w:val="auto"/>
              </w:rPr>
            </w:pPr>
          </w:p>
        </w:tc>
        <w:tc>
          <w:tcPr>
            <w:tcW w:w="18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3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USD</w:t>
            </w:r>
          </w:p>
        </w:tc>
        <w:tc>
          <w:tcPr>
            <w:tcW w:w="940" w:type="dxa"/>
            <w:vAlign w:val="bottom"/>
            <w:gridSpan w:val="4"/>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7"/>
                <w:szCs w:val="17"/>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(876)</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5"/>
              <w:spacing w:after="0" w:line="202" w:lineRule="exact"/>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480" w:type="dxa"/>
            <w:vAlign w:val="bottom"/>
            <w:shd w:val="clear" w:color="auto" w:fill="CCEEFF"/>
          </w:tcPr>
          <w:p>
            <w:pPr>
              <w:spacing w:after="0"/>
              <w:rPr>
                <w:sz w:val="4"/>
                <w:szCs w:val="4"/>
                <w:color w:val="auto"/>
              </w:rPr>
            </w:pPr>
          </w:p>
        </w:tc>
        <w:tc>
          <w:tcPr>
            <w:tcW w:w="3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2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shd w:val="clear" w:color="auto" w:fill="CCEEFF"/>
          </w:tcPr>
          <w:p>
            <w:pPr>
              <w:spacing w:after="0"/>
              <w:rPr>
                <w:sz w:val="4"/>
                <w:szCs w:val="4"/>
                <w:color w:val="auto"/>
              </w:rPr>
            </w:pPr>
          </w:p>
        </w:tc>
        <w:tc>
          <w:tcPr>
            <w:tcW w:w="300" w:type="dxa"/>
            <w:vAlign w:val="bottom"/>
            <w:gridSpan w:val="2"/>
            <w:shd w:val="clear" w:color="auto" w:fill="CCEEFF"/>
          </w:tcPr>
          <w:p>
            <w:pPr>
              <w:jc w:val="center"/>
              <w:ind w:right="40"/>
              <w:spacing w:after="0" w:line="54" w:lineRule="exact"/>
              <w:rPr>
                <w:sz w:val="20"/>
                <w:szCs w:val="20"/>
                <w:color w:val="auto"/>
              </w:rPr>
            </w:pPr>
            <w:r>
              <w:rPr>
                <w:rFonts w:ascii="Times New Roman" w:cs="Times New Roman" w:eastAsia="Times New Roman" w:hAnsi="Times New Roman"/>
                <w:sz w:val="6"/>
                <w:szCs w:val="6"/>
                <w:color w:val="auto"/>
              </w:rPr>
              <w:t>​​ ​</w:t>
            </w:r>
            <w:r>
              <w:rPr>
                <w:rFonts w:ascii="Times New Roman" w:cs="Times New Roman" w:eastAsia="Times New Roman" w:hAnsi="Times New Roman"/>
                <w:sz w:val="6"/>
                <w:szCs w:val="6"/>
                <w:b w:val="1"/>
                <w:bCs w:val="1"/>
                <w:color w:val="auto"/>
              </w:rPr>
              <w:t>​</w:t>
            </w:r>
          </w:p>
        </w:tc>
        <w:tc>
          <w:tcPr>
            <w:tcW w:w="500" w:type="dxa"/>
            <w:vAlign w:val="bottom"/>
            <w:shd w:val="clear" w:color="auto" w:fill="CCEEFF"/>
          </w:tcPr>
          <w:p>
            <w:pPr>
              <w:spacing w:after="0"/>
              <w:rPr>
                <w:sz w:val="4"/>
                <w:szCs w:val="4"/>
                <w:color w:val="auto"/>
              </w:rPr>
            </w:pPr>
          </w:p>
        </w:tc>
        <w:tc>
          <w:tcPr>
            <w:tcW w:w="280" w:type="dxa"/>
            <w:vAlign w:val="bottom"/>
            <w:gridSpan w:val="2"/>
            <w:vMerge w:val="continue"/>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r>
              <w:rPr>
                <w:rFonts w:ascii="Times New Roman" w:cs="Times New Roman" w:eastAsia="Times New Roman" w:hAnsi="Times New Roman"/>
                <w:sz w:val="6"/>
                <w:szCs w:val="6"/>
                <w:b w:val="1"/>
                <w:bCs w:val="1"/>
                <w:color w:val="auto"/>
              </w:rPr>
              <w:t>​</w:t>
            </w:r>
          </w:p>
        </w:tc>
        <w:tc>
          <w:tcPr>
            <w:tcW w:w="40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TWD</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1,404</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53</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7"/>
                <w:szCs w:val="17"/>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1,262</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05"/>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HKD</w:t>
            </w:r>
          </w:p>
        </w:tc>
        <w:tc>
          <w:tcPr>
            <w:tcW w:w="1660" w:type="dxa"/>
            <w:vAlign w:val="bottom"/>
            <w:gridSpan w:val="7"/>
            <w:shd w:val="clear" w:color="auto" w:fill="CCEEFF"/>
          </w:tcPr>
          <w:p>
            <w:pPr>
              <w:jc w:val="right"/>
              <w:ind w:right="95"/>
              <w:spacing w:after="0" w:line="202" w:lineRule="exact"/>
              <w:rPr>
                <w:sz w:val="20"/>
                <w:szCs w:val="20"/>
                <w:color w:val="auto"/>
              </w:rPr>
            </w:pPr>
            <w:r>
              <w:rPr>
                <w:rFonts w:ascii="Times New Roman" w:cs="Times New Roman" w:eastAsia="Times New Roman" w:hAnsi="Times New Roman"/>
                <w:sz w:val="18"/>
                <w:szCs w:val="18"/>
                <w:color w:val="auto"/>
              </w:rPr>
              <w:t>(2,851)  (3,344)</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7"/>
                <w:szCs w:val="17"/>
                <w:color w:val="auto"/>
              </w:rPr>
            </w:pPr>
          </w:p>
        </w:tc>
        <w:tc>
          <w:tcPr>
            <w:tcW w:w="1620" w:type="dxa"/>
            <w:vAlign w:val="bottom"/>
            <w:gridSpan w:val="7"/>
            <w:shd w:val="clear" w:color="auto" w:fill="CCEEFF"/>
          </w:tcPr>
          <w:p>
            <w:pPr>
              <w:jc w:val="right"/>
              <w:ind w:right="105"/>
              <w:spacing w:after="0" w:line="202" w:lineRule="exact"/>
              <w:rPr>
                <w:sz w:val="20"/>
                <w:szCs w:val="20"/>
                <w:color w:val="auto"/>
              </w:rPr>
            </w:pPr>
            <w:r>
              <w:rPr>
                <w:rFonts w:ascii="Times New Roman" w:cs="Times New Roman" w:eastAsia="Times New Roman" w:hAnsi="Times New Roman"/>
                <w:sz w:val="18"/>
                <w:szCs w:val="18"/>
                <w:color w:val="auto"/>
              </w:rPr>
              <w:t>(6,887)  (17,794)</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480" w:type="dxa"/>
            <w:vAlign w:val="bottom"/>
            <w:shd w:val="clear" w:color="auto" w:fill="CCEEFF"/>
          </w:tcPr>
          <w:p>
            <w:pPr>
              <w:spacing w:after="0"/>
              <w:rPr>
                <w:sz w:val="4"/>
                <w:szCs w:val="4"/>
                <w:color w:val="auto"/>
              </w:rPr>
            </w:pPr>
          </w:p>
        </w:tc>
        <w:tc>
          <w:tcPr>
            <w:tcW w:w="3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440" w:type="dxa"/>
            <w:vAlign w:val="bottom"/>
            <w:shd w:val="clear" w:color="auto" w:fill="CCEEFF"/>
          </w:tcPr>
          <w:p>
            <w:pPr>
              <w:spacing w:after="0"/>
              <w:rPr>
                <w:sz w:val="4"/>
                <w:szCs w:val="4"/>
                <w:color w:val="auto"/>
              </w:rPr>
            </w:pPr>
          </w:p>
        </w:tc>
        <w:tc>
          <w:tcPr>
            <w:tcW w:w="2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shd w:val="clear" w:color="auto" w:fill="CCEEFF"/>
          </w:tcPr>
          <w:p>
            <w:pPr>
              <w:spacing w:after="0"/>
              <w:rPr>
                <w:sz w:val="4"/>
                <w:szCs w:val="4"/>
                <w:color w:val="auto"/>
              </w:rPr>
            </w:pPr>
          </w:p>
        </w:tc>
        <w:tc>
          <w:tcPr>
            <w:tcW w:w="300" w:type="dxa"/>
            <w:vAlign w:val="bottom"/>
            <w:gridSpan w:val="2"/>
            <w:shd w:val="clear" w:color="auto" w:fill="CCEEFF"/>
          </w:tcPr>
          <w:p>
            <w:pPr>
              <w:jc w:val="center"/>
              <w:ind w:right="40"/>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2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r>
              <w:rPr>
                <w:rFonts w:ascii="Times New Roman" w:cs="Times New Roman" w:eastAsia="Times New Roman" w:hAnsi="Times New Roman"/>
                <w:sz w:val="6"/>
                <w:szCs w:val="6"/>
                <w:b w:val="1"/>
                <w:bCs w:val="1"/>
                <w:color w:val="auto"/>
              </w:rPr>
              <w:t>​</w:t>
            </w:r>
          </w:p>
        </w:tc>
        <w:tc>
          <w:tcPr>
            <w:tcW w:w="300" w:type="dxa"/>
            <w:vAlign w:val="bottom"/>
            <w:tcBorders>
              <w:righ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18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2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400" w:type="dxa"/>
            <w:vAlign w:val="bottom"/>
            <w:shd w:val="clear" w:color="auto" w:fill="CCEEFF"/>
          </w:tcPr>
          <w:p>
            <w:pPr>
              <w:spacing w:after="0"/>
              <w:rPr>
                <w:sz w:val="4"/>
                <w:szCs w:val="4"/>
                <w:color w:val="auto"/>
              </w:rPr>
            </w:pPr>
          </w:p>
        </w:tc>
        <w:tc>
          <w:tcPr>
            <w:tcW w:w="3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r>
              <w:rPr>
                <w:rFonts w:ascii="Times New Roman" w:cs="Times New Roman" w:eastAsia="Times New Roman" w:hAnsi="Times New Roman"/>
                <w:sz w:val="6"/>
                <w:szCs w:val="6"/>
                <w:b w:val="1"/>
                <w:bCs w:val="1"/>
                <w:color w:val="auto"/>
              </w:rPr>
              <w:t>​</w:t>
            </w:r>
          </w:p>
        </w:tc>
        <w:tc>
          <w:tcPr>
            <w:tcW w:w="4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KRW</w:t>
            </w:r>
          </w:p>
        </w:tc>
        <w:tc>
          <w:tcPr>
            <w:tcW w:w="940" w:type="dxa"/>
            <w:vAlign w:val="bottom"/>
            <w:gridSpan w:val="4"/>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(2,541)</w:t>
            </w:r>
          </w:p>
        </w:tc>
        <w:tc>
          <w:tcPr>
            <w:tcW w:w="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7"/>
                <w:szCs w:val="17"/>
                <w:color w:val="auto"/>
              </w:rPr>
            </w:pPr>
          </w:p>
        </w:tc>
        <w:tc>
          <w:tcPr>
            <w:tcW w:w="820" w:type="dxa"/>
            <w:vAlign w:val="bottom"/>
            <w:gridSpan w:val="4"/>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(2,658)</w:t>
            </w:r>
          </w:p>
        </w:tc>
        <w:tc>
          <w:tcPr>
            <w:tcW w:w="8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1,009</w:t>
            </w: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3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440" w:type="dxa"/>
            <w:vAlign w:val="bottom"/>
          </w:tcPr>
          <w:p>
            <w:pPr>
              <w:spacing w:after="0"/>
              <w:rPr>
                <w:sz w:val="5"/>
                <w:szCs w:val="5"/>
                <w:color w:val="auto"/>
              </w:rPr>
            </w:pPr>
          </w:p>
        </w:tc>
        <w:tc>
          <w:tcPr>
            <w:tcW w:w="2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r>
              <w:rPr>
                <w:rFonts w:ascii="Times New Roman" w:cs="Times New Roman" w:eastAsia="Times New Roman" w:hAnsi="Times New Roman"/>
                <w:sz w:val="7"/>
                <w:szCs w:val="7"/>
                <w:b w:val="1"/>
                <w:bCs w:val="1"/>
                <w:color w:val="auto"/>
              </w:rPr>
              <w:t>​</w:t>
            </w:r>
          </w:p>
        </w:tc>
        <w:tc>
          <w:tcPr>
            <w:tcW w:w="30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w:t>
            </w:r>
          </w:p>
        </w:tc>
        <w:tc>
          <w:tcPr>
            <w:tcW w:w="42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r>
              <w:rPr>
                <w:rFonts w:ascii="Times New Roman" w:cs="Times New Roman" w:eastAsia="Times New Roman" w:hAnsi="Times New Roman"/>
                <w:sz w:val="7"/>
                <w:szCs w:val="7"/>
                <w:b w:val="1"/>
                <w:bCs w:val="1"/>
                <w:color w:val="auto"/>
              </w:rPr>
              <w:t>​</w:t>
            </w:r>
          </w:p>
        </w:tc>
        <w:tc>
          <w:tcPr>
            <w:tcW w:w="40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-993775</wp:posOffset>
            </wp:positionV>
            <wp:extent cx="1371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-993775</wp:posOffset>
            </wp:positionV>
            <wp:extent cx="137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-993775</wp:posOffset>
            </wp:positionV>
            <wp:extent cx="137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-993775</wp:posOffset>
            </wp:positionV>
            <wp:extent cx="12890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-993775</wp:posOffset>
            </wp:positionV>
            <wp:extent cx="13716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3286125</wp:posOffset>
            </wp:positionH>
            <wp:positionV relativeFrom="paragraph">
              <wp:posOffset>-993775</wp:posOffset>
            </wp:positionV>
            <wp:extent cx="13716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-993775</wp:posOffset>
            </wp:positionV>
            <wp:extent cx="217741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37" w:lineRule="exact"/>
        <w:rPr>
          <w:sz w:val="20"/>
          <w:szCs w:val="20"/>
          <w:color w:val="auto"/>
        </w:rPr>
      </w:pPr>
    </w:p>
    <w:p>
      <w:pPr>
        <w:ind w:left="1260" w:right="659" w:firstLine="360"/>
        <w:spacing w:after="0" w:line="263" w:lineRule="auto"/>
        <w:rPr>
          <w:sz w:val="20"/>
          <w:szCs w:val="20"/>
          <w:color w:val="auto"/>
        </w:rPr>
      </w:pPr>
      <w:r>
        <w:rPr>
          <w:rFonts w:ascii="Times New Roman" w:cs="Times New Roman" w:eastAsia="Times New Roman" w:hAnsi="Times New Roman"/>
          <w:sz w:val="18"/>
          <w:szCs w:val="18"/>
          <w:color w:val="auto"/>
        </w:rPr>
        <w:t>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189"/>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320" w:type="dxa"/>
            <w:vAlign w:val="bottom"/>
            <w:gridSpan w:val="4"/>
            <w:vMerge w:val="restart"/>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12/31/2024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4860" w:type="dxa"/>
            <w:vAlign w:val="bottom"/>
            <w:vMerge w:val="continue"/>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+10%</w:t>
            </w:r>
          </w:p>
        </w:tc>
        <w:tc>
          <w:tcPr>
            <w:tcW w:w="700" w:type="dxa"/>
            <w:vAlign w:val="bottom"/>
            <w:gridSpan w:val="2"/>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000000"/>
          </w:tcPr>
          <w:p>
            <w:pPr>
              <w:spacing w:after="0"/>
              <w:rPr>
                <w:sz w:val="20"/>
                <w:szCs w:val="20"/>
                <w:color w:val="auto"/>
              </w:rPr>
            </w:pPr>
          </w:p>
        </w:tc>
        <w:tc>
          <w:tcPr>
            <w:tcW w:w="70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+10% </w:t>
            </w:r>
            <w:r>
              <w:rPr>
                <w:rFonts w:ascii="Times New Roman" w:cs="Times New Roman" w:eastAsia="Times New Roman" w:hAnsi="Times New Roman"/>
                <w:sz w:val="27"/>
                <w:szCs w:val="27"/>
                <w:b w:val="1"/>
                <w:bCs w:val="1"/>
                <w:color w:val="auto"/>
                <w:vertAlign w:val="subscript"/>
              </w:rPr>
              <w:t>​ ​</w:t>
            </w: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-10%</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CNY/EUR</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93"/>
              </w:rPr>
              <w:t>1,773</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(2,167)</w:t>
            </w:r>
          </w:p>
        </w:tc>
        <w:tc>
          <w:tcPr>
            <w:tcW w:w="20" w:type="dxa"/>
            <w:vAlign w:val="bottom"/>
            <w:shd w:val="clear" w:color="auto" w:fill="000000"/>
          </w:tcPr>
          <w:p>
            <w:pPr>
              <w:spacing w:after="0"/>
              <w:rPr>
                <w:sz w:val="17"/>
                <w:szCs w:val="17"/>
                <w:color w:val="auto"/>
              </w:rPr>
            </w:pP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867</w:t>
            </w: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(1,059</w:t>
            </w:r>
          </w:p>
        </w:tc>
        <w:tc>
          <w:tcPr>
            <w:tcW w:w="6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4860" w:type="dxa"/>
            <w:vAlign w:val="bottom"/>
            <w:shd w:val="clear" w:color="auto" w:fill="CCEEFF"/>
          </w:tcPr>
          <w:p>
            <w:pPr>
              <w:spacing w:after="0"/>
              <w:rPr>
                <w:sz w:val="4"/>
                <w:szCs w:val="4"/>
                <w:color w:val="auto"/>
              </w:rPr>
            </w:pPr>
          </w:p>
        </w:tc>
        <w:tc>
          <w:tcPr>
            <w:tcW w:w="6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700" w:type="dxa"/>
            <w:vAlign w:val="bottom"/>
            <w:tcBorders>
              <w:right w:val="single" w:sz="8" w:color="CCEEFF"/>
            </w:tcBorders>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0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0" w:type="dxa"/>
            <w:vAlign w:val="bottom"/>
            <w:shd w:val="clear" w:color="auto" w:fill="000000"/>
          </w:tcPr>
          <w:p>
            <w:pPr>
              <w:spacing w:after="0"/>
              <w:rPr>
                <w:sz w:val="4"/>
                <w:szCs w:val="4"/>
                <w:color w:val="auto"/>
              </w:rPr>
            </w:pPr>
          </w:p>
        </w:tc>
        <w:tc>
          <w:tcPr>
            <w:tcW w:w="160" w:type="dxa"/>
            <w:vAlign w:val="bottom"/>
            <w:gridSpan w:val="2"/>
            <w:vMerge w:val="continue"/>
            <w:shd w:val="clear" w:color="auto" w:fill="CCEEFF"/>
          </w:tcPr>
          <w:p>
            <w:pPr>
              <w:spacing w:after="0"/>
              <w:rPr>
                <w:sz w:val="4"/>
                <w:szCs w:val="4"/>
                <w:color w:val="auto"/>
              </w:rPr>
            </w:pPr>
          </w:p>
        </w:tc>
        <w:tc>
          <w:tcPr>
            <w:tcW w:w="320" w:type="dxa"/>
            <w:vAlign w:val="bottom"/>
            <w:tcBorders>
              <w:right w:val="single" w:sz="8" w:color="CCEEFF"/>
            </w:tcBorders>
            <w:shd w:val="clear" w:color="auto" w:fill="CCEEFF"/>
          </w:tcPr>
          <w:p>
            <w:pPr>
              <w:spacing w:after="0"/>
              <w:rPr>
                <w:sz w:val="4"/>
                <w:szCs w:val="4"/>
                <w:color w:val="auto"/>
              </w:rPr>
            </w:pPr>
          </w:p>
        </w:tc>
        <w:tc>
          <w:tcPr>
            <w:tcW w:w="280" w:type="dxa"/>
            <w:vAlign w:val="bottom"/>
            <w:gridSpan w:val="2"/>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w:t>
            </w:r>
          </w:p>
        </w:tc>
        <w:tc>
          <w:tcPr>
            <w:tcW w:w="420" w:type="dxa"/>
            <w:vAlign w:val="bottom"/>
            <w:shd w:val="clear" w:color="auto" w:fill="CCEEFF"/>
          </w:tcPr>
          <w:p>
            <w:pPr>
              <w:spacing w:after="0"/>
              <w:rPr>
                <w:sz w:val="4"/>
                <w:szCs w:val="4"/>
                <w:color w:val="auto"/>
              </w:rPr>
            </w:pPr>
          </w:p>
        </w:tc>
        <w:tc>
          <w:tcPr>
            <w:tcW w:w="60" w:type="dxa"/>
            <w:vAlign w:val="bottom"/>
            <w:tcBorders>
              <w:left w:val="single" w:sz="8" w:color="CCEEFF"/>
            </w:tcBorders>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4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USD/EUR</w:t>
            </w:r>
          </w:p>
        </w:tc>
        <w:tc>
          <w:tcPr>
            <w:tcW w:w="62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w w:val="93"/>
              </w:rPr>
              <w:t>5,468</w:t>
            </w:r>
          </w:p>
        </w:tc>
        <w:tc>
          <w:tcPr>
            <w:tcW w:w="80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(6,683)</w:t>
            </w:r>
          </w:p>
        </w:tc>
        <w:tc>
          <w:tcPr>
            <w:tcW w:w="20" w:type="dxa"/>
            <w:vAlign w:val="bottom"/>
            <w:shd w:val="clear" w:color="auto" w:fill="000000"/>
          </w:tcPr>
          <w:p>
            <w:pPr>
              <w:spacing w:after="0"/>
              <w:rPr>
                <w:sz w:val="17"/>
                <w:szCs w:val="17"/>
                <w:color w:val="auto"/>
              </w:rPr>
            </w:pPr>
          </w:p>
        </w:tc>
        <w:tc>
          <w:tcPr>
            <w:tcW w:w="700" w:type="dxa"/>
            <w:vAlign w:val="bottom"/>
            <w:gridSpan w:val="4"/>
          </w:tcPr>
          <w:p>
            <w:pPr>
              <w:jc w:val="right"/>
              <w:ind w:right="149"/>
              <w:spacing w:after="0" w:line="202" w:lineRule="exact"/>
              <w:rPr>
                <w:sz w:val="20"/>
                <w:szCs w:val="20"/>
                <w:color w:val="auto"/>
              </w:rPr>
            </w:pPr>
            <w:r>
              <w:rPr>
                <w:rFonts w:ascii="Times New Roman" w:cs="Times New Roman" w:eastAsia="Times New Roman" w:hAnsi="Times New Roman"/>
                <w:sz w:val="18"/>
                <w:szCs w:val="18"/>
                <w:color w:val="auto"/>
              </w:rPr>
              <w:t>(315)</w:t>
            </w:r>
          </w:p>
        </w:tc>
        <w:tc>
          <w:tcPr>
            <w:tcW w:w="6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860" w:type="dxa"/>
            <w:vAlign w:val="bottom"/>
          </w:tcPr>
          <w:p>
            <w:pPr>
              <w:spacing w:after="0"/>
              <w:rPr>
                <w:sz w:val="5"/>
                <w:szCs w:val="5"/>
                <w:color w:val="auto"/>
              </w:rPr>
            </w:pPr>
          </w:p>
        </w:tc>
        <w:tc>
          <w:tcPr>
            <w:tcW w:w="62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70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1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20" w:type="dxa"/>
            <w:vAlign w:val="bottom"/>
            <w:shd w:val="clear" w:color="auto" w:fill="000000"/>
          </w:tcPr>
          <w:p>
            <w:pPr>
              <w:spacing w:after="0"/>
              <w:rPr>
                <w:sz w:val="5"/>
                <w:szCs w:val="5"/>
                <w:color w:val="auto"/>
              </w:rPr>
            </w:pPr>
          </w:p>
        </w:tc>
        <w:tc>
          <w:tcPr>
            <w:tcW w:w="160" w:type="dxa"/>
            <w:vAlign w:val="bottom"/>
            <w:gridSpan w:val="2"/>
          </w:tcPr>
          <w:p>
            <w:pPr>
              <w:ind w:left="40"/>
              <w:spacing w:after="0" w:line="68"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Pr>
          <w:p>
            <w:pPr>
              <w:spacing w:after="0"/>
              <w:rPr>
                <w:sz w:val="5"/>
                <w:szCs w:val="5"/>
                <w:color w:val="auto"/>
              </w:rPr>
            </w:pPr>
          </w:p>
        </w:tc>
        <w:tc>
          <w:tcPr>
            <w:tcW w:w="280" w:type="dxa"/>
            <w:vAlign w:val="bottom"/>
            <w:gridSpan w:val="2"/>
          </w:tcPr>
          <w:p>
            <w:pPr>
              <w:jc w:val="center"/>
              <w:spacing w:after="0" w:line="68" w:lineRule="exact"/>
              <w:rPr>
                <w:sz w:val="20"/>
                <w:szCs w:val="20"/>
                <w:color w:val="auto"/>
              </w:rPr>
            </w:pPr>
            <w:r>
              <w:rPr>
                <w:rFonts w:ascii="Times New Roman" w:cs="Times New Roman" w:eastAsia="Times New Roman" w:hAnsi="Times New Roman"/>
                <w:sz w:val="7"/>
                <w:szCs w:val="7"/>
                <w:color w:val="auto"/>
              </w:rPr>
              <w:t>​​ ​​</w:t>
            </w:r>
          </w:p>
        </w:tc>
        <w:tc>
          <w:tcPr>
            <w:tcW w:w="4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4405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Interest Rate Risk</w:t>
      </w:r>
    </w:p>
    <w:p>
      <w:pPr>
        <w:spacing w:after="0" w:line="158" w:lineRule="exact"/>
        <w:rPr>
          <w:sz w:val="20"/>
          <w:szCs w:val="20"/>
          <w:color w:val="auto"/>
        </w:rPr>
      </w:pPr>
    </w:p>
    <w:p>
      <w:pPr>
        <w:ind w:left="1260" w:right="959" w:firstLine="360"/>
        <w:spacing w:after="0" w:line="274" w:lineRule="auto"/>
        <w:rPr>
          <w:sz w:val="20"/>
          <w:szCs w:val="20"/>
          <w:color w:val="auto"/>
        </w:rPr>
      </w:pPr>
      <w:r>
        <w:rPr>
          <w:rFonts w:ascii="Times New Roman" w:cs="Times New Roman" w:eastAsia="Times New Roman" w:hAnsi="Times New Roman"/>
          <w:sz w:val="18"/>
          <w:szCs w:val="18"/>
          <w:color w:val="auto"/>
        </w:rPr>
        <w:t>Interest rate risk is the risk that the fair value or future cash flows of a financial instrument will fluctuate because of changes in market interest rates. As SCHMID in 2025 has no loans with variable interest rates, the exposure to interest rate risk is insignificant.</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Impact to P/L</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08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 ​</w:t>
            </w:r>
          </w:p>
        </w:tc>
        <w:tc>
          <w:tcPr>
            <w:tcW w:w="15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(income (+)/ expense (-)) </w:t>
            </w:r>
            <w:r>
              <w:rPr>
                <w:rFonts w:ascii="Times New Roman" w:cs="Times New Roman" w:eastAsia="Times New Roman" w:hAnsi="Times New Roman"/>
                <w:sz w:val="24"/>
                <w:szCs w:val="24"/>
                <w:b w:val="1"/>
                <w:bCs w:val="1"/>
                <w:color w:val="auto"/>
                <w:vertAlign w:val="subscript"/>
              </w:rPr>
              <w:t>​</w:t>
            </w:r>
          </w:p>
        </w:tc>
      </w:tr>
      <w:tr>
        <w:trPr>
          <w:trHeight w:val="25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18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Change in interest rate +1%</w:t>
            </w:r>
          </w:p>
        </w:tc>
        <w:tc>
          <w:tcPr>
            <w:tcW w:w="186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interest rate -1%</w:t>
            </w:r>
          </w:p>
        </w:tc>
        <w:tc>
          <w:tcPr>
            <w:tcW w:w="186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388</w:t>
            </w: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12/31/2024</w:t>
            </w:r>
          </w:p>
        </w:tc>
        <w:tc>
          <w:tcPr>
            <w:tcW w:w="186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interest rate +1%</w:t>
            </w:r>
          </w:p>
        </w:tc>
        <w:tc>
          <w:tcPr>
            <w:tcW w:w="186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(378)</w:t>
            </w:r>
          </w:p>
        </w:tc>
        <w:tc>
          <w:tcPr>
            <w:tcW w:w="1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Change in interest rate -1%</w:t>
            </w:r>
          </w:p>
        </w:tc>
        <w:tc>
          <w:tcPr>
            <w:tcW w:w="186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378</w:t>
            </w:r>
          </w:p>
        </w:tc>
        <w:tc>
          <w:tcPr>
            <w:tcW w:w="3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-1019810</wp:posOffset>
            </wp:positionV>
            <wp:extent cx="13716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Capital Management</w:t>
      </w:r>
    </w:p>
    <w:p>
      <w:pPr>
        <w:spacing w:after="0" w:line="144" w:lineRule="exact"/>
        <w:rPr>
          <w:sz w:val="20"/>
          <w:szCs w:val="20"/>
          <w:color w:val="auto"/>
        </w:rPr>
      </w:pPr>
    </w:p>
    <w:p>
      <w:pPr>
        <w:ind w:left="1260" w:right="579" w:firstLine="360"/>
        <w:spacing w:after="0" w:line="267" w:lineRule="auto"/>
        <w:rPr>
          <w:sz w:val="20"/>
          <w:szCs w:val="20"/>
          <w:color w:val="auto"/>
        </w:rPr>
      </w:pPr>
      <w:r>
        <w:rPr>
          <w:rFonts w:ascii="Times New Roman" w:cs="Times New Roman" w:eastAsia="Times New Roman" w:hAnsi="Times New Roman"/>
          <w:sz w:val="18"/>
          <w:szCs w:val="18"/>
          <w:color w:val="auto"/>
        </w:rPr>
        <w:t>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SCHMID.</w:t>
      </w:r>
    </w:p>
    <w:p>
      <w:pPr>
        <w:spacing w:after="0" w:line="153" w:lineRule="exact"/>
        <w:rPr>
          <w:sz w:val="20"/>
          <w:szCs w:val="20"/>
          <w:color w:val="auto"/>
        </w:rPr>
      </w:pPr>
    </w:p>
    <w:p>
      <w:pPr>
        <w:jc w:val="both"/>
        <w:ind w:left="1260" w:right="679" w:firstLine="360"/>
        <w:spacing w:after="0" w:line="274" w:lineRule="auto"/>
        <w:rPr>
          <w:sz w:val="20"/>
          <w:szCs w:val="20"/>
          <w:color w:val="auto"/>
        </w:rPr>
      </w:pPr>
      <w:r>
        <w:rPr>
          <w:rFonts w:ascii="Times New Roman" w:cs="Times New Roman" w:eastAsia="Times New Roman" w:hAnsi="Times New Roman"/>
          <w:sz w:val="18"/>
          <w:szCs w:val="18"/>
          <w:color w:val="auto"/>
        </w:rPr>
        <w:t>SCHMID’s finance department reviews the total amount of cash of SCHMID on a monthly basis. As part of this review, management considers the total cash and cash equivalents, the cash outflow, currency translation differences and funding activities.</w:t>
      </w:r>
    </w:p>
    <w:p>
      <w:pPr>
        <w:spacing w:after="0" w:line="101" w:lineRule="exact"/>
        <w:rPr>
          <w:sz w:val="20"/>
          <w:szCs w:val="20"/>
          <w:color w:val="auto"/>
        </w:rPr>
      </w:pPr>
    </w:p>
    <w:p>
      <w:pPr>
        <w:ind w:left="1260" w:right="459" w:firstLine="360"/>
        <w:spacing w:after="0" w:line="281" w:lineRule="auto"/>
        <w:rPr>
          <w:sz w:val="20"/>
          <w:szCs w:val="20"/>
          <w:color w:val="auto"/>
        </w:rPr>
      </w:pPr>
      <w:r>
        <w:rPr>
          <w:rFonts w:ascii="Times New Roman" w:cs="Times New Roman" w:eastAsia="Times New Roman" w:hAnsi="Times New Roman"/>
          <w:sz w:val="18"/>
          <w:szCs w:val="18"/>
          <w:color w:val="auto"/>
        </w:rPr>
        <w:t>The Company is not subject to externally imposed capital requirements see note 29. Non-current and current financial liabilities for further details. No changes were made in the objectives, policies or processes for managing cash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Reconciliation of changes in liabilities arising from financing activities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0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liabilities </w:t>
            </w:r>
            <w:r>
              <w:rPr>
                <w:rFonts w:ascii="Times New Roman" w:cs="Times New Roman" w:eastAsia="Times New Roman" w:hAnsi="Times New Roman"/>
                <w:sz w:val="24"/>
                <w:szCs w:val="24"/>
                <w:b w:val="1"/>
                <w:bCs w:val="1"/>
                <w:color w:val="auto"/>
                <w:vertAlign w:val="subscript"/>
              </w:rPr>
              <w:t>​</w:t>
            </w:r>
          </w:p>
        </w:tc>
        <w:tc>
          <w:tcPr>
            <w:tcW w:w="1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30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24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77,433</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9,694</w:t>
            </w:r>
          </w:p>
        </w:tc>
        <w:tc>
          <w:tcPr>
            <w:tcW w:w="820" w:type="dxa"/>
            <w:vAlign w:val="bottom"/>
            <w:tcBorders>
              <w:lef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87,127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Cash flow from financing activities (excluding changes from restricted cash)</w:t>
            </w:r>
          </w:p>
        </w:tc>
        <w:tc>
          <w:tcPr>
            <w:tcW w:w="30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58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4,962</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(2,098)</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5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2,864</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7,572​​ ​ </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Repayments of loans</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(2,296)</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w w:val="98"/>
              </w:rPr>
              <w:t>(2,296)</w:t>
            </w: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40" w:type="dxa"/>
            <w:vAlign w:val="bottom"/>
          </w:tcPr>
          <w:p>
            <w:pPr>
              <w:spacing w:after="0"/>
              <w:rPr>
                <w:sz w:val="4"/>
                <w:szCs w:val="4"/>
                <w:color w:val="auto"/>
              </w:rPr>
            </w:pPr>
          </w:p>
        </w:tc>
        <w:tc>
          <w:tcPr>
            <w:tcW w:w="3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elements of lease payment</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(1,513)​​ ​​ (1,513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Pr>
          <w:p>
            <w:pPr>
              <w:spacing w:after="0"/>
              <w:rPr>
                <w:sz w:val="17"/>
                <w:szCs w:val="17"/>
                <w:color w:val="auto"/>
              </w:rPr>
            </w:pP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(314)</w:t>
            </w:r>
          </w:p>
        </w:tc>
        <w:tc>
          <w:tcPr>
            <w:tcW w:w="600" w:type="dxa"/>
            <w:vAlign w:val="bottom"/>
            <w:gridSpan w:val="2"/>
          </w:tcPr>
          <w:p>
            <w:pPr>
              <w:jc w:val="right"/>
              <w:ind w:right="33"/>
              <w:spacing w:after="0" w:line="202" w:lineRule="exact"/>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7"/>
                <w:szCs w:val="17"/>
                <w:color w:val="auto"/>
              </w:rPr>
            </w:pPr>
          </w:p>
        </w:tc>
        <w:tc>
          <w:tcPr>
            <w:tcW w:w="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68"/>
        </w:trPr>
        <w:tc>
          <w:tcPr>
            <w:tcW w:w="5840" w:type="dxa"/>
            <w:vAlign w:val="bottom"/>
          </w:tcPr>
          <w:p>
            <w:pPr>
              <w:spacing w:after="0"/>
              <w:rPr>
                <w:sz w:val="5"/>
                <w:szCs w:val="5"/>
                <w:color w:val="auto"/>
              </w:rPr>
            </w:pPr>
          </w:p>
        </w:tc>
        <w:tc>
          <w:tcPr>
            <w:tcW w:w="3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44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changes</w:t>
            </w:r>
          </w:p>
        </w:tc>
        <w:tc>
          <w:tcPr>
            <w:tcW w:w="24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199"/>
              <w:spacing w:after="0" w:line="196" w:lineRule="exact"/>
              <w:rPr>
                <w:sz w:val="20"/>
                <w:szCs w:val="20"/>
                <w:color w:val="auto"/>
              </w:rPr>
            </w:pPr>
            <w:r>
              <w:rPr>
                <w:rFonts w:ascii="Times New Roman" w:cs="Times New Roman" w:eastAsia="Times New Roman" w:hAnsi="Times New Roman"/>
                <w:sz w:val="18"/>
                <w:szCs w:val="18"/>
                <w:b w:val="1"/>
                <w:bCs w:val="1"/>
                <w:color w:val="auto"/>
                <w:w w:val="97"/>
              </w:rPr>
              <w:t>​(28,838)</w:t>
            </w:r>
          </w:p>
        </w:tc>
        <w:tc>
          <w:tcPr>
            <w:tcW w:w="4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954</w:t>
            </w: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7"/>
              </w:rPr>
              <w:t>​(27,884)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840" w:type="dxa"/>
            <w:vAlign w:val="bottom"/>
            <w:shd w:val="clear" w:color="auto" w:fill="CCEEFF"/>
          </w:tcPr>
          <w:p>
            <w:pPr>
              <w:spacing w:after="0"/>
              <w:rPr>
                <w:sz w:val="5"/>
                <w:szCs w:val="5"/>
                <w:color w:val="auto"/>
              </w:rPr>
            </w:pPr>
          </w:p>
        </w:tc>
        <w:tc>
          <w:tcPr>
            <w:tcW w:w="300" w:type="dxa"/>
            <w:vAlign w:val="bottom"/>
            <w:gridSpan w:val="2"/>
            <w:shd w:val="clear" w:color="auto" w:fill="CCEEFF"/>
          </w:tcPr>
          <w:p>
            <w:pPr>
              <w:ind w:left="60"/>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500" w:type="dxa"/>
            <w:vAlign w:val="bottom"/>
            <w:shd w:val="clear" w:color="auto" w:fill="CCEEFF"/>
          </w:tcPr>
          <w:p>
            <w:pPr>
              <w:spacing w:after="0"/>
              <w:rPr>
                <w:sz w:val="5"/>
                <w:szCs w:val="5"/>
                <w:color w:val="auto"/>
              </w:rPr>
            </w:pPr>
          </w:p>
        </w:tc>
        <w:tc>
          <w:tcPr>
            <w:tcW w:w="300" w:type="dxa"/>
            <w:vAlign w:val="bottom"/>
            <w:tcBorders>
              <w:right w:val="single" w:sz="8" w:color="CCEEFF"/>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 ​</w:t>
            </w:r>
          </w:p>
        </w:tc>
        <w:tc>
          <w:tcPr>
            <w:tcW w:w="440" w:type="dxa"/>
            <w:vAlign w:val="bottom"/>
            <w:shd w:val="clear" w:color="auto" w:fill="CCEEFF"/>
          </w:tcPr>
          <w:p>
            <w:pPr>
              <w:spacing w:after="0"/>
              <w:rPr>
                <w:sz w:val="5"/>
                <w:szCs w:val="5"/>
                <w:color w:val="auto"/>
              </w:rPr>
            </w:pPr>
          </w:p>
        </w:tc>
        <w:tc>
          <w:tcPr>
            <w:tcW w:w="340" w:type="dxa"/>
            <w:vAlign w:val="bottom"/>
            <w:tcBorders>
              <w:left w:val="single" w:sz="8" w:color="CCEEFF"/>
            </w:tcBorders>
            <w:gridSpan w:val="3"/>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b w:val="1"/>
                <w:bCs w:val="1"/>
                <w:color w:val="auto"/>
              </w:rPr>
              <w:t>​​ ​​</w:t>
            </w:r>
          </w:p>
        </w:tc>
        <w:tc>
          <w:tcPr>
            <w:tcW w:w="480" w:type="dxa"/>
            <w:vAlign w:val="bottom"/>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Foreign currency effects</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199"/>
              <w:spacing w:after="0" w:line="196" w:lineRule="exact"/>
              <w:rPr>
                <w:sz w:val="20"/>
                <w:szCs w:val="20"/>
                <w:color w:val="auto"/>
              </w:rPr>
            </w:pPr>
            <w:r>
              <w:rPr>
                <w:rFonts w:ascii="Times New Roman" w:cs="Times New Roman" w:eastAsia="Times New Roman" w:hAnsi="Times New Roman"/>
                <w:sz w:val="18"/>
                <w:szCs w:val="18"/>
                <w:color w:val="auto"/>
              </w:rPr>
              <w:t>(1,172)</w:t>
            </w:r>
          </w:p>
        </w:tc>
        <w:tc>
          <w:tcPr>
            <w:tcW w:w="600" w:type="dxa"/>
            <w:vAlign w:val="bottom"/>
            <w:gridSpan w:val="2"/>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(2,916)</w:t>
            </w:r>
          </w:p>
        </w:tc>
        <w:tc>
          <w:tcPr>
            <w:tcW w:w="0" w:type="dxa"/>
            <w:vAlign w:val="bottom"/>
          </w:tcPr>
          <w:p>
            <w:pPr>
              <w:spacing w:after="0"/>
              <w:rPr>
                <w:sz w:val="1"/>
                <w:szCs w:val="1"/>
                <w:color w:val="auto"/>
              </w:rPr>
            </w:pPr>
          </w:p>
        </w:tc>
      </w:tr>
      <w:tr>
        <w:trPr>
          <w:trHeight w:val="54"/>
        </w:trPr>
        <w:tc>
          <w:tcPr>
            <w:tcW w:w="584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40" w:type="dxa"/>
            <w:vAlign w:val="bottom"/>
          </w:tcPr>
          <w:p>
            <w:pPr>
              <w:spacing w:after="0"/>
              <w:rPr>
                <w:sz w:val="4"/>
                <w:szCs w:val="4"/>
                <w:color w:val="auto"/>
              </w:rPr>
            </w:pPr>
          </w:p>
        </w:tc>
        <w:tc>
          <w:tcPr>
            <w:tcW w:w="340" w:type="dxa"/>
            <w:vAlign w:val="bottom"/>
            <w:gridSpan w:val="3"/>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leases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Derecognition XJ share purchase liability</w:t>
            </w:r>
          </w:p>
        </w:tc>
        <w:tc>
          <w:tcPr>
            <w:tcW w:w="1100" w:type="dxa"/>
            <w:vAlign w:val="bottom"/>
            <w:tcBorders>
              <w:right w:val="single" w:sz="8" w:color="CCEEFF"/>
            </w:tcBorders>
            <w:gridSpan w:val="4"/>
            <w:shd w:val="clear" w:color="auto" w:fill="CCEEFF"/>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(22,666)</w:t>
            </w:r>
          </w:p>
        </w:tc>
        <w:tc>
          <w:tcPr>
            <w:tcW w:w="4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(22,666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840" w:type="dxa"/>
            <w:vAlign w:val="bottom"/>
            <w:shd w:val="clear" w:color="auto" w:fill="CCEEFF"/>
          </w:tcPr>
          <w:p>
            <w:pPr>
              <w:spacing w:after="0"/>
              <w:rPr>
                <w:sz w:val="4"/>
                <w:szCs w:val="4"/>
                <w:color w:val="auto"/>
              </w:rPr>
            </w:pPr>
          </w:p>
        </w:tc>
        <w:tc>
          <w:tcPr>
            <w:tcW w:w="3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500" w:type="dxa"/>
            <w:vAlign w:val="bottom"/>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40" w:type="dxa"/>
            <w:vAlign w:val="bottom"/>
            <w:shd w:val="clear" w:color="auto" w:fill="CCEEFF"/>
          </w:tcPr>
          <w:p>
            <w:pPr>
              <w:spacing w:after="0"/>
              <w:rPr>
                <w:sz w:val="4"/>
                <w:szCs w:val="4"/>
                <w:color w:val="auto"/>
              </w:rPr>
            </w:pPr>
          </w:p>
        </w:tc>
        <w:tc>
          <w:tcPr>
            <w:tcW w:w="340" w:type="dxa"/>
            <w:vAlign w:val="bottom"/>
            <w:tcBorders>
              <w:left w:val="single" w:sz="8" w:color="CCEEFF"/>
            </w:tcBorders>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Loan forgiveness</w:t>
            </w:r>
          </w:p>
        </w:tc>
        <w:tc>
          <w:tcPr>
            <w:tcW w:w="240" w:type="dxa"/>
            <w:vAlign w:val="bottom"/>
          </w:tcPr>
          <w:p>
            <w:pPr>
              <w:spacing w:after="0"/>
              <w:rPr>
                <w:sz w:val="17"/>
                <w:szCs w:val="17"/>
                <w:color w:val="auto"/>
              </w:rPr>
            </w:pPr>
          </w:p>
        </w:tc>
        <w:tc>
          <w:tcPr>
            <w:tcW w:w="860" w:type="dxa"/>
            <w:vAlign w:val="bottom"/>
            <w:gridSpan w:val="3"/>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 (5,000)</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 (5,000)</w:t>
            </w:r>
          </w:p>
        </w:tc>
        <w:tc>
          <w:tcPr>
            <w:tcW w:w="0" w:type="dxa"/>
            <w:vAlign w:val="bottom"/>
          </w:tcPr>
          <w:p>
            <w:pPr>
              <w:spacing w:after="0"/>
              <w:rPr>
                <w:sz w:val="1"/>
                <w:szCs w:val="1"/>
                <w:color w:val="auto"/>
              </w:rPr>
            </w:pPr>
          </w:p>
        </w:tc>
      </w:tr>
      <w:tr>
        <w:trPr>
          <w:trHeight w:val="68"/>
        </w:trPr>
        <w:tc>
          <w:tcPr>
            <w:tcW w:w="5840" w:type="dxa"/>
            <w:vAlign w:val="bottom"/>
          </w:tcPr>
          <w:p>
            <w:pPr>
              <w:spacing w:after="0"/>
              <w:rPr>
                <w:sz w:val="5"/>
                <w:szCs w:val="5"/>
                <w:color w:val="auto"/>
              </w:rPr>
            </w:pPr>
          </w:p>
        </w:tc>
        <w:tc>
          <w:tcPr>
            <w:tcW w:w="3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44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0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24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53,556</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8,550</w:t>
            </w:r>
          </w:p>
        </w:tc>
        <w:tc>
          <w:tcPr>
            <w:tcW w:w="820" w:type="dxa"/>
            <w:vAlign w:val="bottom"/>
            <w:tcBorders>
              <w:lef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62,106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6"/>
        </w:trPr>
        <w:tc>
          <w:tcPr>
            <w:tcW w:w="58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40" w:type="dxa"/>
            <w:vAlign w:val="bottom"/>
            <w:tcBorders>
              <w:top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90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liabilities </w:t>
            </w:r>
            <w:r>
              <w:rPr>
                <w:rFonts w:ascii="Times New Roman" w:cs="Times New Roman" w:eastAsia="Times New Roman" w:hAnsi="Times New Roman"/>
                <w:sz w:val="24"/>
                <w:szCs w:val="24"/>
                <w:b w:val="1"/>
                <w:bCs w:val="1"/>
                <w:color w:val="auto"/>
                <w:vertAlign w:val="subscript"/>
              </w:rPr>
              <w:t>​</w:t>
            </w:r>
          </w:p>
        </w:tc>
        <w:tc>
          <w:tcPr>
            <w:tcW w:w="1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30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24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48,244</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10,886</w:t>
            </w:r>
          </w:p>
        </w:tc>
        <w:tc>
          <w:tcPr>
            <w:tcW w:w="820" w:type="dxa"/>
            <w:vAlign w:val="bottom"/>
            <w:tcBorders>
              <w:lef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59,130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Cash flow from financing activities (excluding changes from restricted cash)</w:t>
            </w:r>
          </w:p>
        </w:tc>
        <w:tc>
          <w:tcPr>
            <w:tcW w:w="30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58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6,173</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(2,184)</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w:t>
            </w:r>
          </w:p>
        </w:tc>
        <w:tc>
          <w:tcPr>
            <w:tcW w:w="54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3,989</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loans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3,145​​ ​ </w:t>
            </w:r>
            <w:r>
              <w:rPr>
                <w:rFonts w:ascii="Times New Roman" w:cs="Times New Roman" w:eastAsia="Times New Roman" w:hAnsi="Times New Roman"/>
                <w:sz w:val="18"/>
                <w:szCs w:val="18"/>
                <w:b w:val="1"/>
                <w:bCs w:val="1"/>
                <w:color w:val="auto"/>
              </w:rPr>
              <w:t>​</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Reorganization</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14,443​​ ​ </w:t>
            </w:r>
            <w:r>
              <w:rPr>
                <w:rFonts w:ascii="Times New Roman" w:cs="Times New Roman" w:eastAsia="Times New Roman" w:hAnsi="Times New Roman"/>
                <w:sz w:val="18"/>
                <w:szCs w:val="18"/>
                <w:b w:val="1"/>
                <w:bCs w:val="1"/>
                <w:color w:val="auto"/>
              </w:rPr>
              <w:t>​</w:t>
            </w:r>
          </w:p>
        </w:tc>
        <w:tc>
          <w:tcPr>
            <w:tcW w:w="13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 14,443​</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Repayments of loans</w:t>
            </w: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(264)</w:t>
            </w:r>
          </w:p>
        </w:tc>
        <w:tc>
          <w:tcPr>
            <w:tcW w:w="4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8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40" w:type="dxa"/>
            <w:vAlign w:val="bottom"/>
            <w:shd w:val="clear" w:color="auto" w:fill="CCEEFF"/>
          </w:tcPr>
          <w:p>
            <w:pPr>
              <w:spacing w:after="0"/>
              <w:rPr>
                <w:sz w:val="4"/>
                <w:szCs w:val="4"/>
                <w:color w:val="auto"/>
              </w:rPr>
            </w:pPr>
          </w:p>
        </w:tc>
        <w:tc>
          <w:tcPr>
            <w:tcW w:w="340" w:type="dxa"/>
            <w:vAlign w:val="bottom"/>
            <w:tcBorders>
              <w:left w:val="single" w:sz="8" w:color="CCEEFF"/>
            </w:tcBorders>
            <w:gridSpan w:val="3"/>
            <w:vMerge w:val="continue"/>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Principal elements of lease payment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1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(1,543)​​ ​​ (1,543​)</w:t>
            </w: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rPr>
              <w:t>(212)</w:t>
            </w:r>
          </w:p>
        </w:tc>
        <w:tc>
          <w:tcPr>
            <w:tcW w:w="600" w:type="dxa"/>
            <w:vAlign w:val="bottom"/>
            <w:gridSpan w:val="2"/>
            <w:shd w:val="clear" w:color="auto" w:fill="CCEEFF"/>
          </w:tcPr>
          <w:p>
            <w:pPr>
              <w:jc w:val="right"/>
              <w:ind w:right="33"/>
              <w:spacing w:after="0" w:line="202" w:lineRule="exact"/>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(853</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
        </w:trPr>
        <w:tc>
          <w:tcPr>
            <w:tcW w:w="5840" w:type="dxa"/>
            <w:vAlign w:val="bottom"/>
            <w:shd w:val="clear" w:color="auto" w:fill="CCEEFF"/>
          </w:tcPr>
          <w:p>
            <w:pPr>
              <w:spacing w:after="0"/>
              <w:rPr>
                <w:sz w:val="4"/>
                <w:szCs w:val="4"/>
                <w:color w:val="auto"/>
              </w:rPr>
            </w:pPr>
          </w:p>
        </w:tc>
        <w:tc>
          <w:tcPr>
            <w:tcW w:w="300" w:type="dxa"/>
            <w:vAlign w:val="bottom"/>
            <w:gridSpan w:val="2"/>
            <w:vMerge w:val="continue"/>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00" w:type="dxa"/>
            <w:vAlign w:val="bottom"/>
            <w:tcBorders>
              <w:right w:val="single" w:sz="8" w:color="CCEEFF"/>
            </w:tcBorders>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xml:space="preserve">​​ ​ </w:t>
            </w:r>
            <w:r>
              <w:rPr>
                <w:rFonts w:ascii="Times New Roman" w:cs="Times New Roman" w:eastAsia="Times New Roman" w:hAnsi="Times New Roman"/>
                <w:sz w:val="6"/>
                <w:szCs w:val="6"/>
                <w:b w:val="1"/>
                <w:bCs w:val="1"/>
                <w:color w:val="auto"/>
              </w:rPr>
              <w:t>​</w:t>
            </w:r>
          </w:p>
        </w:tc>
        <w:tc>
          <w:tcPr>
            <w:tcW w:w="440" w:type="dxa"/>
            <w:vAlign w:val="bottom"/>
            <w:shd w:val="clear" w:color="auto" w:fill="CCEEFF"/>
          </w:tcPr>
          <w:p>
            <w:pPr>
              <w:spacing w:after="0"/>
              <w:rPr>
                <w:sz w:val="4"/>
                <w:szCs w:val="4"/>
                <w:color w:val="auto"/>
              </w:rPr>
            </w:pPr>
          </w:p>
        </w:tc>
        <w:tc>
          <w:tcPr>
            <w:tcW w:w="340" w:type="dxa"/>
            <w:vAlign w:val="bottom"/>
            <w:tcBorders>
              <w:left w:val="single" w:sz="8" w:color="CCEEFF"/>
            </w:tcBorders>
            <w:gridSpan w:val="3"/>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shd w:val="clear" w:color="auto" w:fill="CCEEFF"/>
          </w:tcPr>
          <w:p>
            <w:pPr>
              <w:spacing w:after="0"/>
              <w:rPr>
                <w:sz w:val="4"/>
                <w:szCs w:val="4"/>
                <w:color w:val="auto"/>
              </w:rPr>
            </w:pPr>
          </w:p>
        </w:tc>
        <w:tc>
          <w:tcPr>
            <w:tcW w:w="60" w:type="dxa"/>
            <w:vAlign w:val="bottom"/>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Transaction with (minority) shareholder</w:t>
            </w:r>
          </w:p>
        </w:tc>
        <w:tc>
          <w:tcPr>
            <w:tcW w:w="240" w:type="dxa"/>
            <w:vAlign w:val="bottom"/>
          </w:tcPr>
          <w:p>
            <w:pPr>
              <w:spacing w:after="0"/>
              <w:rPr>
                <w:sz w:val="17"/>
                <w:szCs w:val="17"/>
                <w:color w:val="auto"/>
              </w:rPr>
            </w:pPr>
          </w:p>
        </w:tc>
        <w:tc>
          <w:tcPr>
            <w:tcW w:w="860" w:type="dxa"/>
            <w:vAlign w:val="bottom"/>
            <w:gridSpan w:val="3"/>
          </w:tcPr>
          <w:p>
            <w:pPr>
              <w:jc w:val="right"/>
              <w:ind w:right="199"/>
              <w:spacing w:after="0" w:line="202" w:lineRule="exact"/>
              <w:rPr>
                <w:sz w:val="20"/>
                <w:szCs w:val="20"/>
                <w:color w:val="auto"/>
              </w:rPr>
            </w:pPr>
            <w:r>
              <w:rPr>
                <w:rFonts w:ascii="Times New Roman" w:cs="Times New Roman" w:eastAsia="Times New Roman" w:hAnsi="Times New Roman"/>
                <w:sz w:val="18"/>
                <w:szCs w:val="18"/>
                <w:color w:val="auto"/>
                <w:w w:val="97"/>
              </w:rPr>
              <w:t>​(10,939)</w:t>
            </w:r>
          </w:p>
        </w:tc>
        <w:tc>
          <w:tcPr>
            <w:tcW w:w="4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w w:val="97"/>
              </w:rPr>
              <w:t>​(10,939)</w:t>
            </w:r>
          </w:p>
        </w:tc>
        <w:tc>
          <w:tcPr>
            <w:tcW w:w="0" w:type="dxa"/>
            <w:vAlign w:val="bottom"/>
          </w:tcPr>
          <w:p>
            <w:pPr>
              <w:spacing w:after="0"/>
              <w:rPr>
                <w:sz w:val="1"/>
                <w:szCs w:val="1"/>
                <w:color w:val="auto"/>
              </w:rPr>
            </w:pPr>
          </w:p>
        </w:tc>
      </w:tr>
      <w:tr>
        <w:trPr>
          <w:trHeight w:val="68"/>
        </w:trPr>
        <w:tc>
          <w:tcPr>
            <w:tcW w:w="5840" w:type="dxa"/>
            <w:vAlign w:val="bottom"/>
          </w:tcPr>
          <w:p>
            <w:pPr>
              <w:spacing w:after="0"/>
              <w:rPr>
                <w:sz w:val="5"/>
                <w:szCs w:val="5"/>
                <w:color w:val="auto"/>
              </w:rPr>
            </w:pPr>
          </w:p>
        </w:tc>
        <w:tc>
          <w:tcPr>
            <w:tcW w:w="300" w:type="dxa"/>
            <w:vAlign w:val="bottom"/>
            <w:gridSpan w:val="2"/>
          </w:tcPr>
          <w:p>
            <w:pPr>
              <w:ind w:left="60"/>
              <w:spacing w:after="0" w:line="68" w:lineRule="exact"/>
              <w:rPr>
                <w:sz w:val="20"/>
                <w:szCs w:val="20"/>
                <w:color w:val="auto"/>
              </w:rPr>
            </w:pPr>
            <w:r>
              <w:rPr>
                <w:rFonts w:ascii="Times New Roman" w:cs="Times New Roman" w:eastAsia="Times New Roman" w:hAnsi="Times New Roman"/>
                <w:sz w:val="7"/>
                <w:szCs w:val="7"/>
                <w:color w:val="auto"/>
              </w:rPr>
              <w:t>​ ​​</w:t>
            </w:r>
          </w:p>
        </w:tc>
        <w:tc>
          <w:tcPr>
            <w:tcW w:w="500" w:type="dxa"/>
            <w:vAlign w:val="bottom"/>
          </w:tcPr>
          <w:p>
            <w:pPr>
              <w:spacing w:after="0"/>
              <w:rPr>
                <w:sz w:val="5"/>
                <w:szCs w:val="5"/>
                <w:color w:val="auto"/>
              </w:rPr>
            </w:pPr>
          </w:p>
        </w:tc>
        <w:tc>
          <w:tcPr>
            <w:tcW w:w="30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440" w:type="dxa"/>
            <w:vAlign w:val="bottom"/>
          </w:tcPr>
          <w:p>
            <w:pPr>
              <w:spacing w:after="0"/>
              <w:rPr>
                <w:sz w:val="5"/>
                <w:szCs w:val="5"/>
                <w:color w:val="auto"/>
              </w:rPr>
            </w:pPr>
          </w:p>
        </w:tc>
        <w:tc>
          <w:tcPr>
            <w:tcW w:w="340" w:type="dxa"/>
            <w:vAlign w:val="bottom"/>
            <w:gridSpan w:val="3"/>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tcPr>
          <w:p>
            <w:pPr>
              <w:spacing w:after="0"/>
              <w:rPr>
                <w:sz w:val="5"/>
                <w:szCs w:val="5"/>
                <w:color w:val="auto"/>
              </w:rPr>
            </w:pPr>
          </w:p>
        </w:tc>
        <w:tc>
          <w:tcPr>
            <w:tcW w:w="6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300" w:type="dxa"/>
            <w:vAlign w:val="bottom"/>
            <w:gridSpan w:val="2"/>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800" w:type="dxa"/>
            <w:vAlign w:val="bottom"/>
            <w:tcBorders>
              <w:right w:val="single" w:sz="8" w:color="CCEEFF"/>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23,016</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820" w:type="dxa"/>
            <w:vAlign w:val="bottom"/>
            <w:tcBorders>
              <w:lef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24,009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effects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leases</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4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21,988​​ ​ </w:t>
            </w: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22,644​</w:t>
            </w:r>
          </w:p>
        </w:tc>
        <w:tc>
          <w:tcPr>
            <w:tcW w:w="0" w:type="dxa"/>
            <w:vAlign w:val="bottom"/>
          </w:tcPr>
          <w:p>
            <w:pPr>
              <w:spacing w:after="0"/>
              <w:rPr>
                <w:sz w:val="1"/>
                <w:szCs w:val="1"/>
                <w:color w:val="auto"/>
              </w:rPr>
            </w:pPr>
          </w:p>
        </w:tc>
      </w:tr>
      <w:tr>
        <w:trPr>
          <w:trHeight w:val="27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measurement</w:t>
            </w:r>
          </w:p>
        </w:tc>
        <w:tc>
          <w:tcPr>
            <w:tcW w:w="30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800" w:type="dxa"/>
            <w:vAlign w:val="bottom"/>
            <w:tcBorders>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1,028</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left w:val="single" w:sz="8" w:color="CCEEFF"/>
            </w:tcBorders>
            <w:gridSpan w:val="3"/>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perscript"/>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0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16"/>
                <w:szCs w:val="16"/>
                <w:b w:val="1"/>
                <w:bCs w:val="1"/>
                <w:color w:val="auto"/>
              </w:rPr>
              <w:t>​ ​​</w:t>
            </w:r>
            <w:r>
              <w:rPr>
                <w:rFonts w:ascii="Times New Roman" w:cs="Times New Roman" w:eastAsia="Times New Roman" w:hAnsi="Times New Roman"/>
                <w:sz w:val="30"/>
                <w:szCs w:val="30"/>
                <w:b w:val="1"/>
                <w:bCs w:val="1"/>
                <w:color w:val="auto"/>
                <w:vertAlign w:val="superscript"/>
              </w:rPr>
              <w:t>​</w:t>
            </w:r>
          </w:p>
        </w:tc>
        <w:tc>
          <w:tcPr>
            <w:tcW w:w="124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b w:val="1"/>
                <w:bCs w:val="1"/>
                <w:color w:val="auto"/>
              </w:rPr>
              <w:t>77,433</w:t>
            </w: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9,694</w:t>
            </w:r>
          </w:p>
        </w:tc>
        <w:tc>
          <w:tcPr>
            <w:tcW w:w="88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 ​​</w:t>
            </w:r>
            <w:r>
              <w:rPr>
                <w:rFonts w:ascii="Times New Roman" w:cs="Times New Roman" w:eastAsia="Times New Roman" w:hAnsi="Times New Roman"/>
                <w:sz w:val="16"/>
                <w:szCs w:val="16"/>
                <w:b w:val="1"/>
                <w:bCs w:val="1"/>
                <w:color w:val="auto"/>
              </w:rPr>
              <w:t>​ 87,127</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-2887980</wp:posOffset>
            </wp:positionV>
            <wp:extent cx="485203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-3899535</wp:posOffset>
            </wp:positionV>
            <wp:extent cx="48520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-4568190</wp:posOffset>
            </wp:positionV>
            <wp:extent cx="48520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-4928235</wp:posOffset>
            </wp:positionV>
            <wp:extent cx="1371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-4928235</wp:posOffset>
            </wp:positionV>
            <wp:extent cx="13716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-4928235</wp:posOffset>
            </wp:positionV>
            <wp:extent cx="137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-1036320</wp:posOffset>
            </wp:positionV>
            <wp:extent cx="485203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8520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48520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-2390775</wp:posOffset>
            </wp:positionV>
            <wp:extent cx="137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5017770</wp:posOffset>
            </wp:positionH>
            <wp:positionV relativeFrom="paragraph">
              <wp:posOffset>-2390775</wp:posOffset>
            </wp:positionV>
            <wp:extent cx="13716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-2390775</wp:posOffset>
            </wp:positionV>
            <wp:extent cx="1371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35. EQUITY METHOD INVESTMENTS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SCHMID owns non-controlling interests in the following entities as of December 31, 2025 and 2024.</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proportion of ownership interest is the same as the proportion of voting rights held.</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of ownership interest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260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Country of incorporation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12/31/2025</w:t>
            </w:r>
          </w:p>
        </w:tc>
        <w:tc>
          <w:tcPr>
            <w:tcW w:w="94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12/31/2024 </w:t>
            </w:r>
            <w:r>
              <w:rPr>
                <w:rFonts w:ascii="Times New Roman" w:cs="Times New Roman" w:eastAsia="Times New Roman" w:hAnsi="Times New Roman"/>
                <w:sz w:val="27"/>
                <w:szCs w:val="27"/>
                <w:b w:val="1"/>
                <w:bCs w:val="1"/>
                <w:color w:val="auto"/>
                <w:vertAlign w:val="subscript"/>
              </w:rPr>
              <w:t>​</w:t>
            </w:r>
          </w:p>
        </w:tc>
      </w:tr>
      <w:tr>
        <w:trPr>
          <w:trHeight w:val="20"/>
        </w:trPr>
        <w:tc>
          <w:tcPr>
            <w:tcW w:w="4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SCHMID AVACO Korea Co. Ltd. (SAK)</w:t>
            </w:r>
          </w:p>
        </w:tc>
        <w:tc>
          <w:tcPr>
            <w:tcW w:w="1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​South Korea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SCHMID Energy Systems GmbH (SES)</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​Germany</w:t>
            </w:r>
          </w:p>
        </w:tc>
        <w:tc>
          <w:tcPr>
            <w:tcW w:w="78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-350520</wp:posOffset>
            </wp:positionV>
            <wp:extent cx="1371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-350520</wp:posOffset>
            </wp:positionV>
            <wp:extent cx="13716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-350520</wp:posOffset>
            </wp:positionV>
            <wp:extent cx="1371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description of each entity is provided below.</w:t>
      </w:r>
    </w:p>
    <w:p>
      <w:pPr>
        <w:spacing w:after="0" w:line="158"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SCHMID AVACO Korea Co. Ltd. (SAK), South Korea is a company that specializes in the sales and marketing of Physical Vapor Etch (“PVE”) and Physical Vapor Deposition (“PVD”) equipment. SCHMID developed many innovative PVE and PVD processes and has access to the major manufacturers for PCB,</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97" w:lineRule="auto"/>
        <w:rPr>
          <w:sz w:val="20"/>
          <w:szCs w:val="20"/>
          <w:color w:val="auto"/>
        </w:rPr>
      </w:pPr>
      <w:r>
        <w:rPr>
          <w:rFonts w:ascii="Times New Roman" w:cs="Times New Roman" w:eastAsia="Times New Roman" w:hAnsi="Times New Roman"/>
          <w:sz w:val="18"/>
          <w:szCs w:val="18"/>
          <w:color w:val="auto"/>
        </w:rPr>
        <w:t>Substrates and Panel Level Packing. Avaco produces a wide range of equipment, which serves various industries including chip industry, automotive, electronics and telecommunications technology.</w:t>
      </w:r>
    </w:p>
    <w:p>
      <w:pPr>
        <w:spacing w:after="0" w:line="8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36. COMMITMENTS AND CONTINGENCIES</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commitments amounting to €13 thousand (December 31, 2024: €0 thousand) to acquire items of property, plant &amp; equipment.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37. RELATED PARTY DISCLOSURES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SCHMID is a listed company with Christian Schmid and Anette Schmid as majority shareholders.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Christian Schmid is also the CEO of the Company.</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Key Management</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Key management personnel are defined as those persons who are responsible for SCHMID´s worldwide operating business, based on their function within SCHMID or the interests of SCHMID. The following individuals belong or belonged to SCHMID´s key management:</w:t>
      </w:r>
    </w:p>
    <w:p>
      <w:pPr>
        <w:sectPr>
          <w:pgSz w:w="11900" w:h="16838" w:orient="portrait"/>
          <w:cols w:equalWidth="0" w:num="1">
            <w:col w:w="9879"/>
          </w:cols>
          <w:pgMar w:left="580" w:top="97" w:right="1440" w:bottom="1440" w:gutter="0" w:footer="0" w:header="0"/>
        </w:sectPr>
      </w:pPr>
    </w:p>
    <w:p>
      <w:pPr>
        <w:spacing w:after="0" w:line="304"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Company</w:t>
            </w:r>
          </w:p>
        </w:tc>
      </w:tr>
      <w:tr>
        <w:trPr>
          <w:trHeight w:val="21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Christian Schmid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SCHMID Group N.</w:t>
            </w:r>
          </w:p>
        </w:tc>
      </w:tr>
      <w:tr>
        <w:trPr>
          <w:trHeight w:val="216"/>
        </w:trPr>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V.Gebr.SCHMID GmbH</w:t>
            </w: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Anette Schmid</w:t>
            </w:r>
          </w:p>
        </w:tc>
        <w:tc>
          <w:tcPr>
            <w:tcW w:w="28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SCHMID Group N. V.</w:t>
            </w:r>
          </w:p>
        </w:tc>
      </w:tr>
      <w:tr>
        <w:trPr>
          <w:trHeight w:val="26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Prof. Dr. Dr. h.c. Sir Ralf Speth</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SCHMID Group N. V.</w:t>
            </w:r>
          </w:p>
        </w:tc>
      </w:tr>
      <w:tr>
        <w:trPr>
          <w:trHeight w:val="45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Dr. Stefan Berger</w:t>
            </w:r>
          </w:p>
        </w:tc>
        <w:tc>
          <w:tcPr>
            <w:tcW w:w="28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SCHMID Group N. V.</w:t>
            </w:r>
          </w:p>
        </w:tc>
      </w:tr>
      <w:tr>
        <w:trPr>
          <w:trHeight w:val="28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Boo-Keun Yoon</w:t>
            </w:r>
          </w:p>
        </w:tc>
        <w:tc>
          <w:tcPr>
            <w:tcW w:w="280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SCHMID Group N. V.</w:t>
            </w:r>
          </w:p>
        </w:tc>
      </w:tr>
      <w:tr>
        <w:trPr>
          <w:trHeight w:val="26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Dr. Annedore Streyl</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SCHMID Group N. V.</w:t>
            </w:r>
          </w:p>
        </w:tc>
      </w:tr>
      <w:tr>
        <w:trPr>
          <w:trHeight w:val="46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Julia Natterer</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SCHMID Group N. V.Gebr.</w:t>
            </w:r>
          </w:p>
        </w:tc>
      </w:tr>
      <w:tr>
        <w:trPr>
          <w:trHeight w:val="234"/>
        </w:trPr>
        <w:tc>
          <w:tcPr>
            <w:tcW w:w="2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SCHMID GmbH</w:t>
            </w:r>
          </w:p>
        </w:tc>
      </w:tr>
      <w:tr>
        <w:trPr>
          <w:trHeight w:val="48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Roland Rettenmeier</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Gebr. SCHMID GmbH</w:t>
            </w:r>
          </w:p>
        </w:tc>
      </w:tr>
      <w:tr>
        <w:trPr>
          <w:trHeight w:val="48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Helmut Rauch</w:t>
            </w:r>
          </w:p>
        </w:tc>
        <w:tc>
          <w:tcPr>
            <w:tcW w:w="28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Gebr. SCHMID GmbH</w:t>
            </w:r>
          </w:p>
        </w:tc>
      </w:tr>
      <w:tr>
        <w:trPr>
          <w:trHeight w:val="27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Dian Zhang</w:t>
            </w:r>
          </w:p>
        </w:tc>
        <w:tc>
          <w:tcPr>
            <w:tcW w:w="28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Gebr. SCHMID GmbH</w:t>
            </w:r>
          </w:p>
        </w:tc>
      </w:tr>
      <w:tr>
        <w:trPr>
          <w:trHeight w:val="45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Thomas Widmann</w:t>
            </w:r>
          </w:p>
        </w:tc>
        <w:tc>
          <w:tcPr>
            <w:tcW w:w="28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Gebr. SCHMID GmbH</w:t>
            </w: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Function &amp; Member of key management</w:t>
            </w:r>
          </w:p>
        </w:tc>
      </w:tr>
      <w:tr>
        <w:trPr>
          <w:trHeight w:val="21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4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since/until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-1905</wp:posOffset>
            </wp:positionV>
            <wp:extent cx="16459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220" w:right="100" w:hanging="220"/>
        <w:spacing w:after="0" w:line="271" w:lineRule="auto"/>
        <w:tabs>
          <w:tab w:leader="none" w:pos="1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Executive Director of SCHMID Group N. V., CEO</w:t>
      </w:r>
    </w:p>
    <w:p>
      <w:pPr>
        <w:spacing w:after="0" w:line="1" w:lineRule="exact"/>
        <w:rPr>
          <w:rFonts w:ascii="Times New Roman" w:cs="Times New Roman" w:eastAsia="Times New Roman" w:hAnsi="Times New Roman"/>
          <w:sz w:val="18"/>
          <w:szCs w:val="18"/>
          <w:color w:val="auto"/>
        </w:rPr>
      </w:pPr>
    </w:p>
    <w:p>
      <w:pPr>
        <w:ind w:left="100" w:hanging="100"/>
        <w:spacing w:after="0" w:line="183" w:lineRule="auto"/>
        <w:tabs>
          <w:tab w:leader="none" w:pos="100" w:val="left"/>
        </w:tabs>
        <w:numPr>
          <w:ilvl w:val="0"/>
          <w:numId w:val="105"/>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 Non-executive Director</w:t>
      </w:r>
    </w:p>
    <w:p>
      <w:pPr>
        <w:ind w:left="220" w:right="680" w:hanging="220"/>
        <w:spacing w:after="0" w:line="249" w:lineRule="auto"/>
        <w:tabs>
          <w:tab w:leader="none" w:pos="1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Non-executive Director, Chairman of the Board</w:t>
      </w:r>
    </w:p>
    <w:p>
      <w:pPr>
        <w:ind w:left="100" w:hanging="100"/>
        <w:spacing w:after="0" w:line="180" w:lineRule="auto"/>
        <w:tabs>
          <w:tab w:leader="none" w:pos="100" w:val="left"/>
        </w:tabs>
        <w:numPr>
          <w:ilvl w:val="0"/>
          <w:numId w:val="10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Non-executive Director</w:t>
      </w:r>
    </w:p>
    <w:p>
      <w:pPr>
        <w:spacing w:after="0" w:line="1" w:lineRule="exact"/>
        <w:rPr>
          <w:rFonts w:ascii="Times New Roman" w:cs="Times New Roman" w:eastAsia="Times New Roman" w:hAnsi="Times New Roman"/>
          <w:sz w:val="36"/>
          <w:szCs w:val="36"/>
          <w:color w:val="auto"/>
          <w:vertAlign w:val="superscript"/>
        </w:rPr>
      </w:pPr>
    </w:p>
    <w:p>
      <w:pPr>
        <w:ind w:left="100" w:hanging="100"/>
        <w:spacing w:after="0" w:line="184" w:lineRule="auto"/>
        <w:tabs>
          <w:tab w:leader="none" w:pos="100" w:val="left"/>
        </w:tabs>
        <w:numPr>
          <w:ilvl w:val="0"/>
          <w:numId w:val="10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Non-executive Director</w:t>
      </w:r>
    </w:p>
    <w:p>
      <w:pPr>
        <w:ind w:left="220" w:right="280" w:hanging="220"/>
        <w:spacing w:after="0" w:line="254" w:lineRule="auto"/>
        <w:tabs>
          <w:tab w:leader="none" w:pos="1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Non-executive Director since 27.12.2024</w:t>
      </w:r>
    </w:p>
    <w:p>
      <w:pPr>
        <w:ind w:left="220" w:right="220" w:hanging="220"/>
        <w:spacing w:after="0" w:line="271" w:lineRule="auto"/>
        <w:tabs>
          <w:tab w:leader="none" w:pos="1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CFO (Chief Financial Officer) (SCHMID Group N. V.: until 31.12.2025)</w:t>
      </w:r>
    </w:p>
    <w:p>
      <w:pPr>
        <w:ind w:left="220" w:right="80" w:hanging="220"/>
        <w:spacing w:after="0" w:line="276" w:lineRule="auto"/>
        <w:tabs>
          <w:tab w:leader="none" w:pos="11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CSO (Chief Sales Officer) since 01.03.2025</w:t>
      </w:r>
    </w:p>
    <w:p>
      <w:pPr>
        <w:spacing w:after="0" w:line="1" w:lineRule="exact"/>
        <w:rPr>
          <w:rFonts w:ascii="Times New Roman" w:cs="Times New Roman" w:eastAsia="Times New Roman" w:hAnsi="Times New Roman"/>
          <w:sz w:val="18"/>
          <w:szCs w:val="18"/>
          <w:color w:val="auto"/>
        </w:rPr>
      </w:pPr>
    </w:p>
    <w:p>
      <w:pPr>
        <w:ind w:left="100" w:hanging="100"/>
        <w:spacing w:after="0" w:line="196" w:lineRule="auto"/>
        <w:tabs>
          <w:tab w:leader="none" w:pos="100" w:val="left"/>
        </w:tabs>
        <w:numPr>
          <w:ilvl w:val="0"/>
          <w:numId w:val="10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COO (Chief Operational Officer)</w:t>
      </w:r>
    </w:p>
    <w:p>
      <w:pPr>
        <w:spacing w:after="0" w:line="1" w:lineRule="exact"/>
        <w:rPr>
          <w:rFonts w:ascii="Times New Roman" w:cs="Times New Roman" w:eastAsia="Times New Roman" w:hAnsi="Times New Roman"/>
          <w:sz w:val="36"/>
          <w:szCs w:val="36"/>
          <w:color w:val="auto"/>
          <w:vertAlign w:val="superscript"/>
        </w:rPr>
      </w:pPr>
    </w:p>
    <w:p>
      <w:pPr>
        <w:ind w:left="100" w:hanging="100"/>
        <w:spacing w:after="0" w:line="181" w:lineRule="auto"/>
        <w:tabs>
          <w:tab w:leader="none" w:pos="100" w:val="left"/>
        </w:tabs>
        <w:numPr>
          <w:ilvl w:val="0"/>
          <w:numId w:val="105"/>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CTO (Chief Technology Officer)</w:t>
      </w:r>
    </w:p>
    <w:p>
      <w:pPr>
        <w:spacing w:after="0" w:line="1" w:lineRule="exact"/>
        <w:rPr>
          <w:rFonts w:ascii="Times New Roman" w:cs="Times New Roman" w:eastAsia="Times New Roman" w:hAnsi="Times New Roman"/>
          <w:sz w:val="31"/>
          <w:szCs w:val="31"/>
          <w:color w:val="auto"/>
          <w:vertAlign w:val="superscript"/>
        </w:rPr>
      </w:pPr>
    </w:p>
    <w:p>
      <w:pPr>
        <w:ind w:left="100" w:hanging="100"/>
        <w:spacing w:after="0" w:line="219" w:lineRule="auto"/>
        <w:tabs>
          <w:tab w:leader="none" w:pos="100" w:val="left"/>
        </w:tabs>
        <w:numPr>
          <w:ilvl w:val="0"/>
          <w:numId w:val="10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CIO (Chief Innovation Officer)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46" w:lineRule="exact"/>
        <w:rPr>
          <w:sz w:val="20"/>
          <w:szCs w:val="20"/>
          <w:color w:val="auto"/>
        </w:rPr>
      </w:pPr>
    </w:p>
    <w:p>
      <w:pPr>
        <w:sectPr>
          <w:pgSz w:w="11900" w:h="16838" w:orient="portrait"/>
          <w:cols w:equalWidth="0" w:num="3">
            <w:col w:w="6660" w:space="0"/>
            <w:col w:w="2720" w:space="80"/>
            <w:col w:w="41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The annual remuneration and related compensation costs recognized as expense during the reporting</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period only includes short-term employee benefits and amounts to €1,906 thousand in 2025 (2024:</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€1,428 thousand, 2023: €1,562 thousand). Short-term benefits include salaries, bonus, and other benefits</w:t>
      </w:r>
    </w:p>
    <w:p>
      <w:pPr>
        <w:sectPr>
          <w:pgSz w:w="11900" w:h="16838" w:orient="portrait"/>
          <w:cols w:equalWidth="0" w:num="1">
            <w:col w:w="9879"/>
          </w:cols>
          <w:pgMar w:left="580" w:top="97" w:right="1440" w:bottom="1440" w:gutter="0" w:footer="0" w:header="0"/>
          <w:type w:val="continuous"/>
        </w:sect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97" w:lineRule="auto"/>
        <w:rPr>
          <w:sz w:val="20"/>
          <w:szCs w:val="20"/>
          <w:color w:val="auto"/>
        </w:rPr>
      </w:pPr>
      <w:r>
        <w:rPr>
          <w:rFonts w:ascii="Times New Roman" w:cs="Times New Roman" w:eastAsia="Times New Roman" w:hAnsi="Times New Roman"/>
          <w:sz w:val="18"/>
          <w:szCs w:val="18"/>
          <w:color w:val="auto"/>
        </w:rPr>
        <w:t>such as medical, death and disability coverage, Company car and other usual facilities as applicable. The outstanding balances also include the liability in connection with the defined benefit obligation.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48" w:lineRule="exact"/>
        <w:rPr>
          <w:sz w:val="20"/>
          <w:szCs w:val="20"/>
          <w:color w:val="auto"/>
        </w:rPr>
      </w:pPr>
    </w:p>
    <w:p>
      <w:pPr>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In addition to the entities included in the consolidated financial statements and the at equity investments (see note 2. Basis of Presentation), SCHMID maintains relationships with other related parties. Related parties comprise the following entities (not individuals):</w:t>
      </w:r>
    </w:p>
    <w:p>
      <w:pPr>
        <w:sectPr>
          <w:pgSz w:w="11900" w:h="16838" w:orient="portrait"/>
          <w:cols w:equalWidth="0" w:num="1">
            <w:col w:w="9879"/>
          </w:cols>
          <w:pgMar w:left="580" w:top="97" w:right="1440" w:bottom="1440" w:gutter="0" w:footer="0" w:header="0"/>
        </w:sectPr>
      </w:pP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9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Relationship</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SCHMID Avaco Korea, Co. Ltd. (SAK)</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w:t>
            </w: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SCHMID Energy Systems GmbH</w:t>
            </w: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Equity method investee</w:t>
            </w:r>
          </w:p>
        </w:tc>
      </w:tr>
      <w:tr>
        <w:trPr>
          <w:trHeight w:val="25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Schmid Verwaltungs GmbH</w:t>
            </w: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Controlled by Christian Schmid</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 Schmid Beteiligungsverwaltung GmbH</w:t>
            </w:r>
          </w:p>
        </w:tc>
        <w:tc>
          <w:tcPr>
            <w:tcW w:w="420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Controlled by Christian Schmid</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 Schmid Beteiligung GmbH &amp; Co. KG</w:t>
            </w:r>
          </w:p>
        </w:tc>
        <w:tc>
          <w:tcPr>
            <w:tcW w:w="42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Controlled by Christian Schmid</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Schmid Aequitas Verwaltung GmbH</w:t>
            </w:r>
          </w:p>
        </w:tc>
        <w:tc>
          <w:tcPr>
            <w:tcW w:w="42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Controlled by Anette Schmid</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Schmid Aequitas GmbH &amp; Co. KG</w:t>
            </w:r>
          </w:p>
        </w:tc>
        <w:tc>
          <w:tcPr>
            <w:tcW w:w="42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Controlled by Anette Schmid</w:t>
            </w:r>
          </w:p>
        </w:tc>
      </w:tr>
      <w:tr>
        <w:trPr>
          <w:trHeight w:val="27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Schmid Grundstücksverwaltung GmbH</w:t>
            </w:r>
          </w:p>
        </w:tc>
        <w:tc>
          <w:tcPr>
            <w:tcW w:w="42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Jointly controlled by Christian and Anette Schmid</w:t>
            </w:r>
          </w:p>
        </w:tc>
      </w:tr>
      <w:tr>
        <w:trPr>
          <w:trHeight w:val="46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SCHMID Grundstücke GmbH &amp; Co. KG</w:t>
            </w:r>
          </w:p>
        </w:tc>
        <w:tc>
          <w:tcPr>
            <w:tcW w:w="420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Jointly controlled by Christian and Anette Schmid</w:t>
            </w:r>
          </w:p>
        </w:tc>
      </w:tr>
    </w:tbl>
    <w:p>
      <w:pPr>
        <w:ind w:left="1620"/>
        <w:spacing w:after="0"/>
        <w:rPr>
          <w:sz w:val="20"/>
          <w:szCs w:val="20"/>
          <w:color w:val="auto"/>
        </w:rPr>
      </w:pPr>
      <w:r>
        <w:rPr>
          <w:rFonts w:ascii="Times New Roman" w:cs="Times New Roman" w:eastAsia="Times New Roman" w:hAnsi="Times New Roman"/>
          <w:sz w:val="18"/>
          <w:szCs w:val="18"/>
          <w:color w:val="auto"/>
        </w:rPr>
        <w:t>The following transactions are proceeded with related parties.</w:t>
      </w:r>
    </w:p>
    <w:p>
      <w:pPr>
        <w:spacing w:after="0" w:line="7"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28"/>
                <w:szCs w:val="28"/>
                <w:b w:val="1"/>
                <w:bCs w:val="1"/>
                <w:color w:val="auto"/>
                <w:vertAlign w:val="subscript"/>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8"/>
                <w:szCs w:val="28"/>
                <w:b w:val="1"/>
                <w:bCs w:val="1"/>
                <w:color w:val="auto"/>
                <w:vertAlign w:val="subscript"/>
              </w:rPr>
              <w:t>​</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 on loans granted to</w:t>
            </w: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21"/>
                <w:szCs w:val="21"/>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 ​​ 1,077​</w:t>
            </w:r>
          </w:p>
        </w:tc>
      </w:tr>
      <w:tr>
        <w:trPr>
          <w:trHeight w:val="25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 on loans received from</w:t>
            </w: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22"/>
                <w:szCs w:val="22"/>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Key management personnel</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916​​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7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Purchases of goods or services</w:t>
            </w: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23"/>
                <w:szCs w:val="23"/>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investees</w:t>
            </w: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​​2,438​​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158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​​4,552​​ ​​1,663​​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 of goods or services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3"/>
                <w:szCs w:val="23"/>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investees</w:t>
            </w: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31​​ ​​11,801​</w:t>
            </w:r>
          </w:p>
        </w:tc>
      </w:tr>
      <w:tr>
        <w:trPr>
          <w:trHeight w:val="27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Salary and Bonus</w:t>
            </w:r>
          </w:p>
        </w:tc>
        <w:tc>
          <w:tcPr>
            <w:tcW w:w="2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shd w:val="clear" w:color="auto" w:fill="CCEEFF"/>
          </w:tcPr>
          <w:p>
            <w:pPr>
              <w:spacing w:after="0"/>
              <w:rPr>
                <w:sz w:val="23"/>
                <w:szCs w:val="23"/>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933​​ ​​1,055​​ ​​ 1,149​</w:t>
            </w:r>
          </w:p>
        </w:tc>
      </w:tr>
      <w:tr>
        <w:trPr>
          <w:trHeight w:val="27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management personnel</w:t>
            </w:r>
          </w:p>
        </w:tc>
        <w:tc>
          <w:tcPr>
            <w:tcW w:w="2000" w:type="dxa"/>
            <w:vAlign w:val="bottom"/>
            <w:gridSpan w:val="9"/>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​​1,906​​ ​​1,428​​ ​​ 1,562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280" w:type="dxa"/>
            <w:vAlign w:val="bottom"/>
          </w:tcPr>
          <w:p>
            <w:pPr>
              <w:spacing w:after="0"/>
              <w:rPr>
                <w:sz w:val="24"/>
                <w:szCs w:val="24"/>
                <w:color w:val="auto"/>
              </w:rPr>
            </w:pPr>
          </w:p>
        </w:tc>
        <w:tc>
          <w:tcPr>
            <w:tcW w:w="1760" w:type="dxa"/>
            <w:vAlign w:val="bottom"/>
            <w:gridSpan w:val="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balances – Liabilities</w:t>
            </w:r>
          </w:p>
        </w:tc>
        <w:tc>
          <w:tcPr>
            <w:tcW w:w="2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80" w:type="dxa"/>
            <w:vAlign w:val="bottom"/>
          </w:tcPr>
          <w:p>
            <w:pPr>
              <w:spacing w:after="0"/>
              <w:rPr>
                <w:sz w:val="22"/>
                <w:szCs w:val="22"/>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25,611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29,486</w:t>
            </w:r>
            <w:r>
              <w:rPr>
                <w:rFonts w:ascii="Times New Roman" w:cs="Times New Roman" w:eastAsia="Times New Roman" w:hAnsi="Times New Roman"/>
                <w:sz w:val="18"/>
                <w:szCs w:val="18"/>
                <w:b w:val="1"/>
                <w:bCs w:val="1"/>
                <w:color w:val="auto"/>
              </w:rPr>
              <w:t xml:space="preserve"> ​</w:t>
            </w:r>
          </w:p>
        </w:tc>
      </w:tr>
      <w:tr>
        <w:trPr>
          <w:trHeight w:val="257"/>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investees</w:t>
            </w:r>
          </w:p>
        </w:tc>
        <w:tc>
          <w:tcPr>
            <w:tcW w:w="2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2,663 ​​ ​</w:t>
            </w: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2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26,609 ​​ ​</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16,973</w:t>
            </w:r>
            <w:r>
              <w:rPr>
                <w:rFonts w:ascii="Times New Roman" w:cs="Times New Roman" w:eastAsia="Times New Roman" w:hAnsi="Times New Roman"/>
                <w:sz w:val="18"/>
                <w:szCs w:val="18"/>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-3496945</wp:posOffset>
            </wp:positionV>
            <wp:extent cx="13716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-3496945</wp:posOffset>
            </wp:positionV>
            <wp:extent cx="137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-3496945</wp:posOffset>
            </wp:positionV>
            <wp:extent cx="13716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-676275</wp:posOffset>
            </wp:positionV>
            <wp:extent cx="13716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-676275</wp:posOffset>
            </wp:positionV>
            <wp:extent cx="13716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Liabilities to other related parties include financial liabilities related to the Black Forest term loan. For further information, please see note 29. Non-current and current financial liabilities.</w:t>
      </w:r>
    </w:p>
    <w:tbl>
      <w:tblPr>
        <w:tblLayout w:type="fixed"/>
        <w:tblInd w:w="1620" w:type="dxa"/>
        <w:tblCellMar>
          <w:top w:w="0" w:type="dxa"/>
          <w:left w:w="0" w:type="dxa"/>
          <w:bottom w:w="0" w:type="dxa"/>
          <w:right w:w="0" w:type="dxa"/>
        </w:tblCellMar>
      </w:tblPr>
      <w:tr>
        <w:trPr>
          <w:trHeight w:val="351"/>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 thousand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12/31/2025</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12/31/2024 </w:t>
            </w:r>
            <w:r>
              <w:rPr>
                <w:rFonts w:ascii="Times New Roman" w:cs="Times New Roman" w:eastAsia="Times New Roman" w:hAnsi="Times New Roman"/>
                <w:sz w:val="28"/>
                <w:szCs w:val="28"/>
                <w:b w:val="1"/>
                <w:bCs w:val="1"/>
                <w:color w:val="auto"/>
                <w:vertAlign w:val="subscript"/>
              </w:rPr>
              <w:t>​</w:t>
            </w:r>
          </w:p>
        </w:tc>
      </w:tr>
      <w:tr>
        <w:trPr>
          <w:trHeight w:val="20"/>
        </w:trPr>
        <w:tc>
          <w:tcPr>
            <w:tcW w:w="5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balances – Receivables</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investees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​4,261</w:t>
            </w:r>
          </w:p>
        </w:tc>
        <w:tc>
          <w:tcPr>
            <w:tcW w:w="1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​4,068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related parties</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​1,445</w:t>
            </w:r>
          </w:p>
        </w:tc>
        <w:tc>
          <w:tcPr>
            <w:tcW w:w="14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3"/>
              </w:rPr>
              <w:t>​1,286</w:t>
            </w:r>
          </w:p>
        </w:tc>
        <w:tc>
          <w:tcPr>
            <w:tcW w:w="14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-496570</wp:posOffset>
            </wp:positionV>
            <wp:extent cx="13716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-496570</wp:posOffset>
            </wp:positionV>
            <wp:extent cx="13716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significant increase in Sale of goods or services as well as in Outstanding balances — Liabilities in 2023 are mainly due to the sale and leaseback transaction (for further information please see note 21. Leases).</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38. EVENTS AFTER THE REPORTING PERIOD</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$30 Million 7.00% Senior Convertible Note due 2028</w:t>
      </w:r>
    </w:p>
    <w:p>
      <w:pPr>
        <w:spacing w:after="0" w:line="14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two-year maturity and will mature on January 21, 2028, unless previously converted into ordinary shares of the Company. The notes were issued at 98% of principal amount pursuant to an indenture and were structured to be funded in two tranches:</w:t>
      </w:r>
    </w:p>
    <w:p>
      <w:pPr>
        <w:spacing w:after="0" w:line="4" w:lineRule="exact"/>
        <w:rPr>
          <w:sz w:val="20"/>
          <w:szCs w:val="20"/>
          <w:color w:val="auto"/>
        </w:rPr>
      </w:pPr>
    </w:p>
    <w:p>
      <w:pPr>
        <w:ind w:left="1260" w:right="559"/>
        <w:spacing w:after="0" w:line="243" w:lineRule="auto"/>
        <w:tabs>
          <w:tab w:leader="none" w:pos="14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tranche of $15.0 million was funded on January 21, 2026 and (ii) parts of the second tranche of $15.0 million was funded on March 5, 2026.</w:t>
      </w:r>
    </w:p>
    <w:p>
      <w:pPr>
        <w:spacing w:after="0" w:line="114"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Following the issuance of the second tranche, the purchasers of the convertible notes issued six separate conversion notices, converting an aggregate principal amount of $12 million into 2,197,898 new ordinary shares of the Company.</w:t>
      </w:r>
    </w:p>
    <w:p>
      <w:pPr>
        <w:spacing w:after="0" w:line="10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As a result of these conversions, the total number of outstanding shares increased to 57,800,864. This number includes 5,000,000 non-voting earn-out shares held by Anette Schmid and Christian Schmid, which are subject to cancellation on April 30, 2027, should the share price not reach $15.00 with respect to 2,500,000 earn-out shares, or $18.00 with respect to the remaining 2,500,000 earn-out shares.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Secured Two-Tranche Term Loan Facility</w:t>
      </w:r>
    </w:p>
    <w:p>
      <w:pPr>
        <w:spacing w:after="0" w:line="158"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Q1 2026, SCHMID agreed with the lender of the term loan facility not to draw the second tranche (up to € 7,500 thousand). This does not affect the First tranche incentive options or the conversion right of the first tranche and therefore has no accounting implications.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XJ Harbour Set-off agreement</w:t>
      </w:r>
    </w:p>
    <w:p>
      <w:pPr>
        <w:spacing w:after="0" w:line="14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Set-off Agreement and served to fully and irrevocably settle the outstanding claims of XJ Harbour against the Company by way of a debt-equity swap.</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Standby Equity Purchase Agreement (“SEPA”)</w:t>
      </w:r>
    </w:p>
    <w:p>
      <w:pPr>
        <w:spacing w:after="0" w:line="14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w:t>
      </w:r>
    </w:p>
    <w:p>
      <w:pPr>
        <w:spacing w:after="0" w:line="116"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Set-off of €30.8 million financial liabilities through planned share issuances</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w:t>
      </w:r>
    </w:p>
    <w:p>
      <w:pPr>
        <w:spacing w:after="0" w:line="10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contemplated share issuances are subject to approval by a shareholders’ meeting scheduled for May 20, 2026. The number of shares to be issued will be determined based on the five-trading-day volume-weighted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1)"/>
      <w:numFmt w:val="lowerRoman"/>
      <w:start w:val="1"/>
    </w:lvl>
  </w:abstractNum>
  <w:abstractNum w:abstractNumId="8">
    <w:nsid w:val="180115BE"/>
    <w:multiLevelType w:val="hybridMultilevel"/>
    <w:lvl w:ilvl="0">
      <w:lvlJc w:val="left"/>
      <w:lvlText w:val="(%1)"/>
      <w:numFmt w:val="lowerRoman"/>
      <w:start w:val="3"/>
    </w:lvl>
  </w:abstractNum>
  <w:abstractNum w:abstractNumId="9">
    <w:nsid w:val="235BA861"/>
    <w:multiLevelType w:val="hybridMultilevel"/>
    <w:lvl w:ilvl="0">
      <w:lvlJc w:val="left"/>
      <w:lvlText w:val="(%1)"/>
      <w:numFmt w:val="lowerRoman"/>
      <w:start w:val="2"/>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1)"/>
      <w:numFmt w:val="lowerRoman"/>
      <w:start w:val="1"/>
    </w:lvl>
    <w:lvl w:ilvl="1">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1)"/>
      <w:numFmt w:val="lowerRoman"/>
      <w:start w:val="2"/>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lowerRoman"/>
      <w:start w:val="2"/>
    </w:lvl>
  </w:abstractNum>
  <w:abstractNum w:abstractNumId="28">
    <w:nsid w:val="1381823A"/>
    <w:multiLevelType w:val="hybridMultilevel"/>
    <w:lvl w:ilvl="0">
      <w:lvlJc w:val="left"/>
      <w:lvlText w:val="(%1)"/>
      <w:numFmt w:val="lowerRoman"/>
      <w:start w:val="3"/>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lvl w:ilvl="1">
      <w:lvlJc w:val="left"/>
      <w:lvlText w:val="•"/>
      <w:numFmt w:val="bullet"/>
      <w:start w:val="1"/>
    </w:lvl>
  </w:abstractNum>
  <w:abstractNum w:abstractNumId="39">
    <w:nsid w:val="1EBA5D23"/>
    <w:multiLevelType w:val="hybridMultilevel"/>
    <w:lvl w:ilvl="0">
      <w:lvlJc w:val="left"/>
      <w:lvlText w:val="•"/>
      <w:numFmt w:val="bullet"/>
      <w:start w:val="1"/>
    </w:lvl>
    <w:lvl w:ilvl="1">
      <w:lvlJc w:val="left"/>
      <w:lvlText w:val="•"/>
      <w:numFmt w:val="bullet"/>
      <w:start w:val="1"/>
    </w:lvl>
  </w:abstractNum>
  <w:abstractNum w:abstractNumId="40">
    <w:nsid w:val="661E3F1E"/>
    <w:multiLevelType w:val="hybridMultilevel"/>
    <w:lvl w:ilvl="0">
      <w:lvlJc w:val="left"/>
      <w:lvlText w:val="(%1)"/>
      <w:numFmt w:val="lowerRoman"/>
      <w:start w:val="1"/>
    </w:lvl>
  </w:abstractNum>
  <w:abstractNum w:abstractNumId="41">
    <w:nsid w:val="5DC79EA8"/>
    <w:multiLevelType w:val="hybridMultilevel"/>
    <w:lvl w:ilvl="0">
      <w:lvlJc w:val="left"/>
      <w:lvlText w:val="%1."/>
      <w:numFmt w:val="decimal"/>
      <w:start w:val="1"/>
    </w:lvl>
  </w:abstractNum>
  <w:abstractNum w:abstractNumId="42">
    <w:nsid w:val="540A471C"/>
    <w:multiLevelType w:val="hybridMultilevel"/>
    <w:lvl w:ilvl="0">
      <w:lvlJc w:val="left"/>
      <w:lvlText w:val="%1."/>
      <w:numFmt w:val="decimal"/>
      <w:start w:val="3"/>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1)"/>
      <w:numFmt w:val="lowerLetter"/>
      <w:start w:val="3"/>
    </w:lvl>
  </w:abstractNum>
  <w:abstractNum w:abstractNumId="45">
    <w:nsid w:val="613EFDC5"/>
    <w:multiLevelType w:val="hybridMultilevel"/>
    <w:lvl w:ilvl="0">
      <w:lvlJc w:val="left"/>
      <w:lvlText w:val="(%1)"/>
      <w:numFmt w:val="lowerRoman"/>
      <w:start w:val="2"/>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1)"/>
      <w:numFmt w:val="lowerRoman"/>
      <w:start w:val="1"/>
    </w:lvl>
    <w:lvl w:ilvl="1">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1)"/>
      <w:numFmt w:val="lowerRoman"/>
      <w:start w:val="10"/>
    </w:lvl>
  </w:abstractNum>
  <w:abstractNum w:abstractNumId="54">
    <w:nsid w:val="4962813B"/>
    <w:multiLevelType w:val="hybridMultilevel"/>
    <w:lvl w:ilvl="0">
      <w:lvlJc w:val="left"/>
      <w:lvlText w:val="(%1)"/>
      <w:numFmt w:val="lowerRoman"/>
      <w:start w:val="2"/>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1)"/>
      <w:numFmt w:val="decimal"/>
      <w:start w:val="4"/>
    </w:lvl>
  </w:abstractNum>
  <w:abstractNum w:abstractNumId="61">
    <w:nsid w:val="100F59DC"/>
    <w:multiLevelType w:val="hybridMultilevel"/>
    <w:lvl w:ilvl="0">
      <w:lvlJc w:val="left"/>
      <w:lvlText w:val="(%1)"/>
      <w:numFmt w:val="lowerRoman"/>
      <w:start w:val="3"/>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1)"/>
      <w:numFmt w:val="lowerRoman"/>
      <w:start w:val="3"/>
    </w:lvl>
  </w:abstractNum>
  <w:abstractNum w:abstractNumId="64">
    <w:nsid w:val="6F6DD9AC"/>
    <w:multiLevelType w:val="hybridMultilevel"/>
    <w:lvl w:ilvl="0">
      <w:lvlJc w:val="left"/>
      <w:lvlText w:val="(%1)"/>
      <w:numFmt w:val="lowerLetter"/>
      <w:start w:val="2"/>
    </w:lvl>
  </w:abstractNum>
  <w:abstractNum w:abstractNumId="65">
    <w:nsid w:val="94211F2"/>
    <w:multiLevelType w:val="hybridMultilevel"/>
    <w:lvl w:ilvl="0">
      <w:lvlJc w:val="left"/>
      <w:lvlText w:val="(%1)"/>
      <w:numFmt w:val="lowerRoman"/>
      <w:start w:val="1"/>
    </w:lvl>
  </w:abstractNum>
  <w:abstractNum w:abstractNumId="66">
    <w:nsid w:val="885E1B"/>
    <w:multiLevelType w:val="hybridMultilevel"/>
    <w:lvl w:ilvl="0">
      <w:lvlJc w:val="left"/>
      <w:lvlText w:val="(%1)"/>
      <w:numFmt w:val="lowerRoman"/>
      <w:start w:val="1"/>
    </w:lvl>
  </w:abstractNum>
  <w:abstractNum w:abstractNumId="67">
    <w:nsid w:val="76272110"/>
    <w:multiLevelType w:val="hybridMultilevel"/>
    <w:lvl w:ilvl="0">
      <w:lvlJc w:val="left"/>
      <w:lvlText w:val="(%1)"/>
      <w:numFmt w:val="lowerRoman"/>
      <w:start w:val="1"/>
    </w:lvl>
  </w:abstractNum>
  <w:abstractNum w:abstractNumId="68">
    <w:nsid w:val="4C04A8AF"/>
    <w:multiLevelType w:val="hybridMultilevel"/>
    <w:lvl w:ilvl="0">
      <w:lvlJc w:val="left"/>
      <w:lvlText w:val="(%1)"/>
      <w:numFmt w:val="lowerRoman"/>
      <w:start w:val="1"/>
    </w:lvl>
  </w:abstractNum>
  <w:abstractNum w:abstractNumId="69">
    <w:nsid w:val="1716703B"/>
    <w:multiLevelType w:val="hybridMultilevel"/>
    <w:lvl w:ilvl="0">
      <w:lvlJc w:val="left"/>
      <w:lvlText w:val="(%1)"/>
      <w:numFmt w:val="lowerRoman"/>
      <w:start w:val="1"/>
    </w:lvl>
  </w:abstractNum>
  <w:abstractNum w:abstractNumId="70">
    <w:nsid w:val="14E17E33"/>
    <w:multiLevelType w:val="hybridMultilevel"/>
    <w:lvl w:ilvl="0">
      <w:lvlJc w:val="left"/>
      <w:lvlText w:val="(%1)"/>
      <w:numFmt w:val="decimal"/>
    </w:lvl>
  </w:abstractNum>
  <w:abstractNum w:abstractNumId="71">
    <w:nsid w:val="3222E7CD"/>
    <w:multiLevelType w:val="hybridMultilevel"/>
    <w:lvl w:ilvl="0">
      <w:lvlJc w:val="left"/>
      <w:lvlText w:val="(%1)"/>
      <w:numFmt w:val="lowerRoman"/>
      <w:start w:val="2"/>
    </w:lvl>
  </w:abstractNum>
  <w:abstractNum w:abstractNumId="72">
    <w:nsid w:val="74DE0EE3"/>
    <w:multiLevelType w:val="hybridMultilevel"/>
    <w:lvl w:ilvl="0">
      <w:lvlJc w:val="left"/>
      <w:lvlText w:val="(%1)"/>
      <w:numFmt w:val="lowerRoman"/>
      <w:start w:val="1"/>
    </w:lvl>
  </w:abstractNum>
  <w:abstractNum w:abstractNumId="73">
    <w:nsid w:val="68EBC550"/>
    <w:multiLevelType w:val="hybridMultilevel"/>
    <w:lvl w:ilvl="0">
      <w:lvlJc w:val="left"/>
      <w:lvlText w:val="(%1)"/>
      <w:numFmt w:val="lowerRoman"/>
      <w:start w:val="3"/>
    </w:lvl>
  </w:abstractNum>
  <w:abstractNum w:abstractNumId="74">
    <w:nsid w:val="2DF6D648"/>
    <w:multiLevelType w:val="hybridMultilevel"/>
    <w:lvl w:ilvl="0">
      <w:lvlJc w:val="left"/>
      <w:lvlText w:val="(%1)"/>
      <w:numFmt w:val="lowerRoman"/>
      <w:start w:val="2"/>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
      <w:numFmt w:val="bullet"/>
      <w:start w:val="1"/>
    </w:lvl>
  </w:abstractNum>
  <w:abstractNum w:abstractNumId="77">
    <w:nsid w:val="39EE015C"/>
    <w:multiLevelType w:val="hybridMultilevel"/>
    <w:lvl w:ilvl="0">
      <w:lvlJc w:val="left"/>
      <w:lvlText w:val="(%1)"/>
      <w:numFmt w:val="lowerRoman"/>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1)"/>
      <w:numFmt w:val="lowerRoman"/>
      <w:start w:val="2"/>
    </w:lvl>
  </w:abstractNum>
  <w:abstractNum w:abstractNumId="80">
    <w:nsid w:val="43F18422"/>
    <w:multiLevelType w:val="hybridMultilevel"/>
    <w:lvl w:ilvl="0">
      <w:lvlJc w:val="left"/>
      <w:lvlText w:val="(%1)"/>
      <w:numFmt w:val="lowerRoman"/>
      <w:start w:val="2"/>
    </w:lvl>
  </w:abstractNum>
  <w:abstractNum w:abstractNumId="81">
    <w:nsid w:val="60EF0119"/>
    <w:multiLevelType w:val="hybridMultilevel"/>
    <w:lvl w:ilvl="0">
      <w:lvlJc w:val="left"/>
      <w:lvlText w:val="(%1)"/>
      <w:numFmt w:val="lowerRoman"/>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1)"/>
      <w:numFmt w:val="decimal"/>
      <w:start w:val="1"/>
    </w:lvl>
  </w:abstractNum>
  <w:abstractNum w:abstractNumId="84">
    <w:nsid w:val="49DA307D"/>
    <w:multiLevelType w:val="hybridMultilevel"/>
    <w:lvl w:ilvl="0">
      <w:lvlJc w:val="left"/>
      <w:lvlText w:val="%1."/>
      <w:numFmt w:val="lowerRoman"/>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1."/>
      <w:numFmt w:val="decimal"/>
      <w:start w:val="4"/>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decimal"/>
      <w:start w:val="7"/>
    </w:lvl>
  </w:abstractNum>
  <w:abstractNum w:abstractNumId="91">
    <w:nsid w:val="7672BD23"/>
    <w:multiLevelType w:val="hybridMultilevel"/>
    <w:lvl w:ilvl="0">
      <w:lvlJc w:val="left"/>
      <w:lvlText w:val="(%1)"/>
      <w:numFmt w:val="decimal"/>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
      <w:numFmt w:val="bullet"/>
      <w:start w:val="1"/>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
      <w:numFmt w:val="bullet"/>
      <w:start w:val="1"/>
    </w:lvl>
  </w:abstractNum>
  <w:abstractNum w:abstractNumId="102">
    <w:nsid w:val="71C91298"/>
    <w:multiLevelType w:val="hybridMultilevel"/>
    <w:lvl w:ilvl="0">
      <w:lvlJc w:val="left"/>
      <w:lvlText w:val="%1."/>
      <w:numFmt w:val="decimal"/>
      <w:start w:val="34"/>
    </w:lvl>
  </w:abstractNum>
  <w:abstractNum w:abstractNumId="103">
    <w:nsid w:val="9DAF632"/>
    <w:multiLevelType w:val="hybridMultilevel"/>
    <w:lvl w:ilvl="0">
      <w:lvlJc w:val="left"/>
      <w:lvlText w:val="%1"/>
      <w:numFmt w:val="upperLetter"/>
      <w:start w:val="53"/>
    </w:lvl>
  </w:abstractNum>
  <w:abstractNum w:abstractNumId="104">
    <w:nsid w:val="53299938"/>
    <w:multiLevelType w:val="hybridMultilevel"/>
    <w:lvl w:ilvl="0">
      <w:lvlJc w:val="left"/>
      <w:lvlText w:val="​"/>
      <w:numFmt w:val="bullet"/>
      <w:start w:val="1"/>
    </w:lvl>
  </w:abstractNum>
  <w:abstractNum w:abstractNumId="105">
    <w:nsid w:val="1FBFE8E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2026-06-24T05:28:15Z</dcterms:created>
  <dcterms:modified xsi:type="dcterms:W3CDTF">2026-06-24T05:28:15Z</dcterms:modified>
</cp:coreProperties>
</file>