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400"/>
        <w:ind w:left="200" w:right="200" w:hanging="0"/>
        <w:jc w:val="left"/>
        <w:rPr/>
      </w:pPr>
      <w:hyperlink w:anchor="TOC">
        <w:bookmarkStart w:id="0" w:name="shmd-20251231xf1.htm"/>
        <w:bookmarkStart w:id="1" w:name="ksshmd20251231xf1"/>
        <w:bookmarkEnd w:id="0"/>
        <w:bookmarkEnd w:id="1"/>
        <w:r>
          <w:rPr>
            <w:rStyle w:val="InternetLink"/>
            <w:rFonts w:ascii="Times New Roman;Times;serif" w:hAnsi="Times New Roman;Times;serif"/>
            <w:b w:val="false"/>
            <w:i w:val="false"/>
            <w:caps w:val="false"/>
            <w:smallCaps w:val="false"/>
            <w:sz w:val="20"/>
          </w:rPr>
          <w:t>Table of Contents</w:t>
        </w:r>
      </w:hyperlink>
      <w:r>
        <mc:AlternateContent>
          <mc:Choice Requires="wps">
            <w:drawing>
              <wp:anchor behindDoc="0" distT="0" distB="0" distL="0" distR="0" simplePos="0" locked="0" layoutInCell="1" allowOverlap="1" relativeHeight="2">
                <wp:simplePos x="0" y="0"/>
                <wp:positionH relativeFrom="page">
                  <wp:posOffset>0</wp:posOffset>
                </wp:positionH>
                <wp:positionV relativeFrom="page">
                  <wp:posOffset>174625</wp:posOffset>
                </wp:positionV>
                <wp:extent cx="457835" cy="10692130"/>
                <wp:effectExtent l="0" t="0" r="0" b="0"/>
                <wp:wrapNone/>
                <wp:docPr id="1" name="Frame7"/>
                <a:graphic xmlns:a="http://schemas.openxmlformats.org/drawingml/2006/main">
                  <a:graphicData uri="http://schemas.microsoft.com/office/word/2010/wordprocessingShape">
                    <wps:wsp>
                      <wps:cNvSpPr txBox="1"/>
                      <wps:spPr>
                        <a:xfrm>
                          <a:off x="0" y="0"/>
                          <a:ext cx="457835" cy="10692130"/>
                        </a:xfrm>
                        <a:prstGeom prst="rect"/>
                        <a:solidFill>
                          <a:srgbClr val="FFFFFF"/>
                        </a:solidFill>
                      </wps:spPr>
                      <wps:txbx>
                        <w:txbxContent>
                          <w:p>
                            <w:pPr>
                              <w:pStyle w:val="TextBody"/>
                              <w:bidi w:val="0"/>
                              <w:spacing w:before="0" w:after="0"/>
                              <w:ind w:left="200" w:right="200" w:hanging="0"/>
                              <w:jc w:val="both"/>
                              <w:rPr>
                                <w:rFonts w:ascii="Times New Roman;Times;serif" w:hAnsi="Times New Roman;Times;serif"/>
                                <w:b/>
                                <w:color w:val="FF0000"/>
                                <w:sz w:val="20"/>
                              </w:rPr>
                            </w:pPr>
                            <w:r>
                              <w:rPr>
                                <w:rFonts w:ascii="Times New Roman;Times;serif" w:hAnsi="Times New Roman;Times;serif"/>
                                <w:b/>
                                <w:color w:val="FF0000"/>
                                <w:sz w:val="20"/>
                              </w:rPr>
                              <w:t>The information in this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txbxContent>
                      </wps:txbx>
                      <wps:bodyPr anchor="t" lIns="0" tIns="0" rIns="0" bIns="0">
                        <a:noAutofit/>
                      </wps:bodyPr>
                    </wps:wsp>
                  </a:graphicData>
                </a:graphic>
              </wp:anchor>
            </w:drawing>
          </mc:Choice>
          <mc:Fallback>
            <w:pict>
              <v:rect style="position:absolute;rotation:-0;width:36.05pt;height:841.9pt;mso-wrap-distance-left:0pt;mso-wrap-distance-right:0pt;mso-wrap-distance-top:0pt;mso-wrap-distance-bottom:0pt;margin-top:13.75pt;mso-position-vertical-relative:page;margin-left:0pt;mso-position-horizontal-relative:page">
                <v:textbox>
                  <w:txbxContent>
                    <w:p>
                      <w:pPr>
                        <w:pStyle w:val="TextBody"/>
                        <w:bidi w:val="0"/>
                        <w:spacing w:before="0" w:after="0"/>
                        <w:ind w:left="200" w:right="200" w:hanging="0"/>
                        <w:jc w:val="both"/>
                        <w:rPr>
                          <w:rFonts w:ascii="Times New Roman;Times;serif" w:hAnsi="Times New Roman;Times;serif"/>
                          <w:b/>
                          <w:color w:val="FF0000"/>
                          <w:sz w:val="20"/>
                        </w:rPr>
                      </w:pPr>
                      <w:r>
                        <w:rPr>
                          <w:rFonts w:ascii="Times New Roman;Times;serif" w:hAnsi="Times New Roman;Times;serif"/>
                          <w:b/>
                          <w:color w:val="FF0000"/>
                          <w:sz w:val="20"/>
                        </w:rPr>
                        <w:t>The information in this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txbxContent>
                </v:textbox>
                <w10:wrap type="none"/>
              </v:rect>
            </w:pict>
          </mc:Fallback>
        </mc:AlternateContent>
      </w:r>
    </w:p>
    <w:p>
      <w:pPr>
        <w:pStyle w:val="TextBody"/>
        <w:bidi w:val="0"/>
        <w:spacing w:before="0" w:after="50"/>
        <w:ind w:left="200" w:right="200" w:hanging="0"/>
        <w:jc w:val="center"/>
        <w:rPr>
          <w:rFonts w:ascii="Times New Roman;Times;serif" w:hAnsi="Times New Roman;Times;serif"/>
          <w:b/>
          <w:sz w:val="18"/>
        </w:rPr>
      </w:pPr>
      <w:bookmarkStart w:id="2" w:name="_8a911053_790e_4fd0_b15a_e76464509407"/>
      <w:bookmarkEnd w:id="2"/>
      <w:r>
        <w:rPr>
          <w:rFonts w:ascii="Times New Roman;Times;serif" w:hAnsi="Times New Roman;Times;serif"/>
          <w:b/>
          <w:sz w:val="18"/>
        </w:rPr>
        <w:t>As filed with the Securities and Exchange Commission on July 17, 2026</w:t>
      </w:r>
    </w:p>
    <w:p>
      <w:pPr>
        <w:pStyle w:val="TextBody"/>
        <w:bidi w:val="0"/>
        <w:spacing w:before="0" w:after="50"/>
        <w:ind w:left="200" w:right="200" w:hanging="0"/>
        <w:jc w:val="right"/>
        <w:rPr>
          <w:rFonts w:ascii="Times New Roman;Times;serif" w:hAnsi="Times New Roman;Times;serif"/>
          <w:b/>
          <w:sz w:val="18"/>
        </w:rPr>
      </w:pPr>
      <w:r>
        <w:rPr>
          <w:rFonts w:ascii="Times New Roman;Times;serif" w:hAnsi="Times New Roman;Times;serif"/>
          <w:b/>
          <w:sz w:val="18"/>
        </w:rPr>
        <w:t>Registration No. 333-             </w:t>
      </w:r>
    </w:p>
    <w:p>
      <w:pPr>
        <w:pStyle w:val="TextBody"/>
        <w:pBdr>
          <w:top w:val="single" w:sz="24" w:space="1" w:color="000000"/>
          <w:bottom w:val="single" w:sz="2" w:space="1" w:color="000000"/>
        </w:pBdr>
        <w:bidi w:val="0"/>
        <w:spacing w:before="0" w:after="0"/>
        <w:ind w:left="200" w:right="200" w:hanging="0"/>
        <w:jc w:val="center"/>
        <w:rPr/>
      </w:pPr>
      <w:r>
        <w:rPr/>
        <w:t>​</w:t>
      </w:r>
    </w:p>
    <w:p>
      <w:pPr>
        <w:pStyle w:val="TextBody"/>
        <w:bidi w:val="0"/>
        <w:spacing w:before="0" w:after="0"/>
        <w:ind w:left="200" w:right="200" w:hanging="0"/>
        <w:jc w:val="center"/>
        <w:rPr/>
      </w:pPr>
      <w:r>
        <w:rPr/>
        <w:t>​</w:t>
      </w:r>
    </w:p>
    <w:p>
      <w:pPr>
        <w:pStyle w:val="TextBody"/>
        <w:bidi w:val="0"/>
        <w:spacing w:before="0" w:after="0"/>
        <w:ind w:left="200" w:right="200" w:hanging="0"/>
        <w:jc w:val="center"/>
        <w:rPr>
          <w:rFonts w:ascii="Times New Roman;Times;serif" w:hAnsi="Times New Roman;Times;serif"/>
          <w:b/>
          <w:sz w:val="26"/>
        </w:rPr>
      </w:pPr>
      <w:r>
        <w:rPr>
          <w:rFonts w:ascii="Times New Roman;Times;serif" w:hAnsi="Times New Roman;Times;serif"/>
          <w:b/>
          <w:sz w:val="26"/>
        </w:rPr>
        <w:t>UNITED STATES</w:t>
      </w:r>
    </w:p>
    <w:p>
      <w:pPr>
        <w:pStyle w:val="TextBody"/>
        <w:bidi w:val="0"/>
        <w:spacing w:before="0" w:after="0"/>
        <w:ind w:left="200" w:right="200" w:hanging="0"/>
        <w:jc w:val="center"/>
        <w:rPr>
          <w:rFonts w:ascii="Times New Roman;Times;serif" w:hAnsi="Times New Roman;Times;serif"/>
          <w:b/>
          <w:sz w:val="26"/>
        </w:rPr>
      </w:pPr>
      <w:r>
        <w:rPr>
          <w:rFonts w:ascii="Times New Roman;Times;serif" w:hAnsi="Times New Roman;Times;serif"/>
          <w:b/>
          <w:sz w:val="26"/>
        </w:rPr>
        <w:t>SECURITIES AND EXCHANGE COMMISSION</w:t>
      </w:r>
    </w:p>
    <w:p>
      <w:pPr>
        <w:pStyle w:val="TextBody"/>
        <w:bidi w:val="0"/>
        <w:spacing w:before="0" w:after="100"/>
        <w:ind w:left="200" w:right="200" w:hanging="0"/>
        <w:jc w:val="center"/>
        <w:rPr>
          <w:rFonts w:ascii="Times New Roman;Times;serif" w:hAnsi="Times New Roman;Times;serif"/>
          <w:sz w:val="18"/>
        </w:rPr>
      </w:pPr>
      <w:r>
        <w:rPr>
          <w:rFonts w:ascii="Times New Roman;Times;serif" w:hAnsi="Times New Roman;Times;serif"/>
          <w:b/>
          <w:sz w:val="18"/>
        </w:rPr>
        <w:t>Washington, D.C. 20549</w:t>
      </w:r>
      <w:r>
        <w:rPr>
          <w:rFonts w:ascii="Times New Roman;Times;serif" w:hAnsi="Times New Roman;Times;serif"/>
          <w:sz w:val="18"/>
        </w:rPr>
        <w:t xml:space="preserve"> </w:t>
      </w:r>
    </w:p>
    <w:p>
      <w:pPr>
        <w:pStyle w:val="TextBody"/>
        <w:bidi w:val="0"/>
        <w:spacing w:before="0" w:after="0"/>
        <w:ind w:left="200" w:right="200" w:hanging="0"/>
        <w:jc w:val="center"/>
        <w:rPr>
          <w:rFonts w:ascii="Times New Roman;Times;serif" w:hAnsi="Times New Roman;Times;serif"/>
          <w:b/>
          <w:sz w:val="24"/>
        </w:rPr>
      </w:pPr>
      <w:r>
        <w:rPr>
          <w:rFonts w:ascii="Times New Roman;Times;serif" w:hAnsi="Times New Roman;Times;serif"/>
          <w:b/>
          <w:sz w:val="24"/>
        </w:rPr>
        <w:t>FORM F-1</w:t>
      </w:r>
    </w:p>
    <w:p>
      <w:pPr>
        <w:pStyle w:val="TextBody"/>
        <w:bidi w:val="0"/>
        <w:spacing w:before="0" w:after="0"/>
        <w:ind w:left="200" w:right="200" w:hanging="0"/>
        <w:jc w:val="center"/>
        <w:rPr/>
      </w:pPr>
      <w:r>
        <w:rPr/>
        <w:t>​</w:t>
      </w:r>
    </w:p>
    <w:p>
      <w:pPr>
        <w:pStyle w:val="TextBody"/>
        <w:bidi w:val="0"/>
        <w:spacing w:before="0" w:after="0"/>
        <w:ind w:left="200" w:right="200" w:hanging="0"/>
        <w:jc w:val="center"/>
        <w:rPr>
          <w:rFonts w:ascii="Times New Roman;Times;serif" w:hAnsi="Times New Roman;Times;serif"/>
          <w:b/>
          <w:sz w:val="18"/>
        </w:rPr>
      </w:pPr>
      <w:r>
        <w:rPr>
          <w:rFonts w:ascii="Times New Roman;Times;serif" w:hAnsi="Times New Roman;Times;serif"/>
          <w:b/>
          <w:sz w:val="18"/>
        </w:rPr>
        <w:t>REGISTRATION STATEMENT UNDER THE SECURITIES ACT OF 1933</w:t>
      </w:r>
    </w:p>
    <w:p>
      <w:pPr>
        <w:pStyle w:val="TextBody"/>
        <w:bidi w:val="0"/>
        <w:spacing w:before="0" w:after="0"/>
        <w:ind w:left="200" w:right="200" w:hanging="0"/>
        <w:jc w:val="center"/>
        <w:rPr>
          <w:rFonts w:ascii="Times New Roman;Times;serif" w:hAnsi="Times New Roman;Times;serif"/>
          <w:b/>
          <w:sz w:val="26"/>
        </w:rPr>
      </w:pPr>
      <w:r>
        <w:rPr>
          <w:rFonts w:ascii="Times New Roman;Times;serif" w:hAnsi="Times New Roman;Times;serif"/>
          <w:b/>
          <w:sz w:val="26"/>
        </w:rPr>
        <w:t>SCHMID Group N.V.</w:t>
      </w:r>
    </w:p>
    <w:p>
      <w:pPr>
        <w:pStyle w:val="TextBody"/>
        <w:bidi w:val="0"/>
        <w:spacing w:before="0" w:after="0"/>
        <w:ind w:left="200" w:right="200" w:hanging="0"/>
        <w:jc w:val="center"/>
        <w:rPr>
          <w:rFonts w:ascii="Times New Roman;Times;serif" w:hAnsi="Times New Roman;Times;serif"/>
          <w:sz w:val="14"/>
        </w:rPr>
      </w:pPr>
      <w:r>
        <w:rPr>
          <w:rFonts w:ascii="Times New Roman;Times;serif" w:hAnsi="Times New Roman;Times;serif"/>
          <w:sz w:val="14"/>
        </w:rPr>
        <w:t>(Exact name of Registrant as specified in its charter)</w:t>
      </w:r>
    </w:p>
    <w:p>
      <w:pPr>
        <w:pStyle w:val="TextBody"/>
        <w:bidi w:val="0"/>
        <w:spacing w:before="0" w:after="0"/>
        <w:ind w:left="200" w:right="200" w:hanging="0"/>
        <w:jc w:val="left"/>
        <w:rPr/>
      </w:pPr>
      <w:r>
        <w:rPr/>
        <w:t>​</w:t>
      </w:r>
    </w:p>
    <w:tbl>
      <w:tblPr>
        <w:tblW w:w="5190" w:type="dxa"/>
        <w:jc w:val="left"/>
        <w:tblInd w:w="200" w:type="dxa"/>
        <w:tblLayout w:type="fixed"/>
        <w:tblCellMar>
          <w:top w:w="0" w:type="dxa"/>
          <w:left w:w="0" w:type="dxa"/>
          <w:bottom w:w="0" w:type="dxa"/>
          <w:right w:w="0" w:type="dxa"/>
        </w:tblCellMar>
      </w:tblPr>
      <w:tblGrid>
        <w:gridCol w:w="1876"/>
        <w:gridCol w:w="109"/>
        <w:gridCol w:w="1771"/>
        <w:gridCol w:w="109"/>
        <w:gridCol w:w="1171"/>
        <w:gridCol w:w="154"/>
      </w:tblGrid>
      <w:tr>
        <w:trPr/>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191260" cy="116840"/>
                      <wp:effectExtent l="0" t="0" r="0" b="0"/>
                      <wp:wrapNone/>
                      <wp:docPr id="2" name="Frame1"/>
                      <a:graphic xmlns:a="http://schemas.openxmlformats.org/drawingml/2006/main">
                        <a:graphicData uri="http://schemas.microsoft.com/office/word/2010/wordprocessingShape">
                          <wps:wsp>
                            <wps:cNvSpPr txBox="1"/>
                            <wps:spPr>
                              <a:xfrm>
                                <a:off x="0" y="0"/>
                                <a:ext cx="1191260" cy="11684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Netherlands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Netherlands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525780"/>
                      <wp:effectExtent l="0" t="0" r="0" b="0"/>
                      <wp:wrapNone/>
                      <wp:docPr id="3" name="Frame2"/>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0"/>
                                    <w:ind w:left="0" w:right="0" w:hanging="0"/>
                                    <w:jc w:val="left"/>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 ​</w:t>
                            </w:r>
                          </w:p>
                        </w:txbxContent>
                      </v:textbox>
                      <w10:wrap type="none"/>
                    </v:rect>
                  </w:pict>
                </mc:Fallback>
              </mc:AlternateContent>
            </w:r>
          </w:p>
        </w:tc>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124585" cy="116840"/>
                      <wp:effectExtent l="0" t="0" r="0" b="0"/>
                      <wp:wrapNone/>
                      <wp:docPr id="4" name="Frame3"/>
                      <a:graphic xmlns:a="http://schemas.openxmlformats.org/drawingml/2006/main">
                        <a:graphicData uri="http://schemas.microsoft.com/office/word/2010/wordprocessingShape">
                          <wps:wsp>
                            <wps:cNvSpPr txBox="1"/>
                            <wps:spPr>
                              <a:xfrm>
                                <a:off x="0" y="0"/>
                                <a:ext cx="1124585" cy="11684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3823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3823</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9215" cy="525780"/>
                      <wp:effectExtent l="0" t="0" r="0" b="0"/>
                      <wp:wrapNone/>
                      <wp:docPr id="5" name="Frame4"/>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0"/>
                                    <w:ind w:left="0" w:right="0" w:hanging="0"/>
                                    <w:jc w:val="left"/>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 ​</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43585" cy="116840"/>
                      <wp:effectExtent l="0" t="0" r="0" b="0"/>
                      <wp:wrapNone/>
                      <wp:docPr id="6" name="Frame5"/>
                      <a:graphic xmlns:a="http://schemas.openxmlformats.org/drawingml/2006/main">
                        <a:graphicData uri="http://schemas.microsoft.com/office/word/2010/wordprocessingShape">
                          <wps:wsp>
                            <wps:cNvSpPr txBox="1"/>
                            <wps:spPr>
                              <a:xfrm>
                                <a:off x="0" y="0"/>
                                <a:ext cx="743585" cy="11684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7790" cy="29210"/>
                      <wp:effectExtent l="0" t="0" r="0" b="0"/>
                      <wp:wrapNone/>
                      <wp:docPr id="7" name="Frame6"/>
                      <a:graphic xmlns:a="http://schemas.openxmlformats.org/drawingml/2006/main">
                        <a:graphicData uri="http://schemas.microsoft.com/office/word/2010/wordprocessingShape">
                          <wps:wsp>
                            <wps:cNvSpPr txBox="1"/>
                            <wps:spPr>
                              <a:xfrm>
                                <a:off x="0" y="0"/>
                                <a:ext cx="977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(State or other jurisdiction of</w:t>
              <w:br/>
              <w:t>incorporation or organization)</w:t>
            </w:r>
          </w:p>
        </w:tc>
        <w:tc>
          <w:tcPr>
            <w:tcW w:w="109"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(Primary Standard Industrial</w:t>
              <w:br/>
              <w:t>Classification Code Number)</w:t>
            </w:r>
          </w:p>
        </w:tc>
        <w:tc>
          <w:tcPr>
            <w:tcW w:w="109"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(I.R.S. Employer</w:t>
              <w:br/>
              <w:t>Identification No.)</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200" w:right="200" w:hanging="0"/>
        <w:jc w:val="left"/>
        <w:rPr/>
      </w:pPr>
      <w:r>
        <w:rPr/>
        <w:t>​</w:t>
      </w:r>
    </w:p>
    <w:p>
      <w:pPr>
        <w:pStyle w:val="TextBody"/>
        <w:bidi w:val="0"/>
        <w:spacing w:before="0" w:after="0"/>
        <w:ind w:left="200" w:right="200" w:hanging="0"/>
        <w:jc w:val="center"/>
        <w:rPr>
          <w:rFonts w:ascii="Times New Roman;Times;serif" w:hAnsi="Times New Roman;Times;serif"/>
          <w:b/>
          <w:sz w:val="18"/>
        </w:rPr>
      </w:pPr>
      <w:r>
        <w:rPr>
          <w:rFonts w:ascii="Times New Roman;Times;serif" w:hAnsi="Times New Roman;Times;serif"/>
          <w:b/>
          <w:sz w:val="18"/>
        </w:rPr>
        <w:t>Robert-Bosch-Str. 32-36,</w:t>
      </w:r>
    </w:p>
    <w:p>
      <w:pPr>
        <w:pStyle w:val="TextBody"/>
        <w:bidi w:val="0"/>
        <w:spacing w:before="0" w:after="0"/>
        <w:ind w:left="200" w:right="200" w:hanging="0"/>
        <w:jc w:val="center"/>
        <w:rPr>
          <w:rFonts w:ascii="Times New Roman;Times;serif" w:hAnsi="Times New Roman;Times;serif"/>
          <w:b/>
          <w:sz w:val="18"/>
        </w:rPr>
      </w:pPr>
      <w:r>
        <w:rPr>
          <w:rFonts w:ascii="Times New Roman;Times;serif" w:hAnsi="Times New Roman;Times;serif"/>
          <w:b/>
          <w:sz w:val="18"/>
        </w:rPr>
        <w:t>72250</w:t>
      </w:r>
    </w:p>
    <w:p>
      <w:pPr>
        <w:pStyle w:val="TextBody"/>
        <w:bidi w:val="0"/>
        <w:spacing w:before="0" w:after="0"/>
        <w:ind w:left="200" w:right="200" w:hanging="0"/>
        <w:jc w:val="center"/>
        <w:rPr>
          <w:rFonts w:ascii="Times New Roman;Times;serif" w:hAnsi="Times New Roman;Times;serif"/>
          <w:b/>
          <w:sz w:val="18"/>
        </w:rPr>
      </w:pPr>
      <w:r>
        <w:rPr>
          <w:rFonts w:ascii="Times New Roman;Times;serif" w:hAnsi="Times New Roman;Times;serif"/>
          <w:b/>
          <w:sz w:val="18"/>
        </w:rPr>
        <w:t>Freudenstadt, Germany</w:t>
      </w:r>
    </w:p>
    <w:p>
      <w:pPr>
        <w:pStyle w:val="TextBody"/>
        <w:bidi w:val="0"/>
        <w:spacing w:before="0" w:after="0"/>
        <w:ind w:left="200" w:right="200" w:hanging="0"/>
        <w:jc w:val="center"/>
        <w:rPr>
          <w:rFonts w:ascii="Times New Roman;Times;serif" w:hAnsi="Times New Roman;Times;serif"/>
          <w:b/>
          <w:sz w:val="18"/>
        </w:rPr>
      </w:pPr>
      <w:r>
        <w:rPr>
          <w:rFonts w:ascii="Times New Roman;Times;serif" w:hAnsi="Times New Roman;Times;serif"/>
          <w:b/>
          <w:sz w:val="18"/>
        </w:rPr>
        <w:t>Tel: +49 7441 538 0</w:t>
      </w:r>
    </w:p>
    <w:p>
      <w:pPr>
        <w:pStyle w:val="TextBody"/>
        <w:bidi w:val="0"/>
        <w:spacing w:before="0" w:after="0"/>
        <w:ind w:left="200" w:right="200" w:hanging="0"/>
        <w:jc w:val="center"/>
        <w:rPr>
          <w:rFonts w:ascii="Times New Roman;Times;serif" w:hAnsi="Times New Roman;Times;serif"/>
          <w:sz w:val="14"/>
        </w:rPr>
      </w:pPr>
      <w:r>
        <w:rPr>
          <w:rFonts w:ascii="Times New Roman;Times;serif" w:hAnsi="Times New Roman;Times;serif"/>
          <w:sz w:val="14"/>
        </w:rPr>
        <w:t>(Address, including zip code, and telephone number, including area code, of Registrant’s principal executive offices)</w:t>
      </w:r>
    </w:p>
    <w:p>
      <w:pPr>
        <w:pStyle w:val="TextBody"/>
        <w:bidi w:val="0"/>
        <w:spacing w:before="0" w:after="0"/>
        <w:ind w:left="200" w:right="200" w:hanging="0"/>
        <w:jc w:val="center"/>
        <w:rPr>
          <w:rFonts w:ascii="Times New Roman;Times;serif" w:hAnsi="Times New Roman;Times;serif"/>
          <w:b/>
          <w:sz w:val="18"/>
        </w:rPr>
      </w:pPr>
      <w:r>
        <w:rPr>
          <w:rFonts w:ascii="Times New Roman;Times;serif" w:hAnsi="Times New Roman;Times;serif"/>
          <w:b/>
          <w:sz w:val="18"/>
        </w:rPr>
        <w:t>Cogency Global Inc.</w:t>
      </w:r>
    </w:p>
    <w:p>
      <w:pPr>
        <w:pStyle w:val="TextBody"/>
        <w:bidi w:val="0"/>
        <w:spacing w:before="0" w:after="0"/>
        <w:ind w:left="200" w:right="200" w:hanging="0"/>
        <w:jc w:val="center"/>
        <w:rPr>
          <w:rFonts w:ascii="Times New Roman;Times;serif" w:hAnsi="Times New Roman;Times;serif"/>
          <w:b/>
          <w:sz w:val="18"/>
        </w:rPr>
      </w:pPr>
      <w:r>
        <w:rPr>
          <w:rFonts w:ascii="Times New Roman;Times;serif" w:hAnsi="Times New Roman;Times;serif"/>
          <w:b/>
          <w:sz w:val="18"/>
        </w:rPr>
        <w:t>122 East 42nd Street, 18th Floor</w:t>
      </w:r>
    </w:p>
    <w:p>
      <w:pPr>
        <w:pStyle w:val="TextBody"/>
        <w:bidi w:val="0"/>
        <w:spacing w:before="0" w:after="0"/>
        <w:ind w:left="200" w:right="200" w:hanging="0"/>
        <w:jc w:val="center"/>
        <w:rPr>
          <w:rFonts w:ascii="Times New Roman;Times;serif" w:hAnsi="Times New Roman;Times;serif"/>
          <w:b/>
          <w:sz w:val="18"/>
        </w:rPr>
      </w:pPr>
      <w:r>
        <w:rPr>
          <w:rFonts w:ascii="Times New Roman;Times;serif" w:hAnsi="Times New Roman;Times;serif"/>
          <w:b/>
          <w:sz w:val="18"/>
        </w:rPr>
        <w:t>New York, NY 10168</w:t>
      </w:r>
    </w:p>
    <w:p>
      <w:pPr>
        <w:pStyle w:val="TextBody"/>
        <w:bidi w:val="0"/>
        <w:spacing w:before="0" w:after="0"/>
        <w:ind w:left="200" w:right="200" w:hanging="0"/>
        <w:jc w:val="center"/>
        <w:rPr>
          <w:rFonts w:ascii="Times New Roman;Times;serif" w:hAnsi="Times New Roman;Times;serif"/>
          <w:b/>
          <w:sz w:val="18"/>
        </w:rPr>
      </w:pPr>
      <w:r>
        <w:rPr>
          <w:rFonts w:ascii="Times New Roman;Times;serif" w:hAnsi="Times New Roman;Times;serif"/>
          <w:b/>
          <w:sz w:val="18"/>
        </w:rPr>
        <w:t>Tel: 1 (800) 221-0102</w:t>
      </w:r>
    </w:p>
    <w:p>
      <w:pPr>
        <w:pStyle w:val="TextBody"/>
        <w:bidi w:val="0"/>
        <w:spacing w:before="0" w:after="0"/>
        <w:ind w:left="200" w:right="200" w:hanging="0"/>
        <w:jc w:val="center"/>
        <w:rPr>
          <w:rFonts w:ascii="Times New Roman;Times;serif" w:hAnsi="Times New Roman;Times;serif"/>
          <w:sz w:val="14"/>
        </w:rPr>
      </w:pPr>
      <w:r>
        <w:rPr>
          <w:rFonts w:ascii="Times New Roman;Times;serif" w:hAnsi="Times New Roman;Times;serif"/>
          <w:sz w:val="14"/>
        </w:rPr>
        <w:t>(Name, address, including zip code, and telephone number, including area code, of agent for service)</w:t>
      </w:r>
    </w:p>
    <w:p>
      <w:pPr>
        <w:pStyle w:val="TextBody"/>
        <w:bidi w:val="0"/>
        <w:spacing w:before="0" w:after="0"/>
        <w:ind w:left="200" w:right="200" w:hanging="0"/>
        <w:jc w:val="center"/>
        <w:rPr>
          <w:rFonts w:ascii="Times New Roman;Times;serif" w:hAnsi="Times New Roman;Times;serif"/>
          <w:b/>
          <w:sz w:val="18"/>
        </w:rPr>
      </w:pPr>
      <w:r>
        <w:rPr>
          <w:rFonts w:ascii="Times New Roman;Times;serif" w:hAnsi="Times New Roman;Times;serif"/>
          <w:b/>
          <w:sz w:val="18"/>
        </w:rPr>
        <w:t>Copies of all communications, including communications</w:t>
      </w:r>
    </w:p>
    <w:p>
      <w:pPr>
        <w:pStyle w:val="TextBody"/>
        <w:bidi w:val="0"/>
        <w:spacing w:before="0" w:after="100"/>
        <w:ind w:left="200" w:right="200" w:hanging="0"/>
        <w:jc w:val="center"/>
        <w:rPr>
          <w:rFonts w:ascii="Times New Roman;Times;serif" w:hAnsi="Times New Roman;Times;serif"/>
          <w:b/>
          <w:sz w:val="18"/>
        </w:rPr>
      </w:pPr>
      <w:r>
        <w:rPr>
          <w:rFonts w:ascii="Times New Roman;Times;serif" w:hAnsi="Times New Roman;Times;serif"/>
          <w:b/>
          <w:sz w:val="18"/>
        </w:rPr>
        <w:t>sent to agent for service, should be sent to:</w:t>
      </w:r>
    </w:p>
    <w:p>
      <w:pPr>
        <w:pStyle w:val="TextBody"/>
        <w:bidi w:val="0"/>
        <w:spacing w:before="0" w:after="0"/>
        <w:ind w:left="200" w:right="200" w:hanging="0"/>
        <w:jc w:val="center"/>
        <w:rPr>
          <w:rFonts w:ascii="Times New Roman;Times;serif" w:hAnsi="Times New Roman;Times;serif"/>
          <w:b/>
          <w:sz w:val="18"/>
        </w:rPr>
      </w:pPr>
      <w:r>
        <w:rPr>
          <w:rFonts w:ascii="Times New Roman;Times;serif" w:hAnsi="Times New Roman;Times;serif"/>
          <w:b/>
          <w:sz w:val="18"/>
        </w:rPr>
        <w:t>Axel Wittmann</w:t>
      </w:r>
    </w:p>
    <w:p>
      <w:pPr>
        <w:pStyle w:val="TextBody"/>
        <w:bidi w:val="0"/>
        <w:spacing w:before="0" w:after="0"/>
        <w:ind w:left="200" w:right="200" w:hanging="0"/>
        <w:jc w:val="center"/>
        <w:rPr>
          <w:rFonts w:ascii="Times New Roman;Times;serif" w:hAnsi="Times New Roman;Times;serif"/>
          <w:b/>
          <w:sz w:val="18"/>
        </w:rPr>
      </w:pPr>
      <w:r>
        <w:rPr>
          <w:rFonts w:ascii="Times New Roman;Times;serif" w:hAnsi="Times New Roman;Times;serif"/>
          <w:b/>
          <w:sz w:val="18"/>
        </w:rPr>
        <w:t>George Hacket</w:t>
      </w:r>
    </w:p>
    <w:p>
      <w:pPr>
        <w:pStyle w:val="TextBody"/>
        <w:bidi w:val="0"/>
        <w:spacing w:before="0" w:after="0"/>
        <w:ind w:left="200" w:right="200" w:hanging="0"/>
        <w:jc w:val="center"/>
        <w:rPr>
          <w:rFonts w:ascii="Times New Roman;Times;serif" w:hAnsi="Times New Roman;Times;serif"/>
          <w:b/>
          <w:sz w:val="18"/>
        </w:rPr>
      </w:pPr>
      <w:r>
        <w:rPr>
          <w:rFonts w:ascii="Times New Roman;Times;serif" w:hAnsi="Times New Roman;Times;serif"/>
          <w:b/>
          <w:sz w:val="18"/>
        </w:rPr>
        <w:t>Junghofstrasse 14</w:t>
      </w:r>
    </w:p>
    <w:p>
      <w:pPr>
        <w:pStyle w:val="TextBody"/>
        <w:bidi w:val="0"/>
        <w:spacing w:before="0" w:after="0"/>
        <w:ind w:left="200" w:right="200" w:hanging="0"/>
        <w:jc w:val="center"/>
        <w:rPr>
          <w:rFonts w:ascii="Times New Roman;Times;serif" w:hAnsi="Times New Roman;Times;serif"/>
          <w:b/>
          <w:sz w:val="18"/>
        </w:rPr>
      </w:pPr>
      <w:r>
        <w:rPr>
          <w:rFonts w:ascii="Times New Roman;Times;serif" w:hAnsi="Times New Roman;Times;serif"/>
          <w:b/>
          <w:sz w:val="18"/>
        </w:rPr>
        <w:t>60311 Frankfurt, Germany</w:t>
      </w:r>
    </w:p>
    <w:p>
      <w:pPr>
        <w:pStyle w:val="TextBody"/>
        <w:bidi w:val="0"/>
        <w:spacing w:before="0" w:after="0"/>
        <w:ind w:left="200" w:right="200" w:hanging="0"/>
        <w:jc w:val="center"/>
        <w:rPr>
          <w:rFonts w:ascii="Times New Roman;Times;serif" w:hAnsi="Times New Roman;Times;serif"/>
          <w:b/>
          <w:sz w:val="18"/>
        </w:rPr>
      </w:pPr>
      <w:r>
        <w:rPr>
          <w:rFonts w:ascii="Times New Roman;Times;serif" w:hAnsi="Times New Roman;Times;serif"/>
          <w:b/>
          <w:sz w:val="18"/>
        </w:rPr>
        <w:t>+49 (69) 7199 1528</w:t>
      </w:r>
    </w:p>
    <w:p>
      <w:pPr>
        <w:pStyle w:val="TextBody"/>
        <w:bidi w:val="0"/>
        <w:spacing w:before="0" w:after="0"/>
        <w:ind w:left="200" w:right="200" w:hanging="0"/>
        <w:jc w:val="left"/>
        <w:rPr/>
      </w:pPr>
      <w:r>
        <w:rPr/>
        <w:t>​</w:t>
      </w:r>
    </w:p>
    <w:p>
      <w:pPr>
        <w:pStyle w:val="TextBody"/>
        <w:bidi w:val="0"/>
        <w:spacing w:before="0" w:after="80"/>
        <w:ind w:left="200" w:right="200" w:firstLine="360"/>
        <w:jc w:val="left"/>
        <w:rPr>
          <w:rFonts w:ascii="Times New Roman;Times;serif" w:hAnsi="Times New Roman;Times;serif"/>
          <w:sz w:val="16"/>
        </w:rPr>
      </w:pPr>
      <w:r>
        <w:rPr>
          <w:rFonts w:ascii="Times New Roman;Times;serif" w:hAnsi="Times New Roman;Times;serif"/>
          <w:b/>
          <w:sz w:val="17"/>
        </w:rPr>
        <w:t>Approximate date of commencement of proposed sale to the public:</w:t>
      </w:r>
      <w:r>
        <w:rPr>
          <w:rFonts w:ascii="Times New Roman;Times;serif" w:hAnsi="Times New Roman;Times;serif"/>
          <w:sz w:val="16"/>
        </w:rPr>
        <w:t xml:space="preserve"> </w:t>
      </w:r>
      <w:r>
        <w:rPr>
          <w:rFonts w:ascii="Times New Roman;Times;serif" w:hAnsi="Times New Roman;Times;serif"/>
          <w:sz w:val="17"/>
        </w:rPr>
        <w:t>As soon as practicable after this registration statement becomes effective.</w:t>
      </w:r>
    </w:p>
    <w:p>
      <w:pPr>
        <w:pStyle w:val="TextBody"/>
        <w:bidi w:val="0"/>
        <w:spacing w:before="0" w:after="80"/>
        <w:ind w:left="200" w:right="200" w:firstLine="360"/>
        <w:jc w:val="left"/>
        <w:rPr>
          <w:rFonts w:ascii="Times New Roman;Times;serif" w:hAnsi="Times New Roman;Times;serif"/>
          <w:sz w:val="16"/>
        </w:rPr>
      </w:pPr>
      <w:r>
        <w:rPr>
          <w:rFonts w:ascii="Times New Roman;Times;serif" w:hAnsi="Times New Roman;Times;serif"/>
          <w:sz w:val="17"/>
        </w:rPr>
        <w:t>If any of the securities being registered on this Form are to be offered on a delayed or continuous basis pursuant to Rule 415 under the Securities Act of 1933, check the following box.   </w:t>
      </w:r>
      <w:r>
        <w:rPr>
          <w:rFonts w:ascii="Times New Roman;Times;serif" w:hAnsi="Times New Roman;Times;serif"/>
          <w:sz w:val="16"/>
        </w:rPr>
        <w:t>☒</w:t>
      </w:r>
    </w:p>
    <w:p>
      <w:pPr>
        <w:pStyle w:val="TextBody"/>
        <w:bidi w:val="0"/>
        <w:spacing w:before="0" w:after="80"/>
        <w:ind w:left="200" w:right="200" w:firstLine="360"/>
        <w:jc w:val="left"/>
        <w:rPr>
          <w:rFonts w:ascii="Times New Roman;Times;serif" w:hAnsi="Times New Roman;Times;serif"/>
          <w:sz w:val="16"/>
        </w:rPr>
      </w:pPr>
      <w:r>
        <w:rPr>
          <w:rFonts w:ascii="Times New Roman;Times;serif" w:hAnsi="Times New Roman;Times;serif"/>
          <w:sz w:val="17"/>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Times New Roman;Times;serif" w:hAnsi="Times New Roman;Times;serif"/>
          <w:sz w:val="16"/>
        </w:rPr>
        <w:t>☐</w:t>
      </w:r>
    </w:p>
    <w:p>
      <w:pPr>
        <w:pStyle w:val="TextBody"/>
        <w:bidi w:val="0"/>
        <w:spacing w:before="0" w:after="80"/>
        <w:ind w:left="200" w:right="200" w:firstLine="360"/>
        <w:jc w:val="left"/>
        <w:rPr>
          <w:rFonts w:ascii="Times New Roman;Times;serif" w:hAnsi="Times New Roman;Times;serif"/>
          <w:sz w:val="16"/>
        </w:rPr>
      </w:pPr>
      <w:r>
        <w:rPr>
          <w:rFonts w:ascii="Times New Roman;Times;serif" w:hAnsi="Times New Roman;Times;serif"/>
          <w:sz w:val="17"/>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Times New Roman;Times;serif" w:hAnsi="Times New Roman;Times;serif"/>
          <w:sz w:val="16"/>
        </w:rPr>
        <w:t>☐</w:t>
      </w:r>
    </w:p>
    <w:p>
      <w:pPr>
        <w:pStyle w:val="TextBody"/>
        <w:bidi w:val="0"/>
        <w:spacing w:before="0" w:after="80"/>
        <w:ind w:left="200" w:right="200" w:firstLine="360"/>
        <w:jc w:val="left"/>
        <w:rPr>
          <w:rFonts w:ascii="Times New Roman;Times;serif" w:hAnsi="Times New Roman;Times;serif"/>
          <w:sz w:val="16"/>
        </w:rPr>
      </w:pPr>
      <w:r>
        <w:rPr>
          <w:rFonts w:ascii="Times New Roman;Times;serif" w:hAnsi="Times New Roman;Times;serif"/>
          <w:sz w:val="17"/>
        </w:rPr>
        <w:t>If this Form is a post-effective amendment filed pursuant to Rule 462(d) under the Securities Act, check the following box and list the Securities Act registration statement number of the earlier effective registration statement for the same offering.   </w:t>
      </w:r>
      <w:r>
        <w:rPr>
          <w:rFonts w:ascii="Times New Roman;Times;serif" w:hAnsi="Times New Roman;Times;serif"/>
          <w:sz w:val="16"/>
        </w:rPr>
        <w:t>☐</w:t>
      </w:r>
    </w:p>
    <w:p>
      <w:pPr>
        <w:pStyle w:val="TextBody"/>
        <w:bidi w:val="0"/>
        <w:spacing w:before="0" w:after="80"/>
        <w:ind w:left="200" w:right="200" w:firstLine="360"/>
        <w:jc w:val="left"/>
        <w:rPr>
          <w:rFonts w:ascii="Times New Roman;Times;serif" w:hAnsi="Times New Roman;Times;serif"/>
          <w:sz w:val="17"/>
        </w:rPr>
      </w:pPr>
      <w:r>
        <w:rPr>
          <w:rFonts w:ascii="Times New Roman;Times;serif" w:hAnsi="Times New Roman;Times;serif"/>
          <w:sz w:val="17"/>
        </w:rPr>
        <w:t>Indicate by check mark whether the registrant is an emerging growth company as defined in Rule 405 of the Securities Act of 1933.</w:t>
      </w:r>
    </w:p>
    <w:p>
      <w:pPr>
        <w:pStyle w:val="Normal"/>
        <w:bidi w:val="0"/>
        <w:spacing w:before="0" w:after="720"/>
        <w:ind w:left="200" w:right="200" w:hanging="0"/>
        <w:jc w:val="left"/>
        <w:rPr>
          <w:sz w:val="4"/>
          <w:szCs w:val="4"/>
        </w:rPr>
      </w:pPr>
      <w:r>
        <w:rPr>
          <w:sz w:val="4"/>
          <w:szCs w:val="4"/>
        </w:rPr>
      </w:r>
      <w:bookmarkStart w:id="3" w:name="Tc_Hs3MYbLyWUKD_LzF7ey7ow_1_1"/>
      <w:bookmarkStart w:id="4" w:name="_b8204879_2883_458e_8f3e_ff5eb2d7d91d"/>
      <w:bookmarkStart w:id="5" w:name="Tc_Hs3MYbLyWUKD_LzF7ey7ow_1_1"/>
      <w:bookmarkStart w:id="6" w:name="_b8204879_2883_458e_8f3e_ff5eb2d7d91d"/>
      <w:bookmarkEnd w:id="5"/>
      <w:bookmarkEnd w:id="6"/>
    </w:p>
    <w:tbl>
      <w:tblPr>
        <w:tblW w:w="2511" w:type="dxa"/>
        <w:jc w:val="left"/>
        <w:tblInd w:w="200" w:type="dxa"/>
        <w:tblLayout w:type="fixed"/>
        <w:tblCellMar>
          <w:top w:w="0" w:type="dxa"/>
          <w:left w:w="0" w:type="dxa"/>
          <w:bottom w:w="0" w:type="dxa"/>
          <w:right w:w="0" w:type="dxa"/>
        </w:tblCellMar>
      </w:tblPr>
      <w:tblGrid>
        <w:gridCol w:w="124"/>
        <w:gridCol w:w="2026"/>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right"/>
              <w:rPr/>
            </w:pPr>
            <w:r>
              <w:rPr/>
              <w:t>​</w:t>
            </w:r>
          </w:p>
        </w:tc>
        <w:tc>
          <w:tcPr>
            <w:tcW w:w="20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Emerging growth company</w:t>
            </w:r>
          </w:p>
        </w:tc>
        <w:tc>
          <w:tcPr>
            <w:tcW w:w="36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200" w:right="200" w:hanging="0"/>
        <w:jc w:val="left"/>
        <w:rPr/>
      </w:pPr>
      <w:r>
        <w:rPr/>
        <w: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17"/>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Times New Roman;Times;serif" w:hAnsi="Times New Roman;Times;serif"/>
          <w:sz w:val="20"/>
        </w:rPr>
        <w:t>☐</w:t>
      </w:r>
    </w:p>
    <w:tbl>
      <w:tblPr>
        <w:tblW w:w="9805" w:type="dxa"/>
        <w:jc w:val="left"/>
        <w:tblInd w:w="200" w:type="dxa"/>
        <w:tblLayout w:type="fixed"/>
        <w:tblCellMar>
          <w:top w:w="0" w:type="dxa"/>
          <w:left w:w="0" w:type="dxa"/>
          <w:bottom w:w="0" w:type="dxa"/>
          <w:right w:w="0" w:type="dxa"/>
        </w:tblCellMar>
      </w:tblPr>
      <w:tblGrid>
        <w:gridCol w:w="241"/>
        <w:gridCol w:w="9564"/>
      </w:tblGrid>
      <w:tr>
        <w:trPr/>
        <w:tc>
          <w:tcPr>
            <w:tcW w:w="241" w:type="dxa"/>
            <w:tcBorders/>
            <w:vAlign w:val="center"/>
          </w:tcPr>
          <w:p>
            <w:pPr>
              <w:pStyle w:val="TableContents"/>
              <w:bidi w:val="0"/>
              <w:spacing w:before="0" w:after="0"/>
              <w:jc w:val="left"/>
              <w:rPr/>
            </w:pPr>
            <w:r>
              <w:rPr/>
              <w:t>†</w:t>
            </w:r>
          </w:p>
        </w:tc>
        <w:tc>
          <w:tcPr>
            <w:tcW w:w="9564" w:type="dxa"/>
            <w:tcBorders/>
            <w:vAlign w:val="center"/>
          </w:tcPr>
          <w:p>
            <w:pPr>
              <w:pStyle w:val="TableContents"/>
              <w:bidi w:val="0"/>
              <w:spacing w:before="0" w:after="0"/>
              <w:jc w:val="left"/>
              <w:rPr>
                <w:rFonts w:ascii="Times New Roman;Times;serif" w:hAnsi="Times New Roman;Times;serif"/>
                <w:sz w:val="17"/>
              </w:rPr>
            </w:pPr>
            <w:r>
              <w:rPr>
                <w:rFonts w:ascii="Times New Roman;Times;serif" w:hAnsi="Times New Roman;Times;serif"/>
                <w:sz w:val="17"/>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100"/>
        <w:ind w:left="200" w:right="200" w:firstLine="360"/>
        <w:jc w:val="left"/>
        <w:rPr>
          <w:rFonts w:ascii="Times New Roman;Times;serif" w:hAnsi="Times New Roman;Times;serif"/>
          <w:b/>
          <w:sz w:val="17"/>
        </w:rPr>
      </w:pPr>
      <w:r>
        <w:rPr>
          <w:rFonts w:ascii="Times New Roman;Times;serif" w:hAnsi="Times New Roman;Times;serif"/>
          <w:b/>
          <w:sz w:val="17"/>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w:t>
      </w:r>
    </w:p>
    <w:p>
      <w:pPr>
        <w:pStyle w:val="TextBody"/>
        <w:pBdr>
          <w:top w:val="single" w:sz="2" w:space="1" w:color="000000"/>
          <w:bottom w:val="single" w:sz="24" w:space="1" w:color="000000"/>
        </w:pBdr>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24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left"/>
        <w:rPr/>
      </w:pPr>
      <w:r>
        <w:rPr/>
        <w:t>​</w:t>
      </w:r>
    </w:p>
    <w:p>
      <w:pPr>
        <w:pStyle w:val="TextBody"/>
        <w:bidi w:val="0"/>
        <w:spacing w:before="0" w:after="240"/>
        <w:ind w:left="1136" w:right="200" w:hanging="0"/>
        <w:jc w:val="center"/>
        <w:rPr>
          <w:rFonts w:ascii="Times New Roman;Times;serif" w:hAnsi="Times New Roman;Times;serif"/>
          <w:b/>
          <w:color w:val="FC0014"/>
          <w:sz w:val="20"/>
        </w:rPr>
      </w:pPr>
      <w:bookmarkStart w:id="7" w:name="_892b400e_e779_47d9_a87a_50916a6b61e0"/>
      <w:bookmarkEnd w:id="7"/>
      <w:r>
        <w:rPr>
          <w:rFonts w:ascii="Times New Roman;Times;serif" w:hAnsi="Times New Roman;Times;serif"/>
          <w:b/>
          <w:color w:val="FC0014"/>
          <w:sz w:val="20"/>
        </w:rPr>
        <w:t>PRELIMINARY — SUBJECT TO COMPLETION, DATED JULY 17, 2026</w:t>
      </w:r>
    </w:p>
    <w:p>
      <w:pPr>
        <w:pStyle w:val="TextBody"/>
        <w:bidi w:val="0"/>
        <w:spacing w:before="0" w:after="240"/>
        <w:ind w:left="1136" w:right="200" w:hanging="0"/>
        <w:jc w:val="center"/>
        <w:rPr>
          <w:rFonts w:ascii="Times New Roman;Times;serif" w:hAnsi="Times New Roman;Times;serif"/>
          <w:b/>
          <w:sz w:val="28"/>
        </w:rPr>
      </w:pPr>
      <w:r>
        <w:rPr>
          <w:rFonts w:ascii="Times New Roman;Times;serif" w:hAnsi="Times New Roman;Times;serif"/>
          <w:b/>
          <w:sz w:val="28"/>
        </w:rPr>
        <w:t>SCHMID Group N.V.</w:t>
      </w:r>
    </w:p>
    <w:p>
      <w:pPr>
        <w:pStyle w:val="TextBody"/>
        <w:bidi w:val="0"/>
        <w:spacing w:before="0" w:after="240"/>
        <w:ind w:left="1136" w:right="200" w:hanging="0"/>
        <w:jc w:val="center"/>
        <w:rPr>
          <w:rFonts w:ascii="Times New Roman;Times;serif" w:hAnsi="Times New Roman;Times;serif"/>
          <w:b/>
          <w:sz w:val="24"/>
        </w:rPr>
      </w:pPr>
      <w:r>
        <w:rPr>
          <w:rFonts w:ascii="Times New Roman;Times;serif" w:hAnsi="Times New Roman;Times;serif"/>
          <w:b/>
          <w:sz w:val="24"/>
        </w:rPr>
        <w:t xml:space="preserve">Resale of up to 10,362,693 Ordinary Shares </w:t>
      </w:r>
    </w:p>
    <w:p>
      <w:pPr>
        <w:pStyle w:val="TextBody"/>
        <w:bidi w:val="0"/>
        <w:spacing w:before="0" w:after="240"/>
        <w:ind w:left="1136" w:right="200" w:firstLine="360"/>
        <w:jc w:val="left"/>
        <w:rPr>
          <w:rFonts w:ascii="Times New Roman;Times;serif" w:hAnsi="Times New Roman;Times;serif"/>
          <w:sz w:val="20"/>
        </w:rPr>
      </w:pPr>
      <w:r>
        <w:rPr>
          <w:rFonts w:ascii="Times New Roman;Times;serif" w:hAnsi="Times New Roman;Times;serif"/>
          <w:sz w:val="20"/>
        </w:rPr>
        <w:t>This registration statement relates to issuance of up to 10,362,693 ordinary shares of the Company, €0.01 par value per share (“</w:t>
      </w:r>
      <w:r>
        <w:rPr>
          <w:rFonts w:ascii="Times New Roman;Times;serif" w:hAnsi="Times New Roman;Times;serif"/>
          <w:b/>
          <w:sz w:val="20"/>
        </w:rPr>
        <w:t>Ordinary Shares</w:t>
      </w:r>
      <w:r>
        <w:rPr>
          <w:rFonts w:ascii="Times New Roman;Times;serif" w:hAnsi="Times New Roman;Times;serif"/>
          <w:sz w:val="20"/>
        </w:rPr>
        <w:t>”) issuable upon the conversion of convertible notes issued on July 14, 2026 in principal amount of USD 20 million (the “</w:t>
      </w:r>
      <w:r>
        <w:rPr>
          <w:rFonts w:ascii="Times New Roman;Times;serif" w:hAnsi="Times New Roman;Times;serif"/>
          <w:b/>
          <w:sz w:val="20"/>
        </w:rPr>
        <w:t>2029 Convertible Notes</w:t>
      </w:r>
      <w:r>
        <w:rPr>
          <w:rFonts w:ascii="Times New Roman;Times;serif" w:hAnsi="Times New Roman;Times;serif"/>
          <w:sz w:val="20"/>
        </w:rPr>
        <w:t>”).</w:t>
      </w:r>
    </w:p>
    <w:p>
      <w:pPr>
        <w:pStyle w:val="TextBody"/>
        <w:bidi w:val="0"/>
        <w:spacing w:before="0" w:after="240"/>
        <w:ind w:left="1136" w:right="200" w:firstLine="360"/>
        <w:jc w:val="left"/>
        <w:rPr>
          <w:rFonts w:ascii="Times New Roman;Times;serif" w:hAnsi="Times New Roman;Times;serif"/>
          <w:sz w:val="20"/>
        </w:rPr>
      </w:pPr>
      <w:r>
        <w:rPr>
          <w:rFonts w:ascii="Times New Roman;Times;serif" w:hAnsi="Times New Roman;Times;serif"/>
          <w:sz w:val="20"/>
        </w:rPr>
        <w:t>This registration statement relates to offer and resale from time to time by the selling securityholders or their permitted transferees and certain other investors (collectively, the “</w:t>
      </w:r>
      <w:r>
        <w:rPr>
          <w:rFonts w:ascii="Times New Roman;Times;serif" w:hAnsi="Times New Roman;Times;serif"/>
          <w:b/>
          <w:sz w:val="20"/>
        </w:rPr>
        <w:t>selling securityholders</w:t>
      </w:r>
      <w:r>
        <w:rPr>
          <w:rFonts w:ascii="Times New Roman;Times;serif" w:hAnsi="Times New Roman;Times;serif"/>
          <w:sz w:val="20"/>
        </w:rPr>
        <w:t>”) of up to 10,362,693 of our Ordinary Shares to be issued upon the conversion of the 2029 Convertible Notes.</w:t>
      </w:r>
    </w:p>
    <w:p>
      <w:pPr>
        <w:pStyle w:val="TextBody"/>
        <w:bidi w:val="0"/>
        <w:spacing w:before="0" w:after="240"/>
        <w:ind w:left="1136" w:right="200" w:firstLine="360"/>
        <w:jc w:val="left"/>
        <w:rPr>
          <w:rFonts w:ascii="Times New Roman;Times;serif" w:hAnsi="Times New Roman;Times;serif"/>
          <w:sz w:val="20"/>
        </w:rPr>
      </w:pPr>
      <w:r>
        <w:rPr>
          <w:rFonts w:ascii="Times New Roman;Times;serif" w:hAnsi="Times New Roman;Times;serif"/>
          <w:sz w:val="20"/>
        </w:rPr>
        <w:t>This registration statement provides you with a general description of such securities and the general manner in which the selling securityholders may offer or sell the securities. More specific terms of any securities that the selling securityholders may offer or sell may be provided in a prospectus supplement that describes, among other things, the specific amounts and prices of the securities being offered and the terms of the offering. The conversion price is subject to a floor of USD 1.93 and a maximum conversion price of USD 10.50 per Ordinary Share.</w:t>
      </w:r>
    </w:p>
    <w:p>
      <w:pPr>
        <w:pStyle w:val="TextBody"/>
        <w:bidi w:val="0"/>
        <w:spacing w:before="0" w:after="240"/>
        <w:ind w:left="1136" w:right="200" w:firstLine="360"/>
        <w:jc w:val="left"/>
        <w:rPr>
          <w:rFonts w:ascii="Times New Roman;Times;serif" w:hAnsi="Times New Roman;Times;serif"/>
          <w:sz w:val="20"/>
        </w:rPr>
      </w:pPr>
      <w:r>
        <w:rPr>
          <w:rFonts w:ascii="Times New Roman;Times;serif" w:hAnsi="Times New Roman;Times;serif"/>
          <w:sz w:val="20"/>
        </w:rPr>
        <w:t>The registration of the securities covered by this registration statement does not mean that the subscribing shareholders will offer or sell any of the ordinary shares. The subscribing shareholders may offer, sell or distribute all or a portion of their ordinary shares publicly or through private transactions at prevailing market prices or at negotiated prices. All of the securities offered by the selling securityholders will be sold for their own accounts. We will not receive any proceeds from the resale of ordinary shares by the selling securityholders pursuant to this registration statement.</w:t>
      </w:r>
    </w:p>
    <w:p>
      <w:pPr>
        <w:pStyle w:val="TextBody"/>
        <w:bidi w:val="0"/>
        <w:spacing w:before="0" w:after="240"/>
        <w:ind w:left="1136" w:right="200" w:firstLine="360"/>
        <w:jc w:val="left"/>
        <w:rPr>
          <w:rFonts w:ascii="Times New Roman;Times;serif" w:hAnsi="Times New Roman;Times;serif"/>
          <w:sz w:val="20"/>
        </w:rPr>
      </w:pPr>
      <w:r>
        <w:rPr>
          <w:rFonts w:ascii="Times New Roman;Times;serif" w:hAnsi="Times New Roman;Times;serif"/>
          <w:sz w:val="20"/>
        </w:rPr>
        <w:t>We provide more information about how the Subscribing Shareholders may sell or otherwise dispose of our ordinary shares in the section entitled, “</w:t>
      </w:r>
      <w:r>
        <w:rPr>
          <w:rFonts w:ascii="Times New Roman;Times;serif" w:hAnsi="Times New Roman;Times;serif"/>
          <w:i/>
          <w:sz w:val="20"/>
        </w:rPr>
        <w:t>Plan of Distribution</w:t>
      </w:r>
      <w:r>
        <w:rPr>
          <w:rFonts w:ascii="Times New Roman;Times;serif" w:hAnsi="Times New Roman;Times;serif"/>
          <w:sz w:val="20"/>
        </w:rPr>
        <w:t>.”</w:t>
      </w:r>
    </w:p>
    <w:p>
      <w:pPr>
        <w:pStyle w:val="TextBody"/>
        <w:bidi w:val="0"/>
        <w:spacing w:before="0" w:after="240"/>
        <w:ind w:left="1136" w:right="200" w:firstLine="360"/>
        <w:jc w:val="left"/>
        <w:rPr>
          <w:rFonts w:ascii="Times New Roman;Times;serif" w:hAnsi="Times New Roman;Times;serif"/>
          <w:sz w:val="20"/>
        </w:rPr>
      </w:pPr>
      <w:r>
        <w:rPr>
          <w:rFonts w:ascii="Times New Roman;Times;serif" w:hAnsi="Times New Roman;Times;serif"/>
          <w:sz w:val="20"/>
        </w:rPr>
        <w:t>We may amend or supplement this prospectus from time to time by filing amendments or supplements as required. You should read this entire prospectus and any amendments or supplements carefully before you make your investment decision.</w:t>
      </w:r>
    </w:p>
    <w:p>
      <w:pPr>
        <w:pStyle w:val="TextBody"/>
        <w:bidi w:val="0"/>
        <w:spacing w:before="0" w:after="240"/>
        <w:ind w:left="1136" w:right="200" w:firstLine="360"/>
        <w:jc w:val="left"/>
        <w:rPr>
          <w:rFonts w:ascii="Times New Roman;Times;serif" w:hAnsi="Times New Roman;Times;serif"/>
          <w:sz w:val="20"/>
        </w:rPr>
      </w:pPr>
      <w:r>
        <w:rPr>
          <w:rFonts w:ascii="Times New Roman;Times;serif" w:hAnsi="Times New Roman;Times;serif"/>
          <w:sz w:val="20"/>
        </w:rPr>
        <w:t>We are an “emerging growth company” as that term is defined in the Jumpstart Our Business Startups Act of 2012 and, as such, are subject to reduced public company reporting requirements.</w:t>
      </w:r>
    </w:p>
    <w:p>
      <w:pPr>
        <w:pStyle w:val="TextBody"/>
        <w:bidi w:val="0"/>
        <w:spacing w:before="0" w:after="240"/>
        <w:ind w:left="1136" w:right="200" w:firstLine="360"/>
        <w:jc w:val="left"/>
        <w:rPr>
          <w:rFonts w:ascii="Times New Roman;Times;serif" w:hAnsi="Times New Roman;Times;serif"/>
          <w:sz w:val="20"/>
        </w:rPr>
      </w:pPr>
      <w:r>
        <w:rPr>
          <w:rFonts w:ascii="Times New Roman;Times;serif" w:hAnsi="Times New Roman;Times;serif"/>
          <w:sz w:val="20"/>
        </w:rPr>
        <w:t>Our principal executive offices are located at Robert-Bosch-Str. 32-36, 72250 Freudenstadt, Germany.</w:t>
      </w:r>
    </w:p>
    <w:p>
      <w:pPr>
        <w:pStyle w:val="TextBody"/>
        <w:bidi w:val="0"/>
        <w:spacing w:before="0" w:after="0"/>
        <w:ind w:left="1136" w:right="200" w:firstLine="360"/>
        <w:jc w:val="left"/>
        <w:rPr>
          <w:rFonts w:ascii="Times New Roman;Times;serif" w:hAnsi="Times New Roman;Times;serif"/>
          <w:sz w:val="20"/>
        </w:rPr>
      </w:pPr>
      <w:r>
        <w:rPr>
          <w:rFonts w:ascii="Times New Roman;Times;serif" w:hAnsi="Times New Roman;Times;serif"/>
          <w:sz w:val="20"/>
        </w:rPr>
        <w:t>Investing in our securities involves a high degree of risk. Before buying any securities, you should carefully read the discussion of material risks of investing in our securities in “</w:t>
      </w:r>
      <w:r>
        <w:rPr>
          <w:rFonts w:ascii="Times New Roman;Times;serif" w:hAnsi="Times New Roman;Times;serif"/>
          <w:i/>
          <w:sz w:val="20"/>
        </w:rPr>
        <w:t>Risk Factors</w:t>
      </w:r>
      <w:r>
        <w:rPr>
          <w:rFonts w:ascii="Times New Roman;Times;serif" w:hAnsi="Times New Roman;Times;serif"/>
          <w:sz w:val="20"/>
        </w:rPr>
        <w:t>” of this prospectus.</w:t>
      </w:r>
    </w:p>
    <w:p>
      <w:pPr>
        <w:pStyle w:val="TextBody"/>
        <w:bidi w:val="0"/>
        <w:spacing w:before="0" w:after="0"/>
        <w:ind w:left="1136" w:right="200" w:firstLine="360"/>
        <w:jc w:val="center"/>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4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bookmarkStart w:id="8" w:name="_e70d28e3_c67c_4b61_a941_f93f0ef7584c"/>
      <w:bookmarkEnd w:id="8"/>
      <w:r>
        <w:rPr>
          <w:rFonts w:ascii="Times New Roman;Times;serif" w:hAnsi="Times New Roman;Times;serif"/>
          <w:sz w:val="20"/>
        </w:rPr>
        <w:t>We are a “foreign private issuer” as defined in the U.S. Securities Exchange Act of 1934, as amended (the “Exchange Act”), and are exempt from certain rules under the Exchange Act that impose certain disclosure obligations and procedural requirements for proxy solicitations under Section 14 of the Exchange Act. In addition, our officers, directors and principal shareholders are exempt from the reporting and “short-swing” profit recovery provisions under Section 16 of the Exchange Act. Moreover, we are not required to file periodic reports and financial statements with the U.S. Securities and Exchange Commission as frequently or as promptly as U.S. companies whose securities are registered under the Exchange Act. Additionally, the NASDAQ rules allow foreign private issuers to follow home country practices in lieu of certain of the NASDAQ’s corporate governance rules. As a result, our shareholders may not have the same protections afforded to shareholders of companies that are subject to all the NASDAQ corporate governance requirements.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are a controlled company as defined under the Nasdaq Capital Market Marketplace Rule 5615(c) because, Anette Schmid, and Christian Schmid, directly and indirectly, collectively hold 30,857,893 Ordinary Shares consisting of 50.86% of the issued and outstanding shares totaling 60,675,726 Ordinary Shares as of the date of this prospectus (and not including 5,000,000 earn-out shares, which have been issued but have not vested). Including the 5,000,000 earn-out shares, we have 65,675,726 Ordinary Shares outstanding.</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Neither the Securities and Exchange Commission nor any state securities commission has approved or disapproved of these securities or passed on the adequacy or accuracy of this prospectus. Any representation to the contrary is a criminal offense.</w:t>
      </w:r>
    </w:p>
    <w:p>
      <w:pPr>
        <w:pStyle w:val="TextBody"/>
        <w:bidi w:val="0"/>
        <w:spacing w:before="0" w:after="0"/>
        <w:ind w:left="200" w:right="200" w:hanging="0"/>
        <w:jc w:val="center"/>
        <w:rPr>
          <w:rFonts w:ascii="Times New Roman;Times;serif" w:hAnsi="Times New Roman;Times;serif"/>
          <w:sz w:val="20"/>
        </w:rPr>
      </w:pPr>
      <w:r>
        <w:rPr>
          <w:rFonts w:ascii="Times New Roman;Times;serif" w:hAnsi="Times New Roman;Times;serif"/>
          <w:sz w:val="20"/>
        </w:rPr>
        <w:t>Prospectus dated          , 2026</w:t>
      </w:r>
    </w:p>
    <w:p>
      <w:pPr>
        <w:pStyle w:val="TextBody"/>
        <w:bidi w:val="0"/>
        <w:spacing w:before="0" w:after="0"/>
        <w:ind w:left="200" w:right="200" w:hanging="0"/>
        <w:jc w:val="center"/>
        <w:rPr/>
      </w:pPr>
      <w:r>
        <w:rPr/>
        <w:t>​</w:t>
      </w:r>
    </w:p>
    <w:p>
      <w:pPr>
        <w:pStyle w:val="TextBody"/>
        <w:bidi w:val="0"/>
        <w:spacing w:before="0" w:after="0"/>
        <w:ind w:left="200" w:right="200" w:hanging="0"/>
        <w:jc w:val="center"/>
        <w:rPr/>
      </w:pPr>
      <w:r>
        <w:rPr/>
        <w:t>​</w:t>
      </w:r>
    </w:p>
    <w:p>
      <w:pPr>
        <w:pStyle w:val="TextBody"/>
        <w:bidi w:val="0"/>
        <w:spacing w:before="480" w:after="0"/>
        <w:ind w:left="200" w:right="200" w:hanging="0"/>
        <w:jc w:val="center"/>
        <w:rPr/>
      </w:pPr>
      <w:r>
        <w:rPr/>
        <w:t>​</w:t>
      </w:r>
    </w:p>
    <w:p>
      <w:pPr>
        <w:pStyle w:val="TextBody"/>
        <w:bidi w:val="0"/>
        <w:spacing w:before="0" w:after="4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9" w:name="TOC"/>
      <w:bookmarkStart w:id="10" w:name="_f018c381_bdc3_42d0_b75a_59889dc34d5f"/>
      <w:bookmarkEnd w:id="9"/>
      <w:bookmarkEnd w:id="10"/>
      <w:r>
        <w:rPr>
          <w:rFonts w:ascii="Times New Roman;Times;serif" w:hAnsi="Times New Roman;Times;serif"/>
          <w:b/>
          <w:sz w:val="20"/>
        </w:rPr>
        <w:t>TABLE OF CONTENTS</w:t>
      </w:r>
    </w:p>
    <w:tbl>
      <w:tblPr>
        <w:tblW w:w="9805" w:type="dxa"/>
        <w:jc w:val="left"/>
        <w:tblInd w:w="200" w:type="dxa"/>
        <w:tblLayout w:type="fixed"/>
        <w:tblCellMar>
          <w:top w:w="0" w:type="dxa"/>
          <w:left w:w="0" w:type="dxa"/>
          <w:bottom w:w="0" w:type="dxa"/>
          <w:right w:w="0" w:type="dxa"/>
        </w:tblCellMar>
      </w:tblPr>
      <w:tblGrid>
        <w:gridCol w:w="9008"/>
        <w:gridCol w:w="286"/>
        <w:gridCol w:w="511"/>
      </w:tblGrid>
      <w:tr>
        <w:trPr/>
        <w:tc>
          <w:tcPr>
            <w:tcW w:w="900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9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720080" cy="175260"/>
                      <wp:effectExtent l="0" t="0" r="0" b="0"/>
                      <wp:wrapNone/>
                      <wp:docPr id="8" name="Frame8"/>
                      <a:graphic xmlns:a="http://schemas.openxmlformats.org/drawingml/2006/main">
                        <a:graphicData uri="http://schemas.microsoft.com/office/word/2010/wordprocessingShape">
                          <wps:wsp>
                            <wps:cNvSpPr txBox="1"/>
                            <wps:spPr>
                              <a:xfrm>
                                <a:off x="0" y="0"/>
                                <a:ext cx="5720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24485" cy="29210"/>
                      <wp:effectExtent l="0" t="0" r="0" b="0"/>
                      <wp:wrapNone/>
                      <wp:docPr id="9" name="Frame9"/>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00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008" w:type="dxa"/>
            <w:tcBorders/>
            <w:shd w:fill="CCEEFF" w:val="clear"/>
            <w:vAlign w:val="center"/>
          </w:tcPr>
          <w:p>
            <w:pPr>
              <w:pStyle w:val="TableContents"/>
              <w:pBdr/>
              <w:bidi w:val="0"/>
              <w:spacing w:before="0" w:after="0"/>
              <w:ind w:left="0" w:right="0" w:hanging="0"/>
              <w:jc w:val="left"/>
              <w:rPr/>
            </w:pPr>
            <w:hyperlink w:anchor="ABOUTTHISPROSPECTUS_319927">
              <w:r>
                <w:rPr>
                  <w:rStyle w:val="InternetLink"/>
                  <w:rFonts w:ascii="Times New Roman;Times;serif" w:hAnsi="Times New Roman;Times;serif"/>
                  <w:b w:val="false"/>
                  <w:i w:val="false"/>
                  <w:caps w:val="false"/>
                  <w:smallCaps w:val="false"/>
                  <w:sz w:val="20"/>
                </w:rPr>
                <w:t>ABOUT THIS PROSPECTUS</w:t>
              </w:r>
            </w:hyperlink>
          </w:p>
        </w:tc>
        <w:tc>
          <w:tcPr>
            <w:tcW w:w="286" w:type="dxa"/>
            <w:tcBorders/>
            <w:shd w:fill="CCEEFF" w:val="clear"/>
            <w:vAlign w:val="center"/>
          </w:tcPr>
          <w:p>
            <w:pPr>
              <w:pStyle w:val="TableContents"/>
              <w:bidi w:val="0"/>
              <w:spacing w:before="0" w:after="0"/>
              <w:ind w:left="0" w:right="0" w:hanging="0"/>
              <w:jc w:val="center"/>
              <w:rPr/>
            </w:pPr>
            <w:r>
              <w:rPr/>
              <w:t>​</w:t>
            </w:r>
          </w:p>
        </w:tc>
        <w:tc>
          <w:tcPr>
            <w:tcW w:w="51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008" w:type="dxa"/>
            <w:tcBorders/>
            <w:vAlign w:val="center"/>
          </w:tcPr>
          <w:p>
            <w:pPr>
              <w:pStyle w:val="TableContents"/>
              <w:pBdr/>
              <w:bidi w:val="0"/>
              <w:spacing w:before="0" w:after="0"/>
              <w:ind w:left="0" w:right="0" w:hanging="0"/>
              <w:jc w:val="left"/>
              <w:rPr/>
            </w:pPr>
            <w:hyperlink w:anchor="CONVENTIONSWHICHAPPLYTOTHISPROSPECTUS_77">
              <w:r>
                <w:rPr>
                  <w:rStyle w:val="InternetLink"/>
                  <w:rFonts w:ascii="Times New Roman;Times;serif" w:hAnsi="Times New Roman;Times;serif"/>
                  <w:b w:val="false"/>
                  <w:i w:val="false"/>
                  <w:caps w:val="false"/>
                  <w:smallCaps w:val="false"/>
                  <w:sz w:val="20"/>
                </w:rPr>
                <w:t>CONVENTIONS WHICH APPLY TO THIS PROSPECTUS</w:t>
              </w:r>
            </w:hyperlink>
          </w:p>
        </w:tc>
        <w:tc>
          <w:tcPr>
            <w:tcW w:w="28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008" w:type="dxa"/>
            <w:tcBorders/>
            <w:shd w:fill="CCEEFF" w:val="clear"/>
            <w:vAlign w:val="center"/>
          </w:tcPr>
          <w:p>
            <w:pPr>
              <w:pStyle w:val="TableContents"/>
              <w:pBdr/>
              <w:bidi w:val="0"/>
              <w:spacing w:before="0" w:after="0"/>
              <w:ind w:left="0" w:right="0" w:hanging="0"/>
              <w:jc w:val="left"/>
              <w:rPr/>
            </w:pPr>
            <w:hyperlink w:anchor="IMPORTANTINFORMATIONABOUTUSGAAPIFRSANDNO">
              <w:r>
                <w:rPr>
                  <w:rStyle w:val="InternetLink"/>
                  <w:rFonts w:ascii="Times New Roman;Times;serif" w:hAnsi="Times New Roman;Times;serif"/>
                  <w:b w:val="false"/>
                  <w:i w:val="false"/>
                  <w:caps w:val="false"/>
                  <w:smallCaps w:val="false"/>
                  <w:sz w:val="20"/>
                </w:rPr>
                <w:t>IMPORTANT INFORMATION ABOUT U.S. GAAP, IFRS AND NON-IFRS FINANCIAL MEASURES</w:t>
              </w:r>
            </w:hyperlink>
          </w:p>
        </w:tc>
        <w:tc>
          <w:tcPr>
            <w:tcW w:w="28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008" w:type="dxa"/>
            <w:tcBorders/>
            <w:vAlign w:val="center"/>
          </w:tcPr>
          <w:p>
            <w:pPr>
              <w:pStyle w:val="TableContents"/>
              <w:pBdr/>
              <w:bidi w:val="0"/>
              <w:spacing w:before="0" w:after="0"/>
              <w:ind w:left="0" w:right="0" w:hanging="0"/>
              <w:jc w:val="left"/>
              <w:rPr/>
            </w:pPr>
            <w:hyperlink w:anchor="TRADEMARKSSERVICEMARKSANDTRADENAMES_9925">
              <w:r>
                <w:rPr>
                  <w:rStyle w:val="InternetLink"/>
                  <w:rFonts w:ascii="Times New Roman;Times;serif" w:hAnsi="Times New Roman;Times;serif"/>
                  <w:b w:val="false"/>
                  <w:i w:val="false"/>
                  <w:caps w:val="false"/>
                  <w:smallCaps w:val="false"/>
                  <w:sz w:val="20"/>
                </w:rPr>
                <w:t>TRADEMARKS, SERVICE MARKS AND TRADE NAMES</w:t>
              </w:r>
            </w:hyperlink>
          </w:p>
        </w:tc>
        <w:tc>
          <w:tcPr>
            <w:tcW w:w="28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008" w:type="dxa"/>
            <w:tcBorders/>
            <w:shd w:fill="CCEEFF" w:val="clear"/>
            <w:vAlign w:val="center"/>
          </w:tcPr>
          <w:p>
            <w:pPr>
              <w:pStyle w:val="TableContents"/>
              <w:pBdr/>
              <w:bidi w:val="0"/>
              <w:spacing w:before="0" w:after="0"/>
              <w:ind w:left="0" w:right="0" w:hanging="0"/>
              <w:jc w:val="left"/>
              <w:rPr/>
            </w:pPr>
            <w:hyperlink w:anchor="MARKETINDUSTRYANDOTHERDATA_559516">
              <w:r>
                <w:rPr>
                  <w:rStyle w:val="InternetLink"/>
                  <w:rFonts w:ascii="Times New Roman;Times;serif" w:hAnsi="Times New Roman;Times;serif"/>
                  <w:b w:val="false"/>
                  <w:i w:val="false"/>
                  <w:caps w:val="false"/>
                  <w:smallCaps w:val="false"/>
                  <w:sz w:val="20"/>
                </w:rPr>
                <w:t>MARKET, INDUSTRY AND OTHER DATA</w:t>
              </w:r>
            </w:hyperlink>
          </w:p>
        </w:tc>
        <w:tc>
          <w:tcPr>
            <w:tcW w:w="28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008" w:type="dxa"/>
            <w:tcBorders/>
            <w:vAlign w:val="center"/>
          </w:tcPr>
          <w:p>
            <w:pPr>
              <w:pStyle w:val="TableContents"/>
              <w:pBdr/>
              <w:bidi w:val="0"/>
              <w:spacing w:before="0" w:after="0"/>
              <w:ind w:left="0" w:right="0" w:hanging="0"/>
              <w:jc w:val="left"/>
              <w:rPr/>
            </w:pPr>
            <w:hyperlink w:anchor="FREQUENTLYUSEDTERMSANDBASISOFPRESENTATIO">
              <w:r>
                <w:rPr>
                  <w:rStyle w:val="InternetLink"/>
                  <w:rFonts w:ascii="Times New Roman;Times;serif" w:hAnsi="Times New Roman;Times;serif"/>
                  <w:b w:val="false"/>
                  <w:i w:val="false"/>
                  <w:caps w:val="false"/>
                  <w:smallCaps w:val="false"/>
                  <w:sz w:val="20"/>
                </w:rPr>
                <w:t>FREQUENTLY USED TERMS AND BASIS OF PRESENTATION</w:t>
              </w:r>
            </w:hyperlink>
          </w:p>
        </w:tc>
        <w:tc>
          <w:tcPr>
            <w:tcW w:w="28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008" w:type="dxa"/>
            <w:tcBorders/>
            <w:shd w:fill="CCEEFF" w:val="clear"/>
            <w:vAlign w:val="center"/>
          </w:tcPr>
          <w:p>
            <w:pPr>
              <w:pStyle w:val="TableContents"/>
              <w:pBdr/>
              <w:bidi w:val="0"/>
              <w:spacing w:before="0" w:after="0"/>
              <w:ind w:left="0" w:right="0" w:hanging="0"/>
              <w:jc w:val="left"/>
              <w:rPr/>
            </w:pPr>
            <w:hyperlink w:anchor="CAUTIONARYNOTEREGARDINGFORWARDLOOKINGSTA">
              <w:r>
                <w:rPr>
                  <w:rStyle w:val="InternetLink"/>
                  <w:rFonts w:ascii="Times New Roman;Times;serif" w:hAnsi="Times New Roman;Times;serif"/>
                  <w:b w:val="false"/>
                  <w:i w:val="false"/>
                  <w:caps w:val="false"/>
                  <w:smallCaps w:val="false"/>
                  <w:sz w:val="20"/>
                </w:rPr>
                <w:t>CAUTIONARY NOTE REGARDING FORWARD-LOOKING STATEMENTS</w:t>
              </w:r>
            </w:hyperlink>
          </w:p>
        </w:tc>
        <w:tc>
          <w:tcPr>
            <w:tcW w:w="28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008" w:type="dxa"/>
            <w:tcBorders/>
            <w:vAlign w:val="center"/>
          </w:tcPr>
          <w:p>
            <w:pPr>
              <w:pStyle w:val="TableContents"/>
              <w:pBdr/>
              <w:bidi w:val="0"/>
              <w:spacing w:before="0" w:after="0"/>
              <w:ind w:left="0" w:right="0" w:hanging="0"/>
              <w:jc w:val="left"/>
              <w:rPr/>
            </w:pPr>
            <w:hyperlink w:anchor="SUMMARYOFPROSPECTUS_640850">
              <w:r>
                <w:rPr>
                  <w:rStyle w:val="InternetLink"/>
                  <w:rFonts w:ascii="Times New Roman;Times;serif" w:hAnsi="Times New Roman;Times;serif"/>
                  <w:b w:val="false"/>
                  <w:i w:val="false"/>
                  <w:caps w:val="false"/>
                  <w:smallCaps w:val="false"/>
                  <w:sz w:val="20"/>
                </w:rPr>
                <w:t>SUMMARY</w:t>
              </w:r>
            </w:hyperlink>
          </w:p>
        </w:tc>
        <w:tc>
          <w:tcPr>
            <w:tcW w:w="28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008" w:type="dxa"/>
            <w:tcBorders/>
            <w:shd w:fill="CCEEFF" w:val="clear"/>
            <w:vAlign w:val="center"/>
          </w:tcPr>
          <w:p>
            <w:pPr>
              <w:pStyle w:val="TableContents"/>
              <w:pBdr/>
              <w:bidi w:val="0"/>
              <w:spacing w:before="0" w:after="0"/>
              <w:ind w:left="0" w:right="0" w:hanging="0"/>
              <w:jc w:val="left"/>
              <w:rPr/>
            </w:pPr>
            <w:hyperlink w:anchor="THEOFFERING_713644">
              <w:r>
                <w:rPr>
                  <w:rStyle w:val="InternetLink"/>
                  <w:rFonts w:ascii="Times New Roman;Times;serif" w:hAnsi="Times New Roman;Times;serif"/>
                  <w:b w:val="false"/>
                  <w:i w:val="false"/>
                  <w:caps w:val="false"/>
                  <w:smallCaps w:val="false"/>
                  <w:sz w:val="20"/>
                </w:rPr>
                <w:t>THE OFFERING</w:t>
              </w:r>
            </w:hyperlink>
          </w:p>
        </w:tc>
        <w:tc>
          <w:tcPr>
            <w:tcW w:w="28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9008" w:type="dxa"/>
            <w:tcBorders/>
            <w:vAlign w:val="center"/>
          </w:tcPr>
          <w:p>
            <w:pPr>
              <w:pStyle w:val="TableContents"/>
              <w:pBdr/>
              <w:bidi w:val="0"/>
              <w:spacing w:before="0" w:after="0"/>
              <w:ind w:left="0" w:right="0" w:hanging="0"/>
              <w:jc w:val="left"/>
              <w:rPr/>
            </w:pPr>
            <w:hyperlink w:anchor="SUMMARYHISTORICALCONSOLIDATEDFINANCIALIN">
              <w:r>
                <w:rPr>
                  <w:rStyle w:val="InternetLink"/>
                  <w:rFonts w:ascii="Times New Roman;Times;serif" w:hAnsi="Times New Roman;Times;serif"/>
                  <w:b w:val="false"/>
                  <w:i w:val="false"/>
                  <w:caps w:val="false"/>
                  <w:smallCaps w:val="false"/>
                  <w:sz w:val="20"/>
                </w:rPr>
                <w:t xml:space="preserve">SUMMARY HISTORICAL FINANCIAL INFORMATION OF SCHMID </w:t>
              </w:r>
            </w:hyperlink>
          </w:p>
        </w:tc>
        <w:tc>
          <w:tcPr>
            <w:tcW w:w="28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9008" w:type="dxa"/>
            <w:tcBorders/>
            <w:shd w:fill="CCEEFF" w:val="clear"/>
            <w:vAlign w:val="center"/>
          </w:tcPr>
          <w:p>
            <w:pPr>
              <w:pStyle w:val="TableContents"/>
              <w:pBdr/>
              <w:bidi w:val="0"/>
              <w:spacing w:before="0" w:after="0"/>
              <w:ind w:left="0" w:right="0" w:hanging="0"/>
              <w:jc w:val="left"/>
              <w:rPr/>
            </w:pPr>
            <w:hyperlink w:anchor="RISKFACTORS_993686">
              <w:r>
                <w:rPr>
                  <w:rStyle w:val="InternetLink"/>
                  <w:rFonts w:ascii="Times New Roman;Times;serif" w:hAnsi="Times New Roman;Times;serif"/>
                  <w:b w:val="false"/>
                  <w:i w:val="false"/>
                  <w:caps w:val="false"/>
                  <w:smallCaps w:val="false"/>
                  <w:sz w:val="20"/>
                </w:rPr>
                <w:t>RISK FACTORS</w:t>
              </w:r>
            </w:hyperlink>
          </w:p>
        </w:tc>
        <w:tc>
          <w:tcPr>
            <w:tcW w:w="28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008" w:type="dxa"/>
            <w:tcBorders/>
            <w:vAlign w:val="center"/>
          </w:tcPr>
          <w:p>
            <w:pPr>
              <w:pStyle w:val="TableContents"/>
              <w:pBdr/>
              <w:bidi w:val="0"/>
              <w:spacing w:before="0" w:after="0"/>
              <w:ind w:left="0" w:right="0" w:hanging="0"/>
              <w:jc w:val="left"/>
              <w:rPr/>
            </w:pPr>
            <w:hyperlink w:anchor="USEOFPROCEEDS_25574">
              <w:r>
                <w:rPr>
                  <w:rStyle w:val="InternetLink"/>
                  <w:rFonts w:ascii="Times New Roman;Times;serif" w:hAnsi="Times New Roman;Times;serif"/>
                  <w:b w:val="false"/>
                  <w:i w:val="false"/>
                  <w:caps w:val="false"/>
                  <w:smallCaps w:val="false"/>
                  <w:sz w:val="20"/>
                </w:rPr>
                <w:t>USE OF PROCEEDS</w:t>
              </w:r>
            </w:hyperlink>
          </w:p>
        </w:tc>
        <w:tc>
          <w:tcPr>
            <w:tcW w:w="28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9008" w:type="dxa"/>
            <w:tcBorders/>
            <w:shd w:fill="CCEEFF" w:val="clear"/>
            <w:vAlign w:val="center"/>
          </w:tcPr>
          <w:p>
            <w:pPr>
              <w:pStyle w:val="TableContents"/>
              <w:pBdr/>
              <w:bidi w:val="0"/>
              <w:spacing w:before="0" w:after="0"/>
              <w:ind w:left="0" w:right="0" w:hanging="0"/>
              <w:jc w:val="left"/>
              <w:rPr/>
            </w:pPr>
            <w:hyperlink w:anchor="DETERMINATIONOFOFFERINGPRICE_710016">
              <w:r>
                <w:rPr>
                  <w:rStyle w:val="InternetLink"/>
                  <w:rFonts w:ascii="Times New Roman;Times;serif" w:hAnsi="Times New Roman;Times;serif"/>
                  <w:b w:val="false"/>
                  <w:i w:val="false"/>
                  <w:caps w:val="false"/>
                  <w:smallCaps w:val="false"/>
                  <w:sz w:val="20"/>
                </w:rPr>
                <w:t>DETERMINATION OF OFFERING PRICE</w:t>
              </w:r>
            </w:hyperlink>
          </w:p>
        </w:tc>
        <w:tc>
          <w:tcPr>
            <w:tcW w:w="28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9008" w:type="dxa"/>
            <w:tcBorders/>
            <w:vAlign w:val="center"/>
          </w:tcPr>
          <w:p>
            <w:pPr>
              <w:pStyle w:val="TableContents"/>
              <w:pBdr/>
              <w:bidi w:val="0"/>
              <w:spacing w:before="0" w:after="0"/>
              <w:ind w:left="0" w:right="0" w:hanging="0"/>
              <w:jc w:val="left"/>
              <w:rPr/>
            </w:pPr>
            <w:hyperlink w:anchor="MARKETINFORMATIONFORORDINARYSHARESANDDIV">
              <w:r>
                <w:rPr>
                  <w:rStyle w:val="InternetLink"/>
                  <w:rFonts w:ascii="Times New Roman;Times;serif" w:hAnsi="Times New Roman;Times;serif"/>
                  <w:b w:val="false"/>
                  <w:i w:val="false"/>
                  <w:caps w:val="false"/>
                  <w:smallCaps w:val="false"/>
                  <w:sz w:val="20"/>
                </w:rPr>
                <w:t>MARKET INFORMATION FOR CLASS A SHARES AND DIVIDEND POLICY</w:t>
              </w:r>
            </w:hyperlink>
          </w:p>
        </w:tc>
        <w:tc>
          <w:tcPr>
            <w:tcW w:w="28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9008" w:type="dxa"/>
            <w:tcBorders/>
            <w:shd w:fill="CCEEFF" w:val="clear"/>
            <w:vAlign w:val="center"/>
          </w:tcPr>
          <w:p>
            <w:pPr>
              <w:pStyle w:val="TableContents"/>
              <w:pBdr/>
              <w:bidi w:val="0"/>
              <w:spacing w:before="0" w:after="0"/>
              <w:ind w:left="0" w:right="0" w:hanging="0"/>
              <w:jc w:val="left"/>
              <w:rPr/>
            </w:pPr>
            <w:hyperlink w:anchor="CAPITALIZATION_844910">
              <w:r>
                <w:rPr>
                  <w:rStyle w:val="InternetLink"/>
                  <w:rFonts w:ascii="Times New Roman;Times;serif" w:hAnsi="Times New Roman;Times;serif"/>
                  <w:b w:val="false"/>
                  <w:i w:val="false"/>
                  <w:caps w:val="false"/>
                  <w:smallCaps w:val="false"/>
                  <w:sz w:val="20"/>
                </w:rPr>
                <w:t>CAPITALIZATION</w:t>
              </w:r>
            </w:hyperlink>
          </w:p>
        </w:tc>
        <w:tc>
          <w:tcPr>
            <w:tcW w:w="28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9008" w:type="dxa"/>
            <w:tcBorders/>
            <w:vAlign w:val="center"/>
          </w:tcPr>
          <w:p>
            <w:pPr>
              <w:pStyle w:val="TableContents"/>
              <w:pBdr/>
              <w:bidi w:val="0"/>
              <w:spacing w:before="0" w:after="0"/>
              <w:ind w:left="0" w:right="0" w:hanging="0"/>
              <w:jc w:val="left"/>
              <w:rPr/>
            </w:pPr>
            <w:hyperlink w:anchor="BUSINESSOFSCHMIDANDCERTAININFORMATIONABO">
              <w:r>
                <w:rPr>
                  <w:rStyle w:val="InternetLink"/>
                  <w:rFonts w:ascii="Times New Roman;Times;serif" w:hAnsi="Times New Roman;Times;serif"/>
                  <w:b w:val="false"/>
                  <w:i w:val="false"/>
                  <w:caps w:val="false"/>
                  <w:smallCaps w:val="false"/>
                  <w:sz w:val="20"/>
                </w:rPr>
                <w:t>BUSINESS OF SCHMID AND CERTAIN INFORMATION ABOUT SCHMID</w:t>
              </w:r>
            </w:hyperlink>
          </w:p>
        </w:tc>
        <w:tc>
          <w:tcPr>
            <w:tcW w:w="28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9008" w:type="dxa"/>
            <w:tcBorders/>
            <w:shd w:fill="CCEEFF" w:val="clear"/>
            <w:vAlign w:val="center"/>
          </w:tcPr>
          <w:p>
            <w:pPr>
              <w:pStyle w:val="TableContents"/>
              <w:pBdr/>
              <w:bidi w:val="0"/>
              <w:spacing w:before="0" w:after="0"/>
              <w:ind w:left="0" w:right="0" w:hanging="0"/>
              <w:jc w:val="left"/>
              <w:rPr/>
            </w:pPr>
            <w:hyperlink w:anchor="MANAGEMENTSDISCUSSIONANDANALYSISOFFINANC">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28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9008" w:type="dxa"/>
            <w:tcBorders/>
            <w:vAlign w:val="center"/>
          </w:tcPr>
          <w:p>
            <w:pPr>
              <w:pStyle w:val="TableContents"/>
              <w:pBdr/>
              <w:bidi w:val="0"/>
              <w:spacing w:before="0" w:after="0"/>
              <w:ind w:left="0" w:right="0" w:hanging="0"/>
              <w:jc w:val="left"/>
              <w:rPr/>
            </w:pPr>
            <w:hyperlink w:anchor="MANAGEMENT_348656">
              <w:r>
                <w:rPr>
                  <w:rStyle w:val="InternetLink"/>
                  <w:rFonts w:ascii="Times New Roman;Times;serif" w:hAnsi="Times New Roman;Times;serif"/>
                  <w:b w:val="false"/>
                  <w:i w:val="false"/>
                  <w:caps w:val="false"/>
                  <w:smallCaps w:val="false"/>
                  <w:sz w:val="20"/>
                </w:rPr>
                <w:t>MANAGEMENT</w:t>
              </w:r>
            </w:hyperlink>
          </w:p>
        </w:tc>
        <w:tc>
          <w:tcPr>
            <w:tcW w:w="28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9008" w:type="dxa"/>
            <w:tcBorders/>
            <w:shd w:fill="CCEEFF" w:val="clear"/>
            <w:vAlign w:val="center"/>
          </w:tcPr>
          <w:p>
            <w:pPr>
              <w:pStyle w:val="TableContents"/>
              <w:pBdr/>
              <w:bidi w:val="0"/>
              <w:spacing w:before="0" w:after="0"/>
              <w:ind w:left="0" w:right="0" w:hanging="0"/>
              <w:jc w:val="left"/>
              <w:rPr/>
            </w:pPr>
            <w:hyperlink w:anchor="DESCRIPTIONOFSECURITIES_538500">
              <w:r>
                <w:rPr>
                  <w:rStyle w:val="InternetLink"/>
                  <w:rFonts w:ascii="Times New Roman;Times;serif" w:hAnsi="Times New Roman;Times;serif"/>
                  <w:b w:val="false"/>
                  <w:i w:val="false"/>
                  <w:caps w:val="false"/>
                  <w:smallCaps w:val="false"/>
                  <w:sz w:val="20"/>
                </w:rPr>
                <w:t>DESCRIPTION OF SECURITIES</w:t>
              </w:r>
            </w:hyperlink>
          </w:p>
        </w:tc>
        <w:tc>
          <w:tcPr>
            <w:tcW w:w="28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9008" w:type="dxa"/>
            <w:tcBorders/>
            <w:vAlign w:val="center"/>
          </w:tcPr>
          <w:p>
            <w:pPr>
              <w:pStyle w:val="TableContents"/>
              <w:pBdr/>
              <w:bidi w:val="0"/>
              <w:spacing w:before="0" w:after="0"/>
              <w:ind w:left="0" w:right="0" w:hanging="0"/>
              <w:jc w:val="left"/>
              <w:rPr/>
            </w:pPr>
            <w:hyperlink w:anchor="CERTAINRELATIONSHIPSANDRELATEDTRANSACTIO">
              <w:r>
                <w:rPr>
                  <w:rStyle w:val="InternetLink"/>
                  <w:rFonts w:ascii="Times New Roman;Times;serif" w:hAnsi="Times New Roman;Times;serif"/>
                  <w:b w:val="false"/>
                  <w:i w:val="false"/>
                  <w:caps w:val="false"/>
                  <w:smallCaps w:val="false"/>
                  <w:sz w:val="20"/>
                </w:rPr>
                <w:t>CERTAIN RELATIONSHIPS AND RELATED TRANSACTIONS</w:t>
              </w:r>
            </w:hyperlink>
          </w:p>
        </w:tc>
        <w:tc>
          <w:tcPr>
            <w:tcW w:w="28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9008" w:type="dxa"/>
            <w:tcBorders/>
            <w:shd w:fill="CCEEFF" w:val="clear"/>
            <w:vAlign w:val="center"/>
          </w:tcPr>
          <w:p>
            <w:pPr>
              <w:pStyle w:val="TableContents"/>
              <w:pBdr/>
              <w:bidi w:val="0"/>
              <w:spacing w:before="0" w:after="0"/>
              <w:ind w:left="0" w:right="0" w:hanging="0"/>
              <w:jc w:val="left"/>
              <w:rPr/>
            </w:pPr>
            <w:hyperlink w:anchor="PRINCIPALSECURITYHOLDERS_631328">
              <w:r>
                <w:rPr>
                  <w:rStyle w:val="InternetLink"/>
                  <w:rFonts w:ascii="Times New Roman;Times;serif" w:hAnsi="Times New Roman;Times;serif"/>
                  <w:b w:val="false"/>
                  <w:i w:val="false"/>
                  <w:caps w:val="false"/>
                  <w:smallCaps w:val="false"/>
                  <w:sz w:val="20"/>
                </w:rPr>
                <w:t>PRINCIPAL SECURITYHOLDERS</w:t>
              </w:r>
            </w:hyperlink>
          </w:p>
        </w:tc>
        <w:tc>
          <w:tcPr>
            <w:tcW w:w="28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9008" w:type="dxa"/>
            <w:tcBorders/>
            <w:vAlign w:val="center"/>
          </w:tcPr>
          <w:p>
            <w:pPr>
              <w:pStyle w:val="TableContents"/>
              <w:pBdr/>
              <w:bidi w:val="0"/>
              <w:spacing w:before="0" w:after="0"/>
              <w:ind w:left="0" w:right="0" w:hanging="0"/>
              <w:jc w:val="left"/>
              <w:rPr/>
            </w:pPr>
            <w:hyperlink w:anchor="SELLINGSECURITYHOLDERS_281592">
              <w:r>
                <w:rPr>
                  <w:rStyle w:val="InternetLink"/>
                  <w:rFonts w:ascii="Times New Roman;Times;serif" w:hAnsi="Times New Roman;Times;serif"/>
                  <w:b w:val="false"/>
                  <w:i w:val="false"/>
                  <w:caps w:val="false"/>
                  <w:smallCaps w:val="false"/>
                  <w:sz w:val="20"/>
                </w:rPr>
                <w:t>SELLING SECURITYHOLDERS</w:t>
              </w:r>
            </w:hyperlink>
          </w:p>
        </w:tc>
        <w:tc>
          <w:tcPr>
            <w:tcW w:w="28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9008" w:type="dxa"/>
            <w:tcBorders/>
            <w:shd w:fill="CCEEFF" w:val="clear"/>
            <w:vAlign w:val="center"/>
          </w:tcPr>
          <w:p>
            <w:pPr>
              <w:pStyle w:val="TableContents"/>
              <w:pBdr/>
              <w:bidi w:val="0"/>
              <w:spacing w:before="0" w:after="0"/>
              <w:ind w:left="0" w:right="0" w:hanging="0"/>
              <w:jc w:val="left"/>
              <w:rPr/>
            </w:pPr>
            <w:hyperlink w:anchor="TAXATION_517921">
              <w:r>
                <w:rPr>
                  <w:rStyle w:val="InternetLink"/>
                  <w:rFonts w:ascii="Times New Roman;Times;serif" w:hAnsi="Times New Roman;Times;serif"/>
                  <w:b w:val="false"/>
                  <w:i w:val="false"/>
                  <w:caps w:val="false"/>
                  <w:smallCaps w:val="false"/>
                  <w:sz w:val="20"/>
                </w:rPr>
                <w:t>TAXATION</w:t>
              </w:r>
            </w:hyperlink>
          </w:p>
        </w:tc>
        <w:tc>
          <w:tcPr>
            <w:tcW w:w="28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9008" w:type="dxa"/>
            <w:tcBorders/>
            <w:vAlign w:val="center"/>
          </w:tcPr>
          <w:p>
            <w:pPr>
              <w:pStyle w:val="TableContents"/>
              <w:pBdr/>
              <w:bidi w:val="0"/>
              <w:spacing w:before="0" w:after="0"/>
              <w:ind w:left="0" w:right="0" w:hanging="0"/>
              <w:jc w:val="left"/>
              <w:rPr/>
            </w:pPr>
            <w:hyperlink w:anchor="PLANOFDISTRIBUTION_616124">
              <w:r>
                <w:rPr>
                  <w:rStyle w:val="InternetLink"/>
                  <w:rFonts w:ascii="Times New Roman;Times;serif" w:hAnsi="Times New Roman;Times;serif"/>
                  <w:b w:val="false"/>
                  <w:i w:val="false"/>
                  <w:caps w:val="false"/>
                  <w:smallCaps w:val="false"/>
                  <w:sz w:val="20"/>
                </w:rPr>
                <w:t>PLAN OF DISTRIBUTION</w:t>
              </w:r>
            </w:hyperlink>
          </w:p>
        </w:tc>
        <w:tc>
          <w:tcPr>
            <w:tcW w:w="28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9008" w:type="dxa"/>
            <w:tcBorders/>
            <w:shd w:fill="CCEEFF" w:val="clear"/>
            <w:vAlign w:val="center"/>
          </w:tcPr>
          <w:p>
            <w:pPr>
              <w:pStyle w:val="TableContents"/>
              <w:pBdr/>
              <w:bidi w:val="0"/>
              <w:spacing w:before="0" w:after="0"/>
              <w:ind w:left="0" w:right="0" w:hanging="0"/>
              <w:jc w:val="left"/>
              <w:rPr/>
            </w:pPr>
            <w:hyperlink w:anchor="SHARESELIGIBLEFORFUTURESALE_889186">
              <w:r>
                <w:rPr>
                  <w:rStyle w:val="InternetLink"/>
                  <w:rFonts w:ascii="Times New Roman;Times;serif" w:hAnsi="Times New Roman;Times;serif"/>
                  <w:b w:val="false"/>
                  <w:i w:val="false"/>
                  <w:caps w:val="false"/>
                  <w:smallCaps w:val="false"/>
                  <w:sz w:val="20"/>
                </w:rPr>
                <w:t>SHARES ELIGIBLE FOR FUTURE SALE</w:t>
              </w:r>
            </w:hyperlink>
          </w:p>
        </w:tc>
        <w:tc>
          <w:tcPr>
            <w:tcW w:w="28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9008" w:type="dxa"/>
            <w:tcBorders/>
            <w:vAlign w:val="center"/>
          </w:tcPr>
          <w:p>
            <w:pPr>
              <w:pStyle w:val="TableContents"/>
              <w:pBdr/>
              <w:bidi w:val="0"/>
              <w:spacing w:before="0" w:after="0"/>
              <w:ind w:left="0" w:right="0" w:hanging="0"/>
              <w:jc w:val="left"/>
              <w:rPr/>
            </w:pPr>
            <w:hyperlink w:anchor="EXPENSESRELATEDTOTHEOFFERING_223931">
              <w:r>
                <w:rPr>
                  <w:rStyle w:val="InternetLink"/>
                  <w:rFonts w:ascii="Times New Roman;Times;serif" w:hAnsi="Times New Roman;Times;serif"/>
                  <w:b w:val="false"/>
                  <w:i w:val="false"/>
                  <w:caps w:val="false"/>
                  <w:smallCaps w:val="false"/>
                  <w:sz w:val="20"/>
                </w:rPr>
                <w:t>EXPENSES RELATED TO THE OFFERING</w:t>
              </w:r>
            </w:hyperlink>
          </w:p>
        </w:tc>
        <w:tc>
          <w:tcPr>
            <w:tcW w:w="28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9008" w:type="dxa"/>
            <w:tcBorders/>
            <w:shd w:fill="CCEEFF" w:val="clear"/>
            <w:vAlign w:val="center"/>
          </w:tcPr>
          <w:p>
            <w:pPr>
              <w:pStyle w:val="TableContents"/>
              <w:pBdr/>
              <w:bidi w:val="0"/>
              <w:spacing w:before="0" w:after="0"/>
              <w:ind w:left="0" w:right="0" w:hanging="0"/>
              <w:jc w:val="left"/>
              <w:rPr/>
            </w:pPr>
            <w:hyperlink w:anchor="LEGALMATTERS_991898">
              <w:r>
                <w:rPr>
                  <w:rStyle w:val="InternetLink"/>
                  <w:rFonts w:ascii="Times New Roman;Times;serif" w:hAnsi="Times New Roman;Times;serif"/>
                  <w:b w:val="false"/>
                  <w:i w:val="false"/>
                  <w:caps w:val="false"/>
                  <w:smallCaps w:val="false"/>
                  <w:sz w:val="20"/>
                </w:rPr>
                <w:t>LEGAL MATTERS</w:t>
              </w:r>
            </w:hyperlink>
          </w:p>
        </w:tc>
        <w:tc>
          <w:tcPr>
            <w:tcW w:w="28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9008" w:type="dxa"/>
            <w:tcBorders/>
            <w:vAlign w:val="center"/>
          </w:tcPr>
          <w:p>
            <w:pPr>
              <w:pStyle w:val="TableContents"/>
              <w:pBdr/>
              <w:bidi w:val="0"/>
              <w:spacing w:before="0" w:after="0"/>
              <w:ind w:left="0" w:right="0" w:hanging="0"/>
              <w:jc w:val="left"/>
              <w:rPr/>
            </w:pPr>
            <w:hyperlink w:anchor="EXPERTS_847390">
              <w:r>
                <w:rPr>
                  <w:rStyle w:val="InternetLink"/>
                  <w:rFonts w:ascii="Times New Roman;Times;serif" w:hAnsi="Times New Roman;Times;serif"/>
                  <w:b w:val="false"/>
                  <w:i w:val="false"/>
                  <w:caps w:val="false"/>
                  <w:smallCaps w:val="false"/>
                  <w:sz w:val="20"/>
                </w:rPr>
                <w:t>EXPERTS</w:t>
              </w:r>
            </w:hyperlink>
          </w:p>
        </w:tc>
        <w:tc>
          <w:tcPr>
            <w:tcW w:w="28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9008" w:type="dxa"/>
            <w:tcBorders/>
            <w:shd w:fill="CCEEFF" w:val="clear"/>
            <w:vAlign w:val="center"/>
          </w:tcPr>
          <w:p>
            <w:pPr>
              <w:pStyle w:val="TableContents"/>
              <w:pBdr/>
              <w:bidi w:val="0"/>
              <w:spacing w:before="0" w:after="0"/>
              <w:ind w:left="0" w:right="0" w:hanging="0"/>
              <w:jc w:val="left"/>
              <w:rPr/>
            </w:pPr>
            <w:hyperlink w:anchor="ENFORCEMENTOFCIVILLIABILITIES_358046">
              <w:r>
                <w:rPr>
                  <w:rStyle w:val="InternetLink"/>
                  <w:rFonts w:ascii="Times New Roman;Times;serif" w:hAnsi="Times New Roman;Times;serif"/>
                  <w:b w:val="false"/>
                  <w:i w:val="false"/>
                  <w:caps w:val="false"/>
                  <w:smallCaps w:val="false"/>
                  <w:sz w:val="20"/>
                </w:rPr>
                <w:t>ENFORCEMENT OF CIVIL LIABILITIES</w:t>
              </w:r>
            </w:hyperlink>
          </w:p>
        </w:tc>
        <w:tc>
          <w:tcPr>
            <w:tcW w:w="28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9008" w:type="dxa"/>
            <w:tcBorders/>
            <w:vAlign w:val="center"/>
          </w:tcPr>
          <w:p>
            <w:pPr>
              <w:pStyle w:val="TableContents"/>
              <w:pBdr/>
              <w:bidi w:val="0"/>
              <w:spacing w:before="0" w:after="0"/>
              <w:ind w:left="0" w:right="0" w:hanging="0"/>
              <w:jc w:val="left"/>
              <w:rPr/>
            </w:pPr>
            <w:hyperlink w:anchor="WHEREYOUCANFINDMOREINFORMATION_993987">
              <w:r>
                <w:rPr>
                  <w:rStyle w:val="InternetLink"/>
                  <w:rFonts w:ascii="Times New Roman;Times;serif" w:hAnsi="Times New Roman;Times;serif"/>
                  <w:b w:val="false"/>
                  <w:i w:val="false"/>
                  <w:caps w:val="false"/>
                  <w:smallCaps w:val="false"/>
                  <w:sz w:val="20"/>
                </w:rPr>
                <w:t>WHERE YOU CAN FIND MORE INFORMATION</w:t>
              </w:r>
            </w:hyperlink>
          </w:p>
        </w:tc>
        <w:tc>
          <w:tcPr>
            <w:tcW w:w="28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b/>
          <w:sz w:val="20"/>
        </w:rPr>
      </w:pPr>
      <w:r>
        <w:rPr>
          <w:rFonts w:ascii="Times New Roman;Times;serif" w:hAnsi="Times New Roman;Times;serif"/>
          <w:b/>
          <w:sz w:val="20"/>
        </w:rPr>
        <w:t xml:space="preserve">You should rely only on the information contained in this prospectus, any amendment or supplement to this prospectus or any free writing prospectus prepared by us or on our behalf. Neither we, nor the selling securityholders, have authorized any other person to provide you with different or additional information. Neither we, nor the selling securityholders, take responsibility for, nor can we provide assurance as to the reliability of, any other information that others may provide. The selling securityholders are not making an offer to sell these securities in any jurisdiction where the offer or sale is not permitted. The information contained in this prospectus is accurate only as of the date of this prospectus or such other date stated in this prospectus, and our business, financial condition, results of operations and/or prospects may have changed since those dates.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4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1" w:name="ABOUTTHISPROSPECTUS_319927"/>
      <w:bookmarkStart w:id="12" w:name="_fd72e4b1_65c2_4414_8150_7ee3390b9cde"/>
      <w:bookmarkEnd w:id="11"/>
      <w:bookmarkEnd w:id="12"/>
      <w:r>
        <w:rPr>
          <w:rFonts w:ascii="Times New Roman;Times;serif" w:hAnsi="Times New Roman;Times;serif"/>
          <w:b/>
          <w:sz w:val="20"/>
        </w:rPr>
        <w:t>ABOUT THIS PROSPECTUS</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This prospectus is part of a registration statement on Form F-1 that we filed with the United States Securities and Exchange Commission (the “SEC”) for the resale of securities by the selling securityholders on a continuous basis pursuant to Rule 415 under the Securities Act. Under this shelf registration process, the selling securityholders may, from time to time, offer and sell any combination of the securities described in this prospectus in one or more offerings.</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We will not receive any proceeds from the resale of the Ordinary Shares to be offered by the selling securityholders pursuant to this prospectus. We will pay the expenses, if any, associated with the resale of our Ordinary Shares pursuant to this prospectus. To the extent required, we and the selling securityholders, as applicable, will deliver a prospectus supplement with this prospectus to update the information contained in this prospectus. The prospectus supplement may also add, update or change information included in this prospectus. You should read both this prospectus and any applicable prospectus supplement, together with additional information described below under the caption “</w:t>
      </w:r>
      <w:r>
        <w:rPr>
          <w:rFonts w:ascii="Times New Roman;Times;serif" w:hAnsi="Times New Roman;Times;serif"/>
          <w:i/>
          <w:sz w:val="20"/>
        </w:rPr>
        <w:t>Where You Can Find More Information</w:t>
      </w:r>
      <w:r>
        <w:rPr>
          <w:rFonts w:ascii="Times New Roman;Times;serif" w:hAnsi="Times New Roman;Times;serif"/>
          <w:sz w:val="20"/>
        </w:rPr>
        <w:t>.”</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Neither we nor the selling securityholders have authorized any other person to provide you with different or additional information. Neither we nor the selling securityholders take responsibility for, nor can we provide assurance as to the reliability of, any other information that others may provide. The information contained in this prospectus is accurate only as of the date of this prospectus or such other date stated in this prospectus, and our business, financial condition, results of operations and/or prospects may have changed since those dates. This prospectus contains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in this prospectus have been filed, will be filed, or will be incorporated by reference as exhibits to the registration statement of which this prospectus is a part, any you may obtain copies of those documents as described under “</w:t>
      </w:r>
      <w:r>
        <w:rPr>
          <w:rFonts w:ascii="Times New Roman;Times;serif" w:hAnsi="Times New Roman;Times;serif"/>
          <w:i/>
          <w:sz w:val="20"/>
        </w:rPr>
        <w:t>Where You Can Find More Information</w:t>
      </w:r>
      <w:r>
        <w:rPr>
          <w:rFonts w:ascii="Times New Roman;Times;serif" w:hAnsi="Times New Roman;Times;serif"/>
          <w:sz w:val="20"/>
        </w:rPr>
        <w:t>.”</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Neither we nor the selling securityholders are making an offer to sell these securities in any jurisdiction where the offer or sale is not permitted. 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No offer of these securities will be made in any jurisdiction where the offer is not permitted.</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On April 30, 2024 (the “Closing Date”), SCHMID Group N.V. (“SCHMID”, “Schmid Group” or the “Company”), closed the previously announced business combination (the “Business Combination”) pursuant to the Business Combination Agreement, dated as of May 31, 2023, as amended by a first amendment agreement dated September 26, 2023 (the “Business Combination Agreement”) and a second amendment agreement dated January 29, 2024, by and among Pegasus Digital Mobility Acquisition Corp., a Cayman Islands exempted company (“Pegasus”), Gebr. Schmid GmbH, a German limited liability company, Pegasus TopCo B.V., a Dutch private liability company (which was converted into a Dutch public limited liability company, and renamed SCHMID Group N.V., prior to the closing of the Business Combination) (“TopCo” when referring to the company prior to the Business Combination and “SCHMID” following the Closing), and Pegasus MergerSub Corp., a Cayman Islands limited liability company and wholly-owned subsidiary of the Schmid Group (“Merger Sub”). References made to Schmid Group pertaining to occurrences predating the Business Combination closing, refer to Gebr. Schmid GmbH, which was the predecessor to SCHMID Group N.V. at the top of the group’s structure.</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On the Closing Date, several transactions were completed pursuant to the Business Combination Agreement, including:</w:t>
      </w:r>
    </w:p>
    <w:tbl>
      <w:tblPr>
        <w:tblW w:w="5931" w:type="dxa"/>
        <w:jc w:val="left"/>
        <w:tblInd w:w="20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issued 99 new ordinary shares to its shareholder Pegasus;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of Gebr. Schmid GmbH, Anette Schmid, Christian Schmid and a Community of Heirs (the “Schmid Shareholders”) purchased all 100 SCHMID shares from Pegasus at nominal value;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Schmid Shareholders subscribed to 28,725,000 SCHMID shares and an additional 5,000,000 earn-out shares at €0.01 nominal value and in consideration contributed 100% of the Gebr. Schmid GmbH shares by transferring them to SCHMID;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SCHMID changed its legal form from a Dutch private limited liability company (</w:t>
            </w:r>
            <w:r>
              <w:rPr>
                <w:rFonts w:ascii="Times New Roman;Times;serif" w:hAnsi="Times New Roman;Times;serif"/>
                <w:b w:val="false"/>
                <w:i/>
                <w:sz w:val="20"/>
              </w:rPr>
              <w:t>besloten vennootschap met beperkte aansprakelijkheid</w:t>
            </w:r>
            <w:r>
              <w:rPr>
                <w:rFonts w:ascii="Times New Roman;Times;serif" w:hAnsi="Times New Roman;Times;serif"/>
                <w:b w:val="false"/>
                <w:i w:val="false"/>
                <w:caps w:val="false"/>
                <w:smallCaps w:val="false"/>
                <w:sz w:val="20"/>
              </w:rPr>
              <w:t>) to a Dutch public limited liability company (</w:t>
            </w:r>
            <w:r>
              <w:rPr>
                <w:rFonts w:ascii="Times New Roman;Times;serif" w:hAnsi="Times New Roman;Times;serif"/>
                <w:b w:val="false"/>
                <w:i/>
                <w:sz w:val="20"/>
              </w:rPr>
              <w:t>naamloze vennootschap</w:t>
            </w:r>
            <w:r>
              <w:rPr>
                <w:rFonts w:ascii="Times New Roman;Times;serif" w:hAnsi="Times New Roman;Times;serif"/>
                <w:b w:val="false"/>
                <w:i w:val="false"/>
                <w:caps w:val="false"/>
                <w:smallCaps w:val="false"/>
                <w:sz w:val="20"/>
              </w:rPr>
              <w:t>) and was renamed SCHMID Group N.V.;</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4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issued shares in exchange for each Pegasus Class A and B share outstanding (a total of 1,461,537 registered shares for Pegasus Class A shares and 5,625,000 former Pegasus Class B shares which were converted to registered Pegasus Class A shares prior to the Business Combination), and issued 1,406,361 shares to XJ Harbour HK Limited (“XJ Harbour”);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issued further shares in the amount of 756,964 shares to Pegasus Digital Mobility Sponsor LLC, the sponsor of Pegasus (the “Sponsor”), as payment for approximately USD 8.6 million in liabilities which SCHMID assumed before the closing by a debt assumption agreement between Pegasus, the Sponsor and SCHMID;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Pegasus merged with Merger Sub, with Pegasus as the surviving company and, after giving effect to the merger becoming a direct, wholly-owned subsidiary of SCHMID.</w:t>
            </w:r>
          </w:p>
        </w:tc>
      </w:tr>
    </w:tbl>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Prior to the Business Combination, SCHMID Group N.V. did not conduct any material activities other than those incident to its formation and the matters contemplated by the Business Combination Agreement, such as the making of certain required securities law filings, and the establishment of Merger Sub. Upon the closing of the Business Combination, SCHMID Group N.V. became the direct parent of Schmid, a Germany-based technology provider with extensive expertise in high-tech manufacturing processes.</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After the Closing Date, in 2025 and 2026 several transactions were completed that related to the issuance of shares or potential issuance of shares:</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2025, an up to EUR 10 million facility agreement was agreed between the Company and Black Forest Special Situations I which was structured into two tranches, with an initial tranche of EUR 2.5 million paid out on December 18, 2025. The second tranche was subsequently not drawn in 2026. The term loan has a maturity of 15 months and is convertible after 6 months or later into shares of the Company at a share price of $2.15 per Ordinary Shares. In addition, 1.25 million options were granted to Black Forest Special Situations I to purchase Ordinary Shares of the Company at a fixed exercise price of $4.1956 with such options being exercisable for a period of 5 years.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16, 2026, the Company issued 12,540,539 Ordinary Shares to XJ Harbour HK Limited to offset liabilities of $26,962,158.90 due to XJ Harbour HK Limited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2026, the Company issued $15 million in convertible notes as part of a $30 million convertible notes financing, and the other $15 million in convertible notes were issued on March 5, 2026. Since the issuance of the convertible notes, $18 million have been converted and only $12 million in principal amount remain outstanding as of the date of this registration statement. In addition, the Company issued 3,744,150 warrants on January 21, 2026 and March 5, 2026 with an exercise price of $8.0125.</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2026 the Company entered into subscription agreements and set-off agreements with Anette Schmid, Christian Schmid, Christine Schmid and Schmid Grundstücke GmbH &amp; Co KG, to set-off €30.75 million in aggregate financial liabilities in exchange for the issuance of shares with the exact number of shares to be issued determined by the Board based on a 5-trading day volume-weighted average price (VWAP) of our SCHMID Ordinary Shares.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Company entered into a Standby Equity Purchase Agreement with YA II PN, Ltd, providing the Company with equity financing of up to $30.0 million.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23, 2026, the Company issued and sold in private placements an aggregate of 4,958,481 Ordinary Shares to Anette Schmid, Christian Schmid, Christine Schmid and Schmid Grundstücke GmbH &amp; Co KG to offset indebtedness in an aggregate amount of EUR 30.75 million owed to them.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2026, the Company issued an aggregate of 293,928 Ordinary Shares to directors, employees, officers of the Company in satisfaction of their respective performance bonuses and 24,889 Ordinary Shares to Yorkville in satisfaction of the USD 150,000 commitment fee under the SEPA, thereby making the SEPA available for use by the Company. As of the day of this registration statement, the Company has issued 1,490,000 Ordinary Shares to Yorkville under the SEPA.</w:t>
            </w:r>
          </w:p>
        </w:tc>
      </w:tr>
    </w:tbl>
    <w:tbl>
      <w:tblPr>
        <w:tblW w:w="6381" w:type="dxa"/>
        <w:jc w:val="left"/>
        <w:tblInd w:w="20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the Company issued $20 million in convertible notes.</w:t>
            </w:r>
          </w:p>
        </w:tc>
      </w:tr>
    </w:tbl>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Unless the context indicates otherwise, the terms “SCHMID,” the “Company,” “we,” “us” and “our” refer to SCHMID Group N.V. (f/k/a Pegasus TopCo B.V.) after conversion into a Dutch public limited liability company and Pegasus TopCo B.V. prior to the conversion into a Dutch public liability company.</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4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center"/>
        <w:rPr>
          <w:rFonts w:ascii="Times New Roman;Times;serif" w:hAnsi="Times New Roman;Times;serif"/>
          <w:b/>
          <w:sz w:val="20"/>
        </w:rPr>
      </w:pPr>
      <w:bookmarkStart w:id="13" w:name="CONVENTIONSWHICHAPPLYTOTHISPROSPECTUS_77"/>
      <w:bookmarkStart w:id="14" w:name="_3ddab4a3_d7dd_4187_bdfd_478619c61578"/>
      <w:bookmarkEnd w:id="13"/>
      <w:bookmarkEnd w:id="14"/>
      <w:r>
        <w:rPr>
          <w:rFonts w:ascii="Times New Roman;Times;serif" w:hAnsi="Times New Roman;Times;serif"/>
          <w:b/>
          <w:sz w:val="20"/>
        </w:rPr>
        <w:t>CONVENTIONS WHICH APPLY TO THIS PROSPECTUS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this prospectus, unless otherwise specified or the context otherwise requires:</w:t>
      </w:r>
    </w:p>
    <w:tbl>
      <w:tblPr>
        <w:tblW w:w="6291" w:type="dxa"/>
        <w:jc w:val="left"/>
        <w:tblInd w:w="20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“USD” and “U.S. dollar” each refer to the United States dollar; and</w:t>
            </w:r>
          </w:p>
        </w:tc>
      </w:tr>
    </w:tbl>
    <w:tbl>
      <w:tblPr>
        <w:tblW w:w="4281" w:type="dxa"/>
        <w:jc w:val="left"/>
        <w:tblInd w:w="20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“EUR” and “Euro” each refer to the Euro.</w:t>
            </w:r>
          </w:p>
        </w:tc>
      </w:tr>
    </w:tbl>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exchange rate used for conversion between U.S. dollars and Euros is based on the ECB euro reference exchange rate published by the European Central Bank.</w:t>
      </w:r>
    </w:p>
    <w:p>
      <w:pPr>
        <w:pStyle w:val="TextBody"/>
        <w:bidi w:val="0"/>
        <w:spacing w:before="0" w:after="0"/>
        <w:ind w:left="200" w:right="200" w:hanging="0"/>
        <w:jc w:val="both"/>
        <w:rPr/>
      </w:pPr>
      <w:r>
        <w:rPr/>
        <w:t>​</w:t>
      </w:r>
    </w:p>
    <w:p>
      <w:pPr>
        <w:pStyle w:val="TextBody"/>
        <w:bidi w:val="0"/>
        <w:spacing w:before="0" w:after="240"/>
        <w:ind w:left="200" w:right="200" w:firstLine="720"/>
        <w:jc w:val="center"/>
        <w:rPr>
          <w:rFonts w:ascii="Times New Roman;Times;serif" w:hAnsi="Times New Roman;Times;serif"/>
          <w:b/>
          <w:sz w:val="20"/>
        </w:rPr>
      </w:pPr>
      <w:bookmarkStart w:id="15" w:name="IMPORTANTINFORMATIONABOUTUSGAAPIFRSANDNO"/>
      <w:bookmarkStart w:id="16" w:name="_7d50d708_a0f0_47bb_b735_569ddb1d0458"/>
      <w:bookmarkEnd w:id="15"/>
      <w:bookmarkEnd w:id="16"/>
      <w:r>
        <w:rPr>
          <w:rFonts w:ascii="Times New Roman;Times;serif" w:hAnsi="Times New Roman;Times;serif"/>
          <w:b/>
          <w:sz w:val="20"/>
        </w:rPr>
        <w:t>IMPORTANT INFORMATION ABOUT U.S. GAAP, IFRS AND NON-IFRS FINANCIAL MEASURES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SCHMID’s audited financial statements included in this prospectus are prepared in accordance with International Financial Reporting Standards as issued by the International Accounting Standards Board (“IFRS”). This prospectus includes certain references to financial measures that were not prepared in accordance with IFRS, including Adjusted EBITDA. The presentation of this non-IFRS information is not meant to be considered in isolation or as a substitute for SCHMID’s consolidated financial results prepared in accordance with IFRS.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IFRS differs in certain material respects from U.S. generally accepted accounting principles (“US GAAP”) and, as such, our financial statements are not comparable to the financial statements of U.S. companies prepared in accordance with U.S. GAAP.</w:t>
      </w:r>
    </w:p>
    <w:p>
      <w:pPr>
        <w:pStyle w:val="TextBody"/>
        <w:bidi w:val="0"/>
        <w:spacing w:before="0" w:after="0"/>
        <w:ind w:left="200" w:right="200" w:hanging="0"/>
        <w:jc w:val="both"/>
        <w:rPr/>
      </w:pPr>
      <w:r>
        <w:rPr/>
        <w:t>​</w:t>
      </w:r>
    </w:p>
    <w:p>
      <w:pPr>
        <w:pStyle w:val="TextBody"/>
        <w:bidi w:val="0"/>
        <w:spacing w:before="0" w:after="240"/>
        <w:ind w:left="200" w:right="200" w:firstLine="720"/>
        <w:jc w:val="center"/>
        <w:rPr>
          <w:rFonts w:ascii="Times New Roman;Times;serif" w:hAnsi="Times New Roman;Times;serif"/>
          <w:b/>
          <w:sz w:val="20"/>
        </w:rPr>
      </w:pPr>
      <w:bookmarkStart w:id="17" w:name="TRADEMARKSSERVICEMARKSANDTRADENAMES_9925"/>
      <w:bookmarkStart w:id="18" w:name="_2e70a19f_2b68_4983_b69a_ff28567f5a48"/>
      <w:bookmarkEnd w:id="17"/>
      <w:bookmarkEnd w:id="18"/>
      <w:r>
        <w:rPr>
          <w:rFonts w:ascii="Times New Roman;Times;serif" w:hAnsi="Times New Roman;Times;serif"/>
          <w:b/>
          <w:sz w:val="20"/>
        </w:rPr>
        <w:t>TRADEMARKS, SERVICE MARKS AND TRADE NAMES</w:t>
      </w:r>
    </w:p>
    <w:p>
      <w:pPr>
        <w:pStyle w:val="TextBody"/>
        <w:bidi w:val="0"/>
        <w:spacing w:lineRule="auto" w:line="240"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The SCHMID name, logos and other trademarks and service marks of SCHMID appearing in this prospectus are the property of SCHMID. Solely for convenience, some of the trademarks, service marks, logos and trade names referred to in this prospectus are presented without the </w:t>
      </w:r>
      <w:r>
        <w:rPr>
          <w:rFonts w:ascii="Times New Roman;Times;serif" w:hAnsi="Times New Roman;Times;serif"/>
          <w:sz w:val="15"/>
        </w:rPr>
        <w:t>®</w:t>
      </w:r>
      <w:r>
        <w:rPr>
          <w:rFonts w:ascii="Times New Roman;Times;serif" w:hAnsi="Times New Roman;Times;serif"/>
          <w:sz w:val="20"/>
        </w:rPr>
        <w:t xml:space="preserve">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pStyle w:val="TextBody"/>
        <w:bidi w:val="0"/>
        <w:spacing w:before="0" w:after="0"/>
        <w:ind w:left="200" w:right="200" w:hanging="0"/>
        <w:jc w:val="both"/>
        <w:rPr/>
      </w:pPr>
      <w:r>
        <w:rPr/>
        <w:t>​</w:t>
      </w:r>
    </w:p>
    <w:p>
      <w:pPr>
        <w:pStyle w:val="TextBody"/>
        <w:bidi w:val="0"/>
        <w:spacing w:before="0" w:after="240"/>
        <w:ind w:left="200" w:right="200" w:firstLine="720"/>
        <w:jc w:val="center"/>
        <w:rPr>
          <w:rFonts w:ascii="Times New Roman;Times;serif" w:hAnsi="Times New Roman;Times;serif"/>
          <w:b/>
          <w:sz w:val="20"/>
        </w:rPr>
      </w:pPr>
      <w:bookmarkStart w:id="19" w:name="MARKETINDUSTRYANDOTHERDATA_559516"/>
      <w:bookmarkStart w:id="20" w:name="_6e141983_652e_4451_9b9c_0cf5307eef85"/>
      <w:bookmarkEnd w:id="19"/>
      <w:bookmarkEnd w:id="20"/>
      <w:r>
        <w:rPr>
          <w:rFonts w:ascii="Times New Roman;Times;serif" w:hAnsi="Times New Roman;Times;serif"/>
          <w:b/>
          <w:sz w:val="20"/>
        </w:rPr>
        <w:t>MARKET, INDUSTRY AND OTHER DATA</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Unless otherwise indicated, information contained in this prospectus concerning our industry and the markets in which we operate, including our general expectations and market position, market opportunity and market size estimates, is based on information from independent industry analysts, third-party sources and management estimates. Management estimates are derived from publicly available information released by independent industry analysts and third-party sources, as well as data from our internal research, and are based on assumptions made by us based on such data and our knowledge of such industry and market, which we believe to be reasonable. In addition, while we believe the market opportunity information included in this prospectus is reliable and is based on reasonable assumptions, such data involves risks and uncertainties and is subject to change based on various factors, including those discussed under the heading “</w:t>
      </w:r>
      <w:r>
        <w:rPr>
          <w:rFonts w:ascii="Times New Roman;Times;serif" w:hAnsi="Times New Roman;Times;serif"/>
          <w:i/>
          <w:sz w:val="20"/>
        </w:rPr>
        <w:t>Risk Factors</w:t>
      </w:r>
      <w:r>
        <w:rPr>
          <w:rFonts w:ascii="Times New Roman;Times;serif" w:hAnsi="Times New Roman;Times;serif"/>
          <w:sz w:val="20"/>
        </w:rPr>
        <w:t>.”</w:t>
      </w:r>
    </w:p>
    <w:p>
      <w:pPr>
        <w:pStyle w:val="TextBody"/>
        <w:bidi w:val="0"/>
        <w:spacing w:before="0" w:after="0"/>
        <w:ind w:left="200" w:right="200" w:firstLine="720"/>
        <w:jc w:val="both"/>
        <w:rPr/>
      </w:pPr>
      <w:r>
        <w:rPr/>
        <w:t>​</w:t>
      </w:r>
    </w:p>
    <w:p>
      <w:pPr>
        <w:pStyle w:val="TextBody"/>
        <w:bidi w:val="0"/>
        <w:spacing w:before="0" w:after="240"/>
        <w:ind w:left="200" w:right="200" w:firstLine="720"/>
        <w:jc w:val="center"/>
        <w:rPr>
          <w:rFonts w:ascii="Times New Roman;Times;serif" w:hAnsi="Times New Roman;Times;serif"/>
          <w:b/>
          <w:sz w:val="20"/>
        </w:rPr>
      </w:pPr>
      <w:bookmarkStart w:id="21" w:name="FREQUENTLYUSEDTERMSANDBASISOFPRESENTATIO"/>
      <w:bookmarkStart w:id="22" w:name="_c7dd01f3_0949_4802_874a_41dfc13d2afe"/>
      <w:bookmarkEnd w:id="21"/>
      <w:bookmarkEnd w:id="22"/>
      <w:r>
        <w:rPr>
          <w:rFonts w:ascii="Times New Roman;Times;serif" w:hAnsi="Times New Roman;Times;serif"/>
          <w:b/>
          <w:sz w:val="20"/>
        </w:rPr>
        <w:t>FREQUENTLY USED TERMS AND BASIS OF PRESENTATION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Unless otherwise stated in this registration statement on Form F-1 or the context otherwise requires, references to:</w:t>
      </w:r>
    </w:p>
    <w:p>
      <w:pPr>
        <w:pStyle w:val="TextBody"/>
        <w:bidi w:val="0"/>
        <w:spacing w:before="0" w:after="240"/>
        <w:ind w:left="200" w:right="200" w:firstLine="360"/>
        <w:jc w:val="left"/>
        <w:rPr/>
      </w:pPr>
      <w:r>
        <w:rPr/>
        <w:t>“</w:t>
      </w:r>
      <w:r>
        <w:rPr>
          <w:rFonts w:ascii="Times New Roman;Times;serif" w:hAnsi="Times New Roman;Times;serif"/>
          <w:b/>
          <w:sz w:val="20"/>
        </w:rPr>
        <w:t>2025 Convertible Loan</w:t>
      </w:r>
      <w:r>
        <w:rPr>
          <w:rFonts w:ascii="Times New Roman;Times;serif" w:hAnsi="Times New Roman;Times;serif"/>
          <w:sz w:val="20"/>
        </w:rPr>
        <w:t>” means the EUR 2.5 million term loan drawn from facility agreement dated December 16, 2025 agreed with Black Forest Special Situations I.</w:t>
      </w:r>
    </w:p>
    <w:p>
      <w:pPr>
        <w:pStyle w:val="TextBody"/>
        <w:bidi w:val="0"/>
        <w:spacing w:before="0" w:after="240"/>
        <w:ind w:left="200" w:right="200" w:firstLine="360"/>
        <w:jc w:val="left"/>
        <w:rPr/>
      </w:pPr>
      <w:r>
        <w:rPr/>
        <w:t>“</w:t>
      </w:r>
      <w:r>
        <w:rPr>
          <w:rFonts w:ascii="Times New Roman;Times;serif" w:hAnsi="Times New Roman;Times;serif"/>
          <w:b/>
          <w:sz w:val="20"/>
        </w:rPr>
        <w:t>2025 Options</w:t>
      </w:r>
      <w:r>
        <w:rPr>
          <w:rFonts w:ascii="Times New Roman;Times;serif" w:hAnsi="Times New Roman;Times;serif"/>
          <w:sz w:val="20"/>
        </w:rPr>
        <w:t>” means the 1.25 million options granted to Black Forest Special Situations I exercisable at a strike price of $4.1956 per Ordinary Shares in the facility agreement dated December 16, 2025 agreed with Black Forest Special Situations I (as specified further in an options agreement dated January 27, 2026).</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4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pPr>
      <w:r>
        <w:rPr/>
        <w:t>“</w:t>
      </w:r>
      <w:r>
        <w:rPr>
          <w:rFonts w:ascii="Times New Roman;Times;serif" w:hAnsi="Times New Roman;Times;serif"/>
          <w:b/>
          <w:sz w:val="20"/>
        </w:rPr>
        <w:t>2028 Convertible Notes</w:t>
      </w:r>
      <w:r>
        <w:rPr>
          <w:rFonts w:ascii="Times New Roman;Times;serif" w:hAnsi="Times New Roman;Times;serif"/>
          <w:sz w:val="20"/>
        </w:rPr>
        <w:t>” means the two-tranche convertible notes issued pursuant to an indenture dated January 21, 2026 with an initial principal amount of $30 million.</w:t>
      </w:r>
    </w:p>
    <w:p>
      <w:pPr>
        <w:pStyle w:val="TextBody"/>
        <w:bidi w:val="0"/>
        <w:spacing w:before="0" w:after="240"/>
        <w:ind w:left="200" w:right="200" w:firstLine="360"/>
        <w:jc w:val="left"/>
        <w:rPr/>
      </w:pPr>
      <w:r>
        <w:rPr/>
        <w:t>“</w:t>
      </w:r>
      <w:r>
        <w:rPr>
          <w:rFonts w:ascii="Times New Roman;Times;serif" w:hAnsi="Times New Roman;Times;serif"/>
          <w:b/>
          <w:sz w:val="20"/>
        </w:rPr>
        <w:t>2026 Warrants</w:t>
      </w:r>
      <w:r>
        <w:rPr>
          <w:rFonts w:ascii="Times New Roman;Times;serif" w:hAnsi="Times New Roman;Times;serif"/>
          <w:sz w:val="20"/>
        </w:rPr>
        <w:t>” means the warrants issued pursuant to a warrant agreement dated January 21, 2026 and the warrants to be issued pursuant to a investment agreement dated January 16, 2026.</w:t>
      </w:r>
    </w:p>
    <w:p>
      <w:pPr>
        <w:pStyle w:val="TextBody"/>
        <w:bidi w:val="0"/>
        <w:spacing w:before="0" w:after="240"/>
        <w:ind w:left="200" w:right="200" w:firstLine="360"/>
        <w:jc w:val="left"/>
        <w:rPr/>
      </w:pPr>
      <w:r>
        <w:rPr/>
        <w:t>“</w:t>
      </w:r>
      <w:r>
        <w:rPr>
          <w:rFonts w:ascii="Times New Roman;Times;serif" w:hAnsi="Times New Roman;Times;serif"/>
          <w:b/>
          <w:sz w:val="20"/>
        </w:rPr>
        <w:t>2029 Convertible Notes</w:t>
      </w:r>
      <w:r>
        <w:rPr>
          <w:rFonts w:ascii="Times New Roman;Times;serif" w:hAnsi="Times New Roman;Times;serif"/>
          <w:sz w:val="20"/>
        </w:rPr>
        <w:t>” means the convertible notes issued pursuant to an indenture dated July 14, 2026 with an initial principal amount of $20 million.</w:t>
      </w:r>
    </w:p>
    <w:p>
      <w:pPr>
        <w:pStyle w:val="TextBody"/>
        <w:bidi w:val="0"/>
        <w:spacing w:before="0" w:after="240"/>
        <w:ind w:left="200" w:right="200" w:firstLine="360"/>
        <w:jc w:val="left"/>
        <w:rPr/>
      </w:pPr>
      <w:r>
        <w:rPr/>
        <w:t>“</w:t>
      </w:r>
      <w:r>
        <w:rPr>
          <w:rFonts w:ascii="Times New Roman;Times;serif" w:hAnsi="Times New Roman;Times;serif"/>
          <w:b/>
          <w:sz w:val="20"/>
        </w:rPr>
        <w:t>Adjusted EBITDA</w:t>
      </w:r>
      <w:r>
        <w:rPr>
          <w:rFonts w:ascii="Times New Roman;Times;serif" w:hAnsi="Times New Roman;Times;serif"/>
          <w:sz w:val="20"/>
        </w:rPr>
        <w:t>” is defined by the Company as its net income (or loss) for a given period adjusted to exclude income tax expense or benefit, financial results, depreciation and amortization, and the share of profit or loss from equity method investments.</w:t>
      </w:r>
    </w:p>
    <w:p>
      <w:pPr>
        <w:pStyle w:val="TextBody"/>
        <w:bidi w:val="0"/>
        <w:spacing w:before="0" w:after="240"/>
        <w:ind w:left="200" w:right="200" w:firstLine="360"/>
        <w:jc w:val="left"/>
        <w:rPr/>
      </w:pPr>
      <w:r>
        <w:rPr/>
        <w:t>“</w:t>
      </w:r>
      <w:r>
        <w:rPr>
          <w:rFonts w:ascii="Times New Roman;Times;serif" w:hAnsi="Times New Roman;Times;serif"/>
          <w:b/>
          <w:sz w:val="20"/>
        </w:rPr>
        <w:t>Annual Report</w:t>
      </w:r>
      <w:r>
        <w:rPr>
          <w:rFonts w:ascii="Times New Roman;Times;serif" w:hAnsi="Times New Roman;Times;serif"/>
          <w:sz w:val="20"/>
        </w:rPr>
        <w:t>” means the annual report of the Company on Form 20-F for the fiscal year ended December 31, 2025.</w:t>
      </w:r>
    </w:p>
    <w:p>
      <w:pPr>
        <w:pStyle w:val="TextBody"/>
        <w:bidi w:val="0"/>
        <w:spacing w:before="0" w:after="240"/>
        <w:ind w:left="200" w:right="200" w:firstLine="360"/>
        <w:jc w:val="left"/>
        <w:rPr/>
      </w:pPr>
      <w:r>
        <w:rPr/>
        <w:t>“</w:t>
      </w:r>
      <w:r>
        <w:rPr>
          <w:rFonts w:ascii="Times New Roman;Times;serif" w:hAnsi="Times New Roman;Times;serif"/>
          <w:b/>
          <w:sz w:val="20"/>
        </w:rPr>
        <w:t>Board</w:t>
      </w:r>
      <w:r>
        <w:rPr>
          <w:rFonts w:ascii="Times New Roman;Times;serif" w:hAnsi="Times New Roman;Times;serif"/>
          <w:sz w:val="20"/>
        </w:rPr>
        <w:t>” means the board of directors of the Company.</w:t>
      </w:r>
    </w:p>
    <w:p>
      <w:pPr>
        <w:pStyle w:val="TextBody"/>
        <w:bidi w:val="0"/>
        <w:spacing w:before="0" w:after="240"/>
        <w:ind w:left="200" w:right="200" w:firstLine="360"/>
        <w:jc w:val="left"/>
        <w:rPr/>
      </w:pPr>
      <w:r>
        <w:rPr/>
        <w:t>“</w:t>
      </w:r>
      <w:r>
        <w:rPr>
          <w:rFonts w:ascii="Times New Roman;Times;serif" w:hAnsi="Times New Roman;Times;serif"/>
          <w:b/>
          <w:sz w:val="20"/>
        </w:rPr>
        <w:t>Business Combination</w:t>
      </w:r>
      <w:r>
        <w:rPr>
          <w:rFonts w:ascii="Times New Roman;Times;serif" w:hAnsi="Times New Roman;Times;serif"/>
          <w:sz w:val="20"/>
        </w:rPr>
        <w:t>” or “</w:t>
      </w:r>
      <w:r>
        <w:rPr>
          <w:rFonts w:ascii="Times New Roman;Times;serif" w:hAnsi="Times New Roman;Times;serif"/>
          <w:b/>
          <w:sz w:val="20"/>
        </w:rPr>
        <w:t>de-SPAC</w:t>
      </w:r>
      <w:r>
        <w:rPr>
          <w:rFonts w:ascii="Times New Roman;Times;serif" w:hAnsi="Times New Roman;Times;serif"/>
          <w:sz w:val="20"/>
        </w:rPr>
        <w:t>” means the transactions contemplated by the Business Combination Agreement. See Note 2 of the Consolidated Financial Statements for the details of the accounting treatment of the de-SPAC.</w:t>
      </w:r>
    </w:p>
    <w:p>
      <w:pPr>
        <w:pStyle w:val="TextBody"/>
        <w:bidi w:val="0"/>
        <w:spacing w:before="0" w:after="240"/>
        <w:ind w:left="200" w:right="200" w:firstLine="360"/>
        <w:jc w:val="left"/>
        <w:rPr/>
      </w:pPr>
      <w:r>
        <w:rPr/>
        <w:t>“</w:t>
      </w:r>
      <w:r>
        <w:rPr>
          <w:rFonts w:ascii="Times New Roman;Times;serif" w:hAnsi="Times New Roman;Times;serif"/>
          <w:b/>
          <w:sz w:val="20"/>
        </w:rPr>
        <w:t>Business Combination Agreement</w:t>
      </w:r>
      <w:r>
        <w:rPr>
          <w:rFonts w:ascii="Times New Roman;Times;serif" w:hAnsi="Times New Roman;Times;serif"/>
          <w:sz w:val="20"/>
        </w:rPr>
        <w:t>” means the Business Combination Agreement, dated May 31, 2023, by and among TopCo, Merger Sub, Pegasus and Gebr. SCHMID GmbH, as amended by that First Amendment to Business Combination Agreement dated as of September 26, 2023 and as amended by the Second Amendment to Business Combination Agreement dated as of January 29, 2024, and as it may be further amended from time to time.</w:t>
      </w:r>
    </w:p>
    <w:p>
      <w:pPr>
        <w:pStyle w:val="TextBody"/>
        <w:bidi w:val="0"/>
        <w:spacing w:before="0" w:after="240"/>
        <w:ind w:left="560" w:right="200" w:hanging="0"/>
        <w:jc w:val="left"/>
        <w:rPr/>
      </w:pPr>
      <w:r>
        <w:rPr/>
        <w:t>“</w:t>
      </w:r>
      <w:r>
        <w:rPr>
          <w:rFonts w:ascii="Times New Roman;Times;serif" w:hAnsi="Times New Roman;Times;serif"/>
          <w:b/>
          <w:sz w:val="20"/>
        </w:rPr>
        <w:t>Closing Date</w:t>
      </w:r>
      <w:r>
        <w:rPr>
          <w:rFonts w:ascii="Times New Roman;Times;serif" w:hAnsi="Times New Roman;Times;serif"/>
          <w:sz w:val="20"/>
        </w:rPr>
        <w:t>”or “</w:t>
      </w:r>
      <w:r>
        <w:rPr>
          <w:rFonts w:ascii="Times New Roman;Times;serif" w:hAnsi="Times New Roman;Times;serif"/>
          <w:b/>
          <w:sz w:val="20"/>
        </w:rPr>
        <w:t>Closing</w:t>
      </w:r>
      <w:r>
        <w:rPr>
          <w:rFonts w:ascii="Times New Roman;Times;serif" w:hAnsi="Times New Roman;Times;serif"/>
          <w:sz w:val="20"/>
        </w:rPr>
        <w:t>” means April 30, 2024, the date of the closing of the Business Combination.</w:t>
      </w:r>
    </w:p>
    <w:p>
      <w:pPr>
        <w:pStyle w:val="TextBody"/>
        <w:bidi w:val="0"/>
        <w:spacing w:before="0" w:after="240"/>
        <w:ind w:left="560" w:right="200" w:hanging="0"/>
        <w:jc w:val="left"/>
        <w:rPr/>
      </w:pPr>
      <w:r>
        <w:rPr/>
        <w:t>“</w:t>
      </w:r>
      <w:r>
        <w:rPr>
          <w:rFonts w:ascii="Times New Roman;Times;serif" w:hAnsi="Times New Roman;Times;serif"/>
          <w:b/>
          <w:sz w:val="20"/>
        </w:rPr>
        <w:t>Company</w:t>
      </w:r>
      <w:r>
        <w:rPr>
          <w:rFonts w:ascii="Times New Roman;Times;serif" w:hAnsi="Times New Roman;Times;serif"/>
          <w:sz w:val="20"/>
        </w:rPr>
        <w:t>” means SCHMID Group N.V.</w:t>
      </w:r>
    </w:p>
    <w:p>
      <w:pPr>
        <w:pStyle w:val="TextBody"/>
        <w:bidi w:val="0"/>
        <w:spacing w:before="0" w:after="240"/>
        <w:ind w:left="560" w:right="200" w:hanging="0"/>
        <w:jc w:val="left"/>
        <w:rPr/>
      </w:pPr>
      <w:r>
        <w:rPr/>
        <w:t>“</w:t>
      </w:r>
      <w:r>
        <w:rPr>
          <w:rFonts w:ascii="Times New Roman;Times;serif" w:hAnsi="Times New Roman;Times;serif"/>
          <w:b/>
          <w:sz w:val="20"/>
        </w:rPr>
        <w:t>Continental</w:t>
      </w:r>
      <w:r>
        <w:rPr>
          <w:rFonts w:ascii="Times New Roman;Times;serif" w:hAnsi="Times New Roman;Times;serif"/>
          <w:sz w:val="20"/>
        </w:rPr>
        <w:t>” means Continental Stock Transfer &amp; Trust Company, the transfer agent and warrant agent of the Company.</w:t>
      </w:r>
    </w:p>
    <w:p>
      <w:pPr>
        <w:pStyle w:val="TextBody"/>
        <w:bidi w:val="0"/>
        <w:spacing w:before="0" w:after="240"/>
        <w:ind w:left="200" w:right="200" w:firstLine="360"/>
        <w:jc w:val="left"/>
        <w:rPr/>
      </w:pPr>
      <w:r>
        <w:rPr/>
        <w:t>“</w:t>
      </w:r>
      <w:r>
        <w:rPr>
          <w:rFonts w:ascii="Times New Roman;Times;serif" w:hAnsi="Times New Roman;Times;serif"/>
          <w:b/>
          <w:sz w:val="20"/>
        </w:rPr>
        <w:t>Earn-out shares</w:t>
      </w:r>
      <w:r>
        <w:rPr>
          <w:rFonts w:ascii="Times New Roman;Times;serif" w:hAnsi="Times New Roman;Times;serif"/>
          <w:sz w:val="20"/>
        </w:rPr>
        <w:t>” means the 5,000,000 shares issued and not yet vested to Anette Schmid and Christian Schmid, transferrable per the terms of the Earn-Out Agreement with such earn-out shares cancelled on April 30, 2027 in case they do not vest before such date.</w:t>
      </w:r>
    </w:p>
    <w:p>
      <w:pPr>
        <w:pStyle w:val="TextBody"/>
        <w:bidi w:val="0"/>
        <w:spacing w:before="0" w:after="240"/>
        <w:ind w:left="560" w:right="200" w:hanging="0"/>
        <w:jc w:val="left"/>
        <w:rPr/>
      </w:pPr>
      <w:r>
        <w:rPr/>
        <w:t>“</w:t>
      </w:r>
      <w:r>
        <w:rPr>
          <w:rFonts w:ascii="Times New Roman;Times;serif" w:hAnsi="Times New Roman;Times;serif"/>
          <w:b/>
          <w:sz w:val="20"/>
        </w:rPr>
        <w:t>ET</w:t>
      </w:r>
      <w:r>
        <w:rPr>
          <w:rFonts w:ascii="Times New Roman;Times;serif" w:hAnsi="Times New Roman;Times;serif"/>
          <w:sz w:val="20"/>
        </w:rPr>
        <w:t>” means embedded traces, a process which we believe is the next level technology for high-end PCBs &amp; Substrates.</w:t>
      </w:r>
    </w:p>
    <w:p>
      <w:pPr>
        <w:pStyle w:val="TextBody"/>
        <w:bidi w:val="0"/>
        <w:spacing w:before="0" w:after="240"/>
        <w:ind w:left="560" w:right="200" w:hanging="0"/>
        <w:jc w:val="left"/>
        <w:rPr/>
      </w:pPr>
      <w:r>
        <w:rPr/>
        <w:t>“</w:t>
      </w:r>
      <w:r>
        <w:rPr>
          <w:rFonts w:ascii="Times New Roman;Times;serif" w:hAnsi="Times New Roman;Times;serif"/>
          <w:b/>
          <w:sz w:val="20"/>
        </w:rPr>
        <w:t>EBITDA</w:t>
      </w:r>
      <w:r>
        <w:rPr>
          <w:rFonts w:ascii="Times New Roman;Times;serif" w:hAnsi="Times New Roman;Times;serif"/>
          <w:sz w:val="20"/>
        </w:rPr>
        <w:t>” means earnings before interest, taxes, depreciation, and amortization.</w:t>
      </w:r>
    </w:p>
    <w:p>
      <w:pPr>
        <w:pStyle w:val="TextBody"/>
        <w:bidi w:val="0"/>
        <w:spacing w:before="0" w:after="240"/>
        <w:ind w:left="560" w:right="200" w:hanging="0"/>
        <w:jc w:val="left"/>
        <w:rPr/>
      </w:pPr>
      <w:r>
        <w:rPr/>
        <w:t>“</w:t>
      </w:r>
      <w:r>
        <w:rPr>
          <w:rFonts w:ascii="Times New Roman;Times;serif" w:hAnsi="Times New Roman;Times;serif"/>
          <w:b/>
          <w:sz w:val="20"/>
        </w:rPr>
        <w:t>EU</w:t>
      </w:r>
      <w:r>
        <w:rPr>
          <w:rFonts w:ascii="Times New Roman;Times;serif" w:hAnsi="Times New Roman;Times;serif"/>
          <w:sz w:val="20"/>
        </w:rPr>
        <w:t>” means the European Union.</w:t>
      </w:r>
    </w:p>
    <w:p>
      <w:pPr>
        <w:pStyle w:val="TextBody"/>
        <w:bidi w:val="0"/>
        <w:spacing w:before="0" w:after="240"/>
        <w:ind w:left="560" w:right="200" w:hanging="0"/>
        <w:jc w:val="left"/>
        <w:rPr/>
      </w:pPr>
      <w:r>
        <w:rPr/>
        <w:t>“</w:t>
      </w:r>
      <w:r>
        <w:rPr>
          <w:rFonts w:ascii="Times New Roman;Times;serif" w:hAnsi="Times New Roman;Times;serif"/>
          <w:b/>
          <w:sz w:val="20"/>
        </w:rPr>
        <w:t>Exchange Act</w:t>
      </w:r>
      <w:r>
        <w:rPr>
          <w:rFonts w:ascii="Times New Roman;Times;serif" w:hAnsi="Times New Roman;Times;serif"/>
          <w:sz w:val="20"/>
        </w:rPr>
        <w:t>” means the U.S. Securities Exchange Act of 1934, as amended.</w:t>
      </w:r>
    </w:p>
    <w:p>
      <w:pPr>
        <w:pStyle w:val="TextBody"/>
        <w:bidi w:val="0"/>
        <w:spacing w:before="0" w:after="240"/>
        <w:ind w:left="560" w:right="200" w:hanging="0"/>
        <w:jc w:val="left"/>
        <w:rPr/>
      </w:pPr>
      <w:r>
        <w:rPr/>
        <w:t>“</w:t>
      </w:r>
      <w:r>
        <w:rPr>
          <w:rFonts w:ascii="Times New Roman;Times;serif" w:hAnsi="Times New Roman;Times;serif"/>
          <w:b/>
          <w:sz w:val="20"/>
        </w:rPr>
        <w:t>FCPA</w:t>
      </w:r>
      <w:r>
        <w:rPr>
          <w:rFonts w:ascii="Times New Roman;Times;serif" w:hAnsi="Times New Roman;Times;serif"/>
          <w:sz w:val="20"/>
        </w:rPr>
        <w:t>” means the U.S. Foreign Corrupt Practices Act.</w:t>
      </w:r>
    </w:p>
    <w:p>
      <w:pPr>
        <w:pStyle w:val="TextBody"/>
        <w:bidi w:val="0"/>
        <w:spacing w:before="0" w:after="240"/>
        <w:ind w:left="560" w:right="200" w:hanging="0"/>
        <w:jc w:val="left"/>
        <w:rPr/>
      </w:pPr>
      <w:r>
        <w:rPr/>
        <w:t>“</w:t>
      </w:r>
      <w:r>
        <w:rPr>
          <w:rFonts w:ascii="Times New Roman;Times;serif" w:hAnsi="Times New Roman;Times;serif"/>
          <w:b/>
          <w:sz w:val="20"/>
        </w:rPr>
        <w:t>GDPR</w:t>
      </w:r>
      <w:r>
        <w:rPr>
          <w:rFonts w:ascii="Times New Roman;Times;serif" w:hAnsi="Times New Roman;Times;serif"/>
          <w:sz w:val="20"/>
        </w:rPr>
        <w:t>” means the European General Data Protection Regulation.</w:t>
      </w:r>
    </w:p>
    <w:p>
      <w:pPr>
        <w:pStyle w:val="TextBody"/>
        <w:bidi w:val="0"/>
        <w:spacing w:before="0" w:after="240"/>
        <w:ind w:left="560" w:right="200" w:hanging="0"/>
        <w:jc w:val="left"/>
        <w:rPr/>
      </w:pPr>
      <w:r>
        <w:rPr/>
        <w:t>“</w:t>
      </w:r>
      <w:r>
        <w:rPr>
          <w:rFonts w:ascii="Times New Roman;Times;serif" w:hAnsi="Times New Roman;Times;serif"/>
          <w:b/>
          <w:sz w:val="20"/>
        </w:rPr>
        <w:t>IAS</w:t>
      </w:r>
      <w:r>
        <w:rPr>
          <w:rFonts w:ascii="Times New Roman;Times;serif" w:hAnsi="Times New Roman;Times;serif"/>
          <w:sz w:val="20"/>
        </w:rPr>
        <w:t>” means the International Accounting Standard.</w:t>
      </w:r>
    </w:p>
    <w:p>
      <w:pPr>
        <w:pStyle w:val="TextBody"/>
        <w:bidi w:val="0"/>
        <w:spacing w:before="0" w:after="240"/>
        <w:ind w:left="560" w:right="200" w:hanging="0"/>
        <w:jc w:val="left"/>
        <w:rPr/>
      </w:pPr>
      <w:r>
        <w:rPr/>
        <w:t>“</w:t>
      </w:r>
      <w:r>
        <w:rPr>
          <w:rFonts w:ascii="Times New Roman;Times;serif" w:hAnsi="Times New Roman;Times;serif"/>
          <w:b/>
          <w:sz w:val="20"/>
        </w:rPr>
        <w:t>IBR</w:t>
      </w:r>
      <w:r>
        <w:rPr>
          <w:rFonts w:ascii="Times New Roman;Times;serif" w:hAnsi="Times New Roman;Times;serif"/>
          <w:sz w:val="20"/>
        </w:rPr>
        <w:t>” means the incremental borrowing rate.</w:t>
      </w:r>
    </w:p>
    <w:p>
      <w:pPr>
        <w:pStyle w:val="TextBody"/>
        <w:bidi w:val="0"/>
        <w:spacing w:before="0" w:after="240"/>
        <w:ind w:left="560" w:right="200" w:hanging="0"/>
        <w:jc w:val="left"/>
        <w:rPr/>
      </w:pPr>
      <w:r>
        <w:rPr/>
        <w:t>“</w:t>
      </w:r>
      <w:r>
        <w:rPr>
          <w:rFonts w:ascii="Times New Roman;Times;serif" w:hAnsi="Times New Roman;Times;serif"/>
          <w:b/>
          <w:sz w:val="20"/>
        </w:rPr>
        <w:t>IASB</w:t>
      </w:r>
      <w:r>
        <w:rPr>
          <w:rFonts w:ascii="Times New Roman;Times;serif" w:hAnsi="Times New Roman;Times;serif"/>
          <w:sz w:val="20"/>
        </w:rPr>
        <w:t xml:space="preserve">” means the International Accounting Standards Board. </w:t>
      </w:r>
    </w:p>
    <w:p>
      <w:pPr>
        <w:pStyle w:val="TextBody"/>
        <w:bidi w:val="0"/>
        <w:spacing w:before="0" w:after="240"/>
        <w:ind w:left="560" w:right="200" w:hanging="0"/>
        <w:jc w:val="left"/>
        <w:rPr/>
      </w:pPr>
      <w:r>
        <w:rPr/>
        <w:t>“</w:t>
      </w:r>
      <w:r>
        <w:rPr>
          <w:rFonts w:ascii="Times New Roman;Times;serif" w:hAnsi="Times New Roman;Times;serif"/>
          <w:b/>
          <w:sz w:val="20"/>
        </w:rPr>
        <w:t>IFRS</w:t>
      </w:r>
      <w:r>
        <w:rPr>
          <w:rFonts w:ascii="Times New Roman;Times;serif" w:hAnsi="Times New Roman;Times;serif"/>
          <w:sz w:val="20"/>
        </w:rPr>
        <w:t>” means the International Financial Reporting Standards as issued by the IASB.</w:t>
      </w:r>
    </w:p>
    <w:p>
      <w:pPr>
        <w:pStyle w:val="TextBody"/>
        <w:bidi w:val="0"/>
        <w:spacing w:before="0" w:after="240"/>
        <w:ind w:left="560" w:right="200" w:hanging="0"/>
        <w:jc w:val="left"/>
        <w:rPr/>
      </w:pPr>
      <w:r>
        <w:rPr/>
        <w:t>“</w:t>
      </w:r>
      <w:r>
        <w:rPr>
          <w:rFonts w:ascii="Times New Roman;Times;serif" w:hAnsi="Times New Roman;Times;serif"/>
          <w:b/>
          <w:sz w:val="20"/>
        </w:rPr>
        <w:t>Linden</w:t>
      </w:r>
      <w:r>
        <w:rPr>
          <w:rFonts w:ascii="Times New Roman;Times;serif" w:hAnsi="Times New Roman;Times;serif"/>
          <w:sz w:val="20"/>
        </w:rPr>
        <w:t>” means Linden Advisors LP.</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4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560" w:right="200" w:hanging="0"/>
        <w:jc w:val="left"/>
        <w:rPr/>
      </w:pPr>
      <w:r>
        <w:rPr/>
        <w:t>“</w:t>
      </w:r>
      <w:r>
        <w:rPr>
          <w:rFonts w:ascii="Times New Roman;Times;serif" w:hAnsi="Times New Roman;Times;serif"/>
          <w:b/>
          <w:sz w:val="20"/>
        </w:rPr>
        <w:t>mSAP</w:t>
      </w:r>
      <w:r>
        <w:rPr>
          <w:rFonts w:ascii="Times New Roman;Times;serif" w:hAnsi="Times New Roman;Times;serif"/>
          <w:sz w:val="20"/>
        </w:rPr>
        <w:t>” means modified semi additive processes.</w:t>
      </w:r>
    </w:p>
    <w:p>
      <w:pPr>
        <w:pStyle w:val="TextBody"/>
        <w:bidi w:val="0"/>
        <w:spacing w:before="0" w:after="240"/>
        <w:ind w:left="560" w:right="200" w:hanging="0"/>
        <w:jc w:val="left"/>
        <w:rPr/>
      </w:pPr>
      <w:r>
        <w:rPr/>
        <w:t>“</w:t>
      </w:r>
      <w:r>
        <w:rPr>
          <w:rFonts w:ascii="Times New Roman;Times;serif" w:hAnsi="Times New Roman;Times;serif"/>
          <w:b/>
          <w:sz w:val="20"/>
        </w:rPr>
        <w:t>MergerSub</w:t>
      </w:r>
      <w:r>
        <w:rPr>
          <w:rFonts w:ascii="Times New Roman;Times;serif" w:hAnsi="Times New Roman;Times;serif"/>
          <w:sz w:val="20"/>
        </w:rPr>
        <w:t>” means Pegasus MergerSub Corp., a Cayman Islands exempted company.</w:t>
      </w:r>
    </w:p>
    <w:p>
      <w:pPr>
        <w:pStyle w:val="TextBody"/>
        <w:bidi w:val="0"/>
        <w:spacing w:before="0" w:after="240"/>
        <w:ind w:left="560" w:right="200" w:hanging="0"/>
        <w:jc w:val="left"/>
        <w:rPr/>
      </w:pPr>
      <w:r>
        <w:rPr/>
        <w:t>“</w:t>
      </w:r>
      <w:r>
        <w:rPr>
          <w:rFonts w:ascii="Times New Roman;Times;serif" w:hAnsi="Times New Roman;Times;serif"/>
          <w:b/>
          <w:sz w:val="20"/>
        </w:rPr>
        <w:t>NASDAQ</w:t>
      </w:r>
      <w:r>
        <w:rPr>
          <w:rFonts w:ascii="Times New Roman;Times;serif" w:hAnsi="Times New Roman;Times;serif"/>
          <w:sz w:val="20"/>
        </w:rPr>
        <w:t>” means the Nasdaq Stock Exchange in New York.</w:t>
      </w:r>
    </w:p>
    <w:p>
      <w:pPr>
        <w:pStyle w:val="TextBody"/>
        <w:bidi w:val="0"/>
        <w:spacing w:before="0" w:after="240"/>
        <w:ind w:left="560" w:right="200" w:hanging="0"/>
        <w:jc w:val="left"/>
        <w:rPr/>
      </w:pPr>
      <w:r>
        <w:rPr/>
        <w:t>“</w:t>
      </w:r>
      <w:r>
        <w:rPr>
          <w:rFonts w:ascii="Times New Roman;Times;serif" w:hAnsi="Times New Roman;Times;serif"/>
          <w:b/>
          <w:sz w:val="20"/>
        </w:rPr>
        <w:t>NYSE</w:t>
      </w:r>
      <w:r>
        <w:rPr>
          <w:rFonts w:ascii="Times New Roman;Times;serif" w:hAnsi="Times New Roman;Times;serif"/>
          <w:sz w:val="20"/>
        </w:rPr>
        <w:t>” means the New York Stock Exchange.</w:t>
      </w:r>
    </w:p>
    <w:p>
      <w:pPr>
        <w:pStyle w:val="TextBody"/>
        <w:bidi w:val="0"/>
        <w:spacing w:before="0" w:after="240"/>
        <w:ind w:left="560" w:right="200" w:hanging="0"/>
        <w:jc w:val="left"/>
        <w:rPr/>
      </w:pPr>
      <w:r>
        <w:rPr/>
        <w:t>“</w:t>
      </w:r>
      <w:r>
        <w:rPr>
          <w:rFonts w:ascii="Times New Roman;Times;serif" w:hAnsi="Times New Roman;Times;serif"/>
          <w:b/>
          <w:sz w:val="20"/>
        </w:rPr>
        <w:t>OEMs</w:t>
      </w:r>
      <w:r>
        <w:rPr>
          <w:rFonts w:ascii="Times New Roman;Times;serif" w:hAnsi="Times New Roman;Times;serif"/>
          <w:sz w:val="20"/>
        </w:rPr>
        <w:t>” means original equipment manufacturers.</w:t>
      </w:r>
    </w:p>
    <w:p>
      <w:pPr>
        <w:pStyle w:val="TextBody"/>
        <w:bidi w:val="0"/>
        <w:spacing w:before="0" w:after="240"/>
        <w:ind w:left="560" w:right="200" w:hanging="0"/>
        <w:jc w:val="left"/>
        <w:rPr/>
      </w:pPr>
      <w:r>
        <w:rPr/>
        <w:t>“</w:t>
      </w:r>
      <w:r>
        <w:rPr>
          <w:rFonts w:ascii="Times New Roman;Times;serif" w:hAnsi="Times New Roman;Times;serif"/>
          <w:b/>
          <w:sz w:val="20"/>
        </w:rPr>
        <w:t>Ordinary Shares</w:t>
      </w:r>
      <w:r>
        <w:rPr>
          <w:rFonts w:ascii="Times New Roman;Times;serif" w:hAnsi="Times New Roman;Times;serif"/>
          <w:sz w:val="20"/>
        </w:rPr>
        <w:t>” means the shares of the Company.</w:t>
      </w:r>
    </w:p>
    <w:p>
      <w:pPr>
        <w:pStyle w:val="TextBody"/>
        <w:bidi w:val="0"/>
        <w:spacing w:before="0" w:after="240"/>
        <w:ind w:left="560" w:right="200" w:hanging="0"/>
        <w:jc w:val="left"/>
        <w:rPr/>
      </w:pPr>
      <w:r>
        <w:rPr/>
        <w:t>“</w:t>
      </w:r>
      <w:r>
        <w:rPr>
          <w:rFonts w:ascii="Times New Roman;Times;serif" w:hAnsi="Times New Roman;Times;serif"/>
          <w:b/>
          <w:sz w:val="20"/>
        </w:rPr>
        <w:t>Pegasus</w:t>
      </w:r>
      <w:r>
        <w:rPr>
          <w:rFonts w:ascii="Times New Roman;Times;serif" w:hAnsi="Times New Roman;Times;serif"/>
          <w:sz w:val="20"/>
        </w:rPr>
        <w:t>” means Pegasus Digital Mobility Acquisition Corp., a Cayman Islands exempted company.</w:t>
      </w:r>
    </w:p>
    <w:p>
      <w:pPr>
        <w:pStyle w:val="TextBody"/>
        <w:bidi w:val="0"/>
        <w:spacing w:before="0" w:after="240"/>
        <w:ind w:left="200" w:right="200" w:firstLine="360"/>
        <w:jc w:val="left"/>
        <w:rPr/>
      </w:pPr>
      <w:r>
        <w:rPr/>
        <w:t>“</w:t>
      </w:r>
      <w:r>
        <w:rPr>
          <w:rFonts w:ascii="Times New Roman;Times;serif" w:hAnsi="Times New Roman;Times;serif"/>
          <w:b/>
          <w:sz w:val="20"/>
        </w:rPr>
        <w:t>Private Placement Warrants</w:t>
      </w:r>
      <w:r>
        <w:rPr>
          <w:rFonts w:ascii="Times New Roman;Times;serif" w:hAnsi="Times New Roman;Times;serif"/>
          <w:sz w:val="20"/>
        </w:rPr>
        <w:t>” means the 9,750,000 warrants originally issued in the private placement that occurred concurrently with the closing of Pegasus’s IPO.</w:t>
      </w:r>
    </w:p>
    <w:p>
      <w:pPr>
        <w:pStyle w:val="TextBody"/>
        <w:bidi w:val="0"/>
        <w:spacing w:before="0" w:after="240"/>
        <w:ind w:left="200" w:right="200" w:firstLine="360"/>
        <w:jc w:val="left"/>
        <w:rPr/>
      </w:pPr>
      <w:r>
        <w:rPr/>
        <w:t>“</w:t>
      </w:r>
      <w:r>
        <w:rPr>
          <w:rFonts w:ascii="Times New Roman;Times;serif" w:hAnsi="Times New Roman;Times;serif"/>
          <w:b/>
          <w:sz w:val="20"/>
        </w:rPr>
        <w:t>Public Warrants</w:t>
      </w:r>
      <w:r>
        <w:rPr>
          <w:rFonts w:ascii="Times New Roman;Times;serif" w:hAnsi="Times New Roman;Times;serif"/>
          <w:sz w:val="20"/>
        </w:rPr>
        <w:t>” means the 11,250,000 public warrants, each of which is a warrant to purchase one Pegasus Class A Ordinary Share at a price of $11.50 per share, subject to adjustment in accordance with the Warrant Agreement.</w:t>
      </w:r>
    </w:p>
    <w:p>
      <w:pPr>
        <w:pStyle w:val="TextBody"/>
        <w:bidi w:val="0"/>
        <w:spacing w:before="0" w:after="240"/>
        <w:ind w:left="560" w:right="200" w:hanging="0"/>
        <w:jc w:val="left"/>
        <w:rPr/>
      </w:pPr>
      <w:r>
        <w:rPr/>
        <w:t>“</w:t>
      </w:r>
      <w:r>
        <w:rPr>
          <w:rFonts w:ascii="Times New Roman;Times;serif" w:hAnsi="Times New Roman;Times;serif"/>
          <w:b/>
          <w:sz w:val="20"/>
        </w:rPr>
        <w:t>Warrants</w:t>
      </w:r>
      <w:r>
        <w:rPr>
          <w:rFonts w:ascii="Times New Roman;Times;serif" w:hAnsi="Times New Roman;Times;serif"/>
          <w:sz w:val="20"/>
        </w:rPr>
        <w:t>” means collectively the Pegasus Public Warrants and the Pegasus Private Placement Warrants.</w:t>
      </w:r>
    </w:p>
    <w:p>
      <w:pPr>
        <w:pStyle w:val="TextBody"/>
        <w:bidi w:val="0"/>
        <w:spacing w:before="0" w:after="240"/>
        <w:ind w:left="560" w:right="200" w:hanging="0"/>
        <w:jc w:val="left"/>
        <w:rPr/>
      </w:pPr>
      <w:r>
        <w:rPr/>
        <w:t>“</w:t>
      </w:r>
      <w:r>
        <w:rPr>
          <w:rFonts w:ascii="Times New Roman;Times;serif" w:hAnsi="Times New Roman;Times;serif"/>
          <w:b/>
          <w:sz w:val="20"/>
        </w:rPr>
        <w:t>PCB</w:t>
      </w:r>
      <w:r>
        <w:rPr>
          <w:rFonts w:ascii="Times New Roman;Times;serif" w:hAnsi="Times New Roman;Times;serif"/>
          <w:sz w:val="20"/>
        </w:rPr>
        <w:t>” means printed circuit board.</w:t>
      </w:r>
    </w:p>
    <w:p>
      <w:pPr>
        <w:pStyle w:val="TextBody"/>
        <w:bidi w:val="0"/>
        <w:spacing w:before="0" w:after="240"/>
        <w:ind w:left="560" w:right="200" w:hanging="0"/>
        <w:jc w:val="left"/>
        <w:rPr/>
      </w:pPr>
      <w:r>
        <w:rPr/>
        <w:t>“</w:t>
      </w:r>
      <w:r>
        <w:rPr>
          <w:rFonts w:ascii="Times New Roman;Times;serif" w:hAnsi="Times New Roman;Times;serif"/>
          <w:b/>
          <w:sz w:val="20"/>
        </w:rPr>
        <w:t>R&amp;D</w:t>
      </w:r>
      <w:r>
        <w:rPr>
          <w:rFonts w:ascii="Times New Roman;Times;serif" w:hAnsi="Times New Roman;Times;serif"/>
          <w:sz w:val="20"/>
        </w:rPr>
        <w:t>” means research and development.</w:t>
      </w:r>
    </w:p>
    <w:p>
      <w:pPr>
        <w:pStyle w:val="TextBody"/>
        <w:bidi w:val="0"/>
        <w:spacing w:before="0" w:after="240"/>
        <w:ind w:left="560" w:right="200" w:hanging="0"/>
        <w:jc w:val="left"/>
        <w:rPr/>
      </w:pPr>
      <w:r>
        <w:rPr/>
        <w:t>“</w:t>
      </w:r>
      <w:r>
        <w:rPr>
          <w:rFonts w:ascii="Times New Roman;Times;serif" w:hAnsi="Times New Roman;Times;serif"/>
          <w:b/>
          <w:sz w:val="20"/>
        </w:rPr>
        <w:t>RMB</w:t>
      </w:r>
      <w:r>
        <w:rPr>
          <w:rFonts w:ascii="Times New Roman;Times;serif" w:hAnsi="Times New Roman;Times;serif"/>
          <w:sz w:val="20"/>
        </w:rPr>
        <w:t>” means the Chinese Renminbi.</w:t>
      </w:r>
    </w:p>
    <w:p>
      <w:pPr>
        <w:pStyle w:val="TextBody"/>
        <w:bidi w:val="0"/>
        <w:spacing w:before="0" w:after="240"/>
        <w:ind w:left="560" w:right="200" w:hanging="0"/>
        <w:jc w:val="left"/>
        <w:rPr/>
      </w:pPr>
      <w:r>
        <w:rPr/>
        <w:t>“</w:t>
      </w:r>
      <w:r>
        <w:rPr>
          <w:rFonts w:ascii="Times New Roman;Times;serif" w:hAnsi="Times New Roman;Times;serif"/>
          <w:b/>
          <w:sz w:val="20"/>
        </w:rPr>
        <w:t>SAP</w:t>
      </w:r>
      <w:r>
        <w:rPr>
          <w:rFonts w:ascii="Times New Roman;Times;serif" w:hAnsi="Times New Roman;Times;serif"/>
          <w:sz w:val="20"/>
        </w:rPr>
        <w:t>” means semi-additive processes.</w:t>
      </w:r>
    </w:p>
    <w:p>
      <w:pPr>
        <w:pStyle w:val="TextBody"/>
        <w:bidi w:val="0"/>
        <w:spacing w:before="0" w:after="240"/>
        <w:ind w:left="560" w:right="200" w:hanging="0"/>
        <w:jc w:val="left"/>
        <w:rPr/>
      </w:pPr>
      <w:r>
        <w:rPr/>
        <w:t>“</w:t>
      </w:r>
      <w:r>
        <w:rPr>
          <w:rFonts w:ascii="Times New Roman;Times;serif" w:hAnsi="Times New Roman;Times;serif"/>
          <w:b/>
          <w:sz w:val="20"/>
        </w:rPr>
        <w:t>Sarbanes-Oxley Act</w:t>
      </w:r>
      <w:r>
        <w:rPr>
          <w:rFonts w:ascii="Times New Roman;Times;serif" w:hAnsi="Times New Roman;Times;serif"/>
          <w:sz w:val="20"/>
        </w:rPr>
        <w:t>” means the Sarbanes-Oxley Act of 2002.</w:t>
      </w:r>
    </w:p>
    <w:p>
      <w:pPr>
        <w:pStyle w:val="TextBody"/>
        <w:bidi w:val="0"/>
        <w:spacing w:before="0" w:after="240"/>
        <w:ind w:left="560" w:right="200" w:hanging="0"/>
        <w:jc w:val="left"/>
        <w:rPr/>
      </w:pPr>
      <w:r>
        <w:rPr/>
        <w:t>“</w:t>
      </w:r>
      <w:r>
        <w:rPr>
          <w:rFonts w:ascii="Times New Roman;Times;serif" w:hAnsi="Times New Roman;Times;serif"/>
          <w:b/>
          <w:sz w:val="20"/>
        </w:rPr>
        <w:t>SCHMID</w:t>
      </w:r>
      <w:r>
        <w:rPr>
          <w:rFonts w:ascii="Times New Roman;Times;serif" w:hAnsi="Times New Roman;Times;serif"/>
          <w:sz w:val="20"/>
        </w:rPr>
        <w:t>” means SCHMID Group N.V.</w:t>
      </w:r>
    </w:p>
    <w:p>
      <w:pPr>
        <w:pStyle w:val="TextBody"/>
        <w:bidi w:val="0"/>
        <w:spacing w:before="0" w:after="240"/>
        <w:ind w:left="560" w:right="200" w:hanging="0"/>
        <w:jc w:val="left"/>
        <w:rPr/>
      </w:pPr>
      <w:r>
        <w:rPr/>
        <w:t>“</w:t>
      </w:r>
      <w:r>
        <w:rPr>
          <w:rFonts w:ascii="Times New Roman;Times;serif" w:hAnsi="Times New Roman;Times;serif"/>
          <w:b/>
          <w:sz w:val="20"/>
        </w:rPr>
        <w:t>SEC</w:t>
      </w:r>
      <w:r>
        <w:rPr>
          <w:rFonts w:ascii="Times New Roman;Times;serif" w:hAnsi="Times New Roman;Times;serif"/>
          <w:sz w:val="20"/>
        </w:rPr>
        <w:t>” means the United States Securities and Exchange Commission.</w:t>
      </w:r>
    </w:p>
    <w:p>
      <w:pPr>
        <w:pStyle w:val="TextBody"/>
        <w:bidi w:val="0"/>
        <w:spacing w:before="0" w:after="240"/>
        <w:ind w:left="560" w:right="200" w:hanging="0"/>
        <w:jc w:val="left"/>
        <w:rPr/>
      </w:pPr>
      <w:r>
        <w:rPr/>
        <w:t>“</w:t>
      </w:r>
      <w:r>
        <w:rPr>
          <w:rFonts w:ascii="Times New Roman;Times;serif" w:hAnsi="Times New Roman;Times;serif"/>
          <w:b/>
          <w:sz w:val="20"/>
        </w:rPr>
        <w:t>Securities Act</w:t>
      </w:r>
      <w:r>
        <w:rPr>
          <w:rFonts w:ascii="Times New Roman;Times;serif" w:hAnsi="Times New Roman;Times;serif"/>
          <w:sz w:val="20"/>
        </w:rPr>
        <w:t>” means the U.S. Securities Act of 1933, as amended.</w:t>
      </w:r>
    </w:p>
    <w:p>
      <w:pPr>
        <w:pStyle w:val="TextBody"/>
        <w:bidi w:val="0"/>
        <w:spacing w:before="0" w:after="240"/>
        <w:ind w:left="560" w:right="200" w:hanging="0"/>
        <w:jc w:val="left"/>
        <w:rPr/>
      </w:pPr>
      <w:r>
        <w:rPr/>
        <w:t>“</w:t>
      </w:r>
      <w:r>
        <w:rPr>
          <w:rFonts w:ascii="Times New Roman;Times;serif" w:hAnsi="Times New Roman;Times;serif"/>
          <w:b/>
          <w:sz w:val="20"/>
        </w:rPr>
        <w:t>SEPA</w:t>
      </w:r>
      <w:r>
        <w:rPr>
          <w:rFonts w:ascii="Times New Roman;Times;serif" w:hAnsi="Times New Roman;Times;serif"/>
          <w:sz w:val="20"/>
        </w:rPr>
        <w:t>” means the Standby Equity Purchase Agreement.</w:t>
      </w:r>
    </w:p>
    <w:p>
      <w:pPr>
        <w:pStyle w:val="TextBody"/>
        <w:bidi w:val="0"/>
        <w:spacing w:before="0" w:after="240"/>
        <w:ind w:left="200" w:right="200" w:firstLine="360"/>
        <w:jc w:val="left"/>
        <w:rPr/>
      </w:pPr>
      <w:r>
        <w:rPr/>
        <w:t>“</w:t>
      </w:r>
      <w:r>
        <w:rPr>
          <w:rFonts w:ascii="Times New Roman;Times;serif" w:hAnsi="Times New Roman;Times;serif"/>
          <w:b/>
          <w:sz w:val="20"/>
        </w:rPr>
        <w:t>Sponsor</w:t>
      </w:r>
      <w:r>
        <w:rPr>
          <w:rFonts w:ascii="Times New Roman;Times;serif" w:hAnsi="Times New Roman;Times;serif"/>
          <w:sz w:val="20"/>
        </w:rPr>
        <w:t>” means Pegasus Digital Mobility Sponsor LLC., a Cayman Islands limited liability company, which is the sponsor of Pegasus.</w:t>
      </w:r>
    </w:p>
    <w:p>
      <w:pPr>
        <w:pStyle w:val="TextBody"/>
        <w:bidi w:val="0"/>
        <w:spacing w:before="0" w:after="240"/>
        <w:ind w:left="200" w:right="200" w:firstLine="360"/>
        <w:jc w:val="left"/>
        <w:rPr/>
      </w:pPr>
      <w:r>
        <w:rPr/>
        <w:t>“</w:t>
      </w:r>
      <w:r>
        <w:rPr>
          <w:rFonts w:ascii="Times New Roman;Times;serif" w:hAnsi="Times New Roman;Times;serif"/>
          <w:b/>
          <w:sz w:val="20"/>
        </w:rPr>
        <w:t>TopCo</w:t>
      </w:r>
      <w:r>
        <w:rPr>
          <w:rFonts w:ascii="Times New Roman;Times;serif" w:hAnsi="Times New Roman;Times;serif"/>
          <w:sz w:val="20"/>
        </w:rPr>
        <w:t>” means Pegasus TopCo B.V., a Dutch private liability company (</w:t>
      </w:r>
      <w:r>
        <w:rPr>
          <w:rFonts w:ascii="Times New Roman;Times;serif" w:hAnsi="Times New Roman;Times;serif"/>
          <w:i/>
          <w:sz w:val="20"/>
        </w:rPr>
        <w:t>besloten vennootschap met beperkte aansprakelijkheid</w:t>
      </w:r>
      <w:r>
        <w:rPr>
          <w:rFonts w:ascii="Times New Roman;Times;serif" w:hAnsi="Times New Roman;Times;serif"/>
          <w:sz w:val="20"/>
        </w:rPr>
        <w:t>) which has been converted and renamed to SCHMID Group N.V. on April 30, 2024.</w:t>
      </w:r>
    </w:p>
    <w:p>
      <w:pPr>
        <w:pStyle w:val="TextBody"/>
        <w:bidi w:val="0"/>
        <w:spacing w:before="0" w:after="240"/>
        <w:ind w:left="200" w:right="200" w:firstLine="360"/>
        <w:jc w:val="left"/>
        <w:rPr/>
      </w:pPr>
      <w:r>
        <w:rPr/>
        <w:t>“</w:t>
      </w:r>
      <w:r>
        <w:rPr>
          <w:rFonts w:ascii="Times New Roman;Times;serif" w:hAnsi="Times New Roman;Times;serif"/>
          <w:b/>
          <w:sz w:val="20"/>
        </w:rPr>
        <w:t>XJ Harbour</w:t>
      </w:r>
      <w:r>
        <w:rPr>
          <w:rFonts w:ascii="Times New Roman;Times;serif" w:hAnsi="Times New Roman;Times;serif"/>
          <w:sz w:val="20"/>
        </w:rPr>
        <w:t>” means XJ Harbour HK Limited.</w:t>
      </w:r>
    </w:p>
    <w:p>
      <w:pPr>
        <w:pStyle w:val="TextBody"/>
        <w:bidi w:val="0"/>
        <w:spacing w:before="0" w:after="0"/>
        <w:ind w:left="200" w:right="200" w:firstLine="360"/>
        <w:jc w:val="left"/>
        <w:rPr/>
      </w:pPr>
      <w:r>
        <w:rPr/>
        <w:t>“</w:t>
      </w:r>
      <w:r>
        <w:rPr>
          <w:rFonts w:ascii="Times New Roman;Times;serif" w:hAnsi="Times New Roman;Times;serif"/>
          <w:b/>
          <w:sz w:val="20"/>
        </w:rPr>
        <w:t>Yorkville</w:t>
      </w:r>
      <w:r>
        <w:rPr>
          <w:rFonts w:ascii="Times New Roman;Times;serif" w:hAnsi="Times New Roman;Times;serif"/>
          <w:sz w:val="20"/>
        </w:rPr>
        <w:t>” means YA II PN, Ltd.</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4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center"/>
        <w:rPr>
          <w:rFonts w:ascii="Times New Roman;Times;serif" w:hAnsi="Times New Roman;Times;serif"/>
          <w:b/>
          <w:sz w:val="20"/>
        </w:rPr>
      </w:pPr>
      <w:bookmarkStart w:id="23" w:name="CAUTIONARYNOTEREGARDINGFORWARDLOOKINGSTA"/>
      <w:bookmarkStart w:id="24" w:name="_ba644b37_fdd0_4410_9e18_3cc2ff7665fd"/>
      <w:bookmarkEnd w:id="23"/>
      <w:bookmarkEnd w:id="24"/>
      <w:r>
        <w:rPr>
          <w:rFonts w:ascii="Times New Roman;Times;serif" w:hAnsi="Times New Roman;Times;serif"/>
          <w:b/>
          <w:sz w:val="20"/>
        </w:rPr>
        <w:t>CAUTIONARY NOTE REGARDING FORWARD-LOOKING STATEMENTS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This prospectus contains or may contain forward-looking statements that involve significant risks and uncertainties.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Statements contained in this prospectus, other than statements of historical fact, including statements about SCHMID’s expectations, beliefs, plans, objectives, intentions, assumptions and other statements that are not historical facts are forward-looking statements. Words or phrases such as “anticipate,” “believe,” “continue,” “could,” “estimate,” “expect,” “intend,” “may,” “might,” “objective,” “ongoing,” “plan,” “potential,” “predict,” “project,” “should,” “will” and “would,” or similar words or phrases, or the negatives of those words or phrases, may identify forward-looking statements, but the absence of these words does not necessarily mean that a statement is not forward-looking. Examples of forward-looking statements in this prospectus include, but are not limited to, statements regarding SCHMID’s operations, cash flows, financial position and dividend policy.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Forward-looking statements are subject to risks and uncertainties. The risks and uncertainties include, but are not limited to:</w:t>
      </w:r>
    </w:p>
    <w:tbl>
      <w:tblPr>
        <w:tblW w:w="4731" w:type="dxa"/>
        <w:jc w:val="left"/>
        <w:tblInd w:w="20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financial condition and operating results;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changes in general economic conditions in the Federal Republic of Germany (“</w:t>
            </w:r>
            <w:r>
              <w:rPr>
                <w:rFonts w:ascii="Times New Roman;Times;serif" w:hAnsi="Times New Roman;Times;serif"/>
                <w:b/>
                <w:i w:val="false"/>
                <w:caps w:val="false"/>
                <w:smallCaps w:val="false"/>
                <w:sz w:val="20"/>
              </w:rPr>
              <w:t>Germany</w:t>
            </w:r>
            <w:r>
              <w:rPr>
                <w:caps w:val="false"/>
                <w:smallCaps w:val="false"/>
              </w:rPr>
              <w:t>”</w:t>
            </w:r>
            <w:r>
              <w:rPr>
                <w:rFonts w:ascii="Times New Roman;Times;serif" w:hAnsi="Times New Roman;Times;serif"/>
                <w:b w:val="false"/>
                <w:i w:val="false"/>
                <w:caps w:val="false"/>
                <w:smallCaps w:val="false"/>
                <w:sz w:val="20"/>
              </w:rPr>
              <w:t>), the European Union, the United States of America and the People’s Republic of China, including changes in the unemployment rate, the level of energy and consumer prices, wage levels, tariff and trade barrier pricing, etc.;</w:t>
            </w:r>
          </w:p>
        </w:tc>
      </w:tr>
    </w:tbl>
    <w:tbl>
      <w:tblPr>
        <w:tblW w:w="8271" w:type="dxa"/>
        <w:jc w:val="left"/>
        <w:tblInd w:w="200" w:type="dxa"/>
        <w:tblLayout w:type="fixed"/>
        <w:tblCellMar>
          <w:top w:w="28" w:type="dxa"/>
          <w:left w:w="28" w:type="dxa"/>
          <w:bottom w:w="28" w:type="dxa"/>
          <w:right w:w="28" w:type="dxa"/>
        </w:tblCellMar>
      </w:tblPr>
      <w:tblGrid>
        <w:gridCol w:w="124"/>
        <w:gridCol w:w="256"/>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remain in compliance with financial covenants under our financing arrangements;</w:t>
            </w:r>
          </w:p>
        </w:tc>
      </w:tr>
    </w:tbl>
    <w:p>
      <w:pPr>
        <w:pStyle w:val="TextBody"/>
        <w:bidi w:val="0"/>
        <w:spacing w:before="0" w:after="240"/>
        <w:ind w:left="560" w:right="200" w:hanging="0"/>
        <w:jc w:val="left"/>
        <w:rPr/>
      </w:pPr>
      <w:r>
        <w:rPr/>
        <w:t>●</w:t>
      </w:r>
      <w:r>
        <w:rPr>
          <w:rFonts w:ascii="Times New Roman;Times;serif" w:hAnsi="Times New Roman;Times;serif"/>
          <w:sz w:val="20"/>
        </w:rPr>
        <w:t>our ability to extend, renew or refinance our existing debt;</w:t>
      </w:r>
    </w:p>
    <w:p>
      <w:pPr>
        <w:pStyle w:val="TextBody"/>
        <w:bidi w:val="0"/>
        <w:spacing w:before="0" w:after="240"/>
        <w:ind w:left="560" w:right="200" w:hanging="0"/>
        <w:jc w:val="left"/>
        <w:rPr/>
      </w:pPr>
      <w:r>
        <w:rPr/>
        <w:t>●</w:t>
      </w:r>
      <w:r>
        <w:rPr>
          <w:rFonts w:ascii="Times New Roman;Times;serif" w:hAnsi="Times New Roman;Times;serif"/>
          <w:sz w:val="20"/>
        </w:rPr>
        <w:t>our liquidity and losses from operations and projected cash flows and related impact on our ability to continue as a going concern;</w:t>
      </w:r>
    </w:p>
    <w:p>
      <w:pPr>
        <w:pStyle w:val="TextBody"/>
        <w:bidi w:val="0"/>
        <w:spacing w:before="0" w:after="240"/>
        <w:ind w:left="560" w:right="200" w:hanging="0"/>
        <w:jc w:val="left"/>
        <w:rPr/>
      </w:pPr>
      <w:r>
        <w:rPr/>
        <w:t>●</w:t>
      </w:r>
      <w:r>
        <w:rPr>
          <w:rFonts w:ascii="Times New Roman;Times;serif" w:hAnsi="Times New Roman;Times;serif"/>
          <w:sz w:val="20"/>
        </w:rPr>
        <w:t>our growth, expansion and acquisition prospects and strategies, the success of such strategies, and the benefits we believe can be derived from such strategies;</w:t>
      </w:r>
    </w:p>
    <w:p>
      <w:pPr>
        <w:pStyle w:val="TextBody"/>
        <w:bidi w:val="0"/>
        <w:spacing w:before="0" w:after="240"/>
        <w:ind w:left="560" w:right="200" w:hanging="0"/>
        <w:jc w:val="left"/>
        <w:rPr/>
      </w:pPr>
      <w:r>
        <w:rPr/>
        <w:t>●</w:t>
      </w:r>
      <w:r>
        <w:rPr>
          <w:rFonts w:ascii="Times New Roman;Times;serif" w:hAnsi="Times New Roman;Times;serif"/>
          <w:sz w:val="20"/>
        </w:rPr>
        <w:t>our ability to effectively manage our inventory and inventory reserves;</w:t>
      </w:r>
    </w:p>
    <w:p>
      <w:pPr>
        <w:pStyle w:val="TextBody"/>
        <w:bidi w:val="0"/>
        <w:spacing w:before="0" w:after="240"/>
        <w:ind w:left="560" w:right="200" w:hanging="0"/>
        <w:jc w:val="left"/>
        <w:rPr/>
      </w:pPr>
      <w:r>
        <w:rPr/>
        <w:t>●</w:t>
      </w:r>
      <w:r>
        <w:rPr>
          <w:rFonts w:ascii="Times New Roman;Times;serif" w:hAnsi="Times New Roman;Times;serif"/>
          <w:sz w:val="20"/>
        </w:rPr>
        <w:t>impairments of our goodwill or other intangible assets;</w:t>
      </w:r>
    </w:p>
    <w:p>
      <w:pPr>
        <w:pStyle w:val="TextBody"/>
        <w:bidi w:val="0"/>
        <w:spacing w:before="0" w:after="240"/>
        <w:ind w:left="560" w:right="200" w:hanging="0"/>
        <w:jc w:val="left"/>
        <w:rPr/>
      </w:pPr>
      <w:r>
        <w:rPr/>
        <w:t>●</w:t>
      </w:r>
      <w:r>
        <w:rPr>
          <w:rFonts w:ascii="Times New Roman;Times;serif" w:hAnsi="Times New Roman;Times;serif"/>
          <w:sz w:val="20"/>
        </w:rPr>
        <w:t>changes in customer spending patterns and overall levels of investment;</w:t>
      </w:r>
    </w:p>
    <w:p>
      <w:pPr>
        <w:pStyle w:val="TextBody"/>
        <w:bidi w:val="0"/>
        <w:spacing w:before="0" w:after="240"/>
        <w:ind w:left="560" w:right="200" w:hanging="0"/>
        <w:jc w:val="left"/>
        <w:rPr/>
      </w:pPr>
      <w:r>
        <w:rPr/>
        <w:t>●</w:t>
      </w:r>
      <w:r>
        <w:rPr>
          <w:rFonts w:ascii="Times New Roman;Times;serif" w:hAnsi="Times New Roman;Times;serif"/>
          <w:sz w:val="20"/>
        </w:rPr>
        <w:t>our ability to further upgrade our information technology systems and infrastructure, including our accounting processes and functions;</w:t>
      </w:r>
    </w:p>
    <w:p>
      <w:pPr>
        <w:pStyle w:val="TextBody"/>
        <w:bidi w:val="0"/>
        <w:spacing w:before="0" w:after="240"/>
        <w:ind w:left="560" w:right="200" w:hanging="0"/>
        <w:jc w:val="left"/>
        <w:rPr/>
      </w:pPr>
      <w:r>
        <w:rPr/>
        <w:t>●</w:t>
      </w:r>
      <w:r>
        <w:rPr>
          <w:rFonts w:ascii="Times New Roman;Times;serif" w:hAnsi="Times New Roman;Times;serif"/>
          <w:sz w:val="20"/>
        </w:rPr>
        <w:t>our ability to continue to remedy weaknesses in our internal controls;</w:t>
      </w:r>
    </w:p>
    <w:p>
      <w:pPr>
        <w:pStyle w:val="TextBody"/>
        <w:bidi w:val="0"/>
        <w:spacing w:before="0" w:after="240"/>
        <w:ind w:left="560" w:right="200" w:hanging="0"/>
        <w:jc w:val="left"/>
        <w:rPr/>
      </w:pPr>
      <w:r>
        <w:rPr/>
        <w:t>●</w:t>
      </w:r>
      <w:r>
        <w:rPr>
          <w:rFonts w:ascii="Times New Roman;Times;serif" w:hAnsi="Times New Roman;Times;serif"/>
          <w:sz w:val="20"/>
        </w:rPr>
        <w:t>costs as a result of operating as a public company;</w:t>
      </w:r>
    </w:p>
    <w:p>
      <w:pPr>
        <w:pStyle w:val="TextBody"/>
        <w:bidi w:val="0"/>
        <w:spacing w:before="0" w:after="240"/>
        <w:ind w:left="560" w:right="200" w:hanging="0"/>
        <w:jc w:val="left"/>
        <w:rPr/>
      </w:pPr>
      <w:r>
        <w:rPr/>
        <w:t>●</w:t>
      </w:r>
      <w:r>
        <w:rPr>
          <w:rFonts w:ascii="Times New Roman;Times;serif" w:hAnsi="Times New Roman;Times;serif"/>
          <w:sz w:val="20"/>
        </w:rPr>
        <w:t>our assumptions regarding interest rates and inflation;</w:t>
      </w:r>
    </w:p>
    <w:p>
      <w:pPr>
        <w:pStyle w:val="TextBody"/>
        <w:bidi w:val="0"/>
        <w:spacing w:before="0" w:after="240"/>
        <w:ind w:left="560" w:right="200" w:hanging="0"/>
        <w:jc w:val="left"/>
        <w:rPr/>
      </w:pPr>
      <w:r>
        <w:rPr/>
        <w:t>●</w:t>
      </w:r>
      <w:r>
        <w:rPr>
          <w:rFonts w:ascii="Times New Roman;Times;serif" w:hAnsi="Times New Roman;Times;serif"/>
          <w:sz w:val="20"/>
        </w:rPr>
        <w:t>changes affecting currency exchange rates;</w:t>
      </w:r>
    </w:p>
    <w:p>
      <w:pPr>
        <w:pStyle w:val="TextBody"/>
        <w:bidi w:val="0"/>
        <w:spacing w:before="0" w:after="240"/>
        <w:ind w:left="560" w:right="200" w:hanging="0"/>
        <w:jc w:val="left"/>
        <w:rPr/>
      </w:pPr>
      <w:r>
        <w:rPr/>
        <w:t>●</w:t>
      </w:r>
      <w:r>
        <w:rPr>
          <w:rFonts w:ascii="Times New Roman;Times;serif" w:hAnsi="Times New Roman;Times;serif"/>
          <w:sz w:val="20"/>
        </w:rPr>
        <w:t>continuing business disruptions arising from the on-going war in Ukraine and ongoing hostilities in the Middle East;</w:t>
      </w:r>
    </w:p>
    <w:p>
      <w:pPr>
        <w:pStyle w:val="TextBody"/>
        <w:bidi w:val="0"/>
        <w:spacing w:before="0" w:after="240"/>
        <w:ind w:left="560" w:right="200" w:hanging="0"/>
        <w:jc w:val="left"/>
        <w:rPr/>
      </w:pPr>
      <w:r>
        <w:rPr/>
        <w:t>●</w:t>
      </w:r>
      <w:r>
        <w:rPr>
          <w:rFonts w:ascii="Times New Roman;Times;serif" w:hAnsi="Times New Roman;Times;serif"/>
          <w:sz w:val="20"/>
        </w:rPr>
        <w:t>our financial condition and ability to obtain financing in the future to implement our business strategy and fund capital expenditures, acquisitions and other general corporate activities;</w:t>
      </w:r>
    </w:p>
    <w:p>
      <w:pPr>
        <w:pStyle w:val="TextBody"/>
        <w:bidi w:val="0"/>
        <w:spacing w:before="0" w:after="240"/>
        <w:ind w:left="560" w:right="200" w:hanging="0"/>
        <w:jc w:val="left"/>
        <w:rPr/>
      </w:pPr>
      <w:r>
        <w:rPr/>
        <w:t>●</w:t>
      </w:r>
      <w:r>
        <w:rPr>
          <w:rFonts w:ascii="Times New Roman;Times;serif" w:hAnsi="Times New Roman;Times;serif"/>
          <w:sz w:val="20"/>
        </w:rPr>
        <w:t>estimated future capital expenditures needed to preserve our asset base;</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4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560" w:right="200" w:hanging="0"/>
        <w:jc w:val="left"/>
        <w:rPr/>
      </w:pPr>
      <w:r>
        <w:rPr/>
        <w:t>●</w:t>
      </w:r>
      <w:r>
        <w:rPr>
          <w:rFonts w:ascii="Times New Roman;Times;serif" w:hAnsi="Times New Roman;Times;serif"/>
          <w:sz w:val="20"/>
        </w:rPr>
        <w:t>the market acceptance of our products by our customers and our ability to adapt to technological changes;</w:t>
      </w:r>
    </w:p>
    <w:p>
      <w:pPr>
        <w:pStyle w:val="TextBody"/>
        <w:bidi w:val="0"/>
        <w:spacing w:before="0" w:after="240"/>
        <w:ind w:left="560" w:right="200" w:hanging="0"/>
        <w:jc w:val="left"/>
        <w:rPr/>
      </w:pPr>
      <w:r>
        <w:rPr/>
        <w:t>●</w:t>
      </w:r>
      <w:r>
        <w:rPr>
          <w:rFonts w:ascii="Times New Roman;Times;serif" w:hAnsi="Times New Roman;Times;serif"/>
          <w:sz w:val="20"/>
        </w:rPr>
        <w:t>the growth in the market for embedded traces, glass substrate technology in our products;</w:t>
      </w:r>
    </w:p>
    <w:p>
      <w:pPr>
        <w:pStyle w:val="TextBody"/>
        <w:bidi w:val="0"/>
        <w:spacing w:before="0" w:after="240"/>
        <w:ind w:left="560" w:right="200" w:hanging="0"/>
        <w:jc w:val="left"/>
        <w:rPr/>
      </w:pPr>
      <w:r>
        <w:rPr/>
        <w:t>●</w:t>
      </w:r>
      <w:r>
        <w:rPr>
          <w:rFonts w:ascii="Times New Roman;Times;serif" w:hAnsi="Times New Roman;Times;serif"/>
          <w:sz w:val="20"/>
        </w:rPr>
        <w:t>changes in our competitive environment and in our competition level;</w:t>
      </w:r>
    </w:p>
    <w:p>
      <w:pPr>
        <w:pStyle w:val="TextBody"/>
        <w:bidi w:val="0"/>
        <w:spacing w:before="0" w:after="240"/>
        <w:ind w:left="560" w:right="200" w:hanging="0"/>
        <w:jc w:val="left"/>
        <w:rPr/>
      </w:pPr>
      <w:r>
        <w:rPr/>
        <w:t>●</w:t>
      </w:r>
      <w:r>
        <w:rPr>
          <w:rFonts w:ascii="Times New Roman;Times;serif" w:hAnsi="Times New Roman;Times;serif"/>
          <w:sz w:val="20"/>
        </w:rPr>
        <w:t>the occurrence of accidents, terrorist attacks, natural disasters, fires, environmental damage, or systemic delivery failures;</w:t>
      </w:r>
    </w:p>
    <w:p>
      <w:pPr>
        <w:pStyle w:val="TextBody"/>
        <w:bidi w:val="0"/>
        <w:spacing w:before="0" w:after="240"/>
        <w:ind w:left="560" w:right="200" w:hanging="0"/>
        <w:jc w:val="left"/>
        <w:rPr/>
      </w:pPr>
      <w:r>
        <w:rPr/>
        <w:t>●</w:t>
      </w:r>
      <w:r>
        <w:rPr>
          <w:rFonts w:ascii="Times New Roman;Times;serif" w:hAnsi="Times New Roman;Times;serif"/>
          <w:sz w:val="20"/>
        </w:rPr>
        <w:t>our inability to attract and retain qualified personnel, consultants and collaborators;</w:t>
      </w:r>
    </w:p>
    <w:p>
      <w:pPr>
        <w:pStyle w:val="TextBody"/>
        <w:bidi w:val="0"/>
        <w:spacing w:before="0" w:after="240"/>
        <w:ind w:left="560" w:right="200" w:hanging="0"/>
        <w:jc w:val="left"/>
        <w:rPr/>
      </w:pPr>
      <w:r>
        <w:rPr/>
        <w:t>●</w:t>
      </w:r>
      <w:r>
        <w:rPr>
          <w:rFonts w:ascii="Times New Roman;Times;serif" w:hAnsi="Times New Roman;Times;serif"/>
          <w:sz w:val="20"/>
        </w:rPr>
        <w:t>changes in laws and regulations; and</w:t>
      </w:r>
    </w:p>
    <w:p>
      <w:pPr>
        <w:pStyle w:val="TextBody"/>
        <w:bidi w:val="0"/>
        <w:spacing w:before="0" w:after="0"/>
        <w:ind w:left="560" w:right="200" w:hanging="0"/>
        <w:jc w:val="left"/>
        <w:rPr/>
      </w:pPr>
      <w:r>
        <w:rPr/>
        <w:t>●</w:t>
      </w:r>
      <w:r>
        <w:rPr>
          <w:rFonts w:ascii="Times New Roman;Times;serif" w:hAnsi="Times New Roman;Times;serif"/>
          <w:sz w:val="20"/>
        </w:rPr>
        <w:t>our expectations relating to dividend payments and forecasts of our ability to make such payments.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Forward-looking statements are subject to known and unknown risks and uncertainties and are based on potentially inaccurate assumptions that could cause actual results to differ materially from those expected or implied by the forward-looking statements.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Actual results could differ materially from those anticipated in forward-looking statements for many reasons, including the factors described under the section titled “</w:t>
      </w:r>
      <w:r>
        <w:rPr>
          <w:rFonts w:ascii="Times New Roman;Times;serif" w:hAnsi="Times New Roman;Times;serif"/>
          <w:i/>
          <w:sz w:val="20"/>
        </w:rPr>
        <w:t>Risk Factors</w:t>
      </w:r>
      <w:r>
        <w:rPr>
          <w:rFonts w:ascii="Times New Roman;Times;serif" w:hAnsi="Times New Roman;Times;serif"/>
          <w:sz w:val="20"/>
        </w:rPr>
        <w:t>” in this prospectus. Accordingly, you should not rely on these forward-looking statements, which speak only as of the date of this prospectus. We undertake no obligation to publicly revise any forward-looking statement to reflect circumstances or events after the date of this prospectus or to reflect the occurrence of unanticipated events. You should, however, review the factors and risks we describe in the reports we will file from time to time with the SEC after the date of this prospectus.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addition, statements that “Schmid believes” or “we believe” and similar statements reflect our beliefs and opinions on the relevant subject. These statements are based on information available to us as of the date such statements are made. And while we believe that information provides a reasonable basis for these statements, that information may be limited or incomplete. Our statements should not be read to indicate that we have conducted an exhaustive inquiry into, or review of, all relevant information.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These statements are inherently uncertain, and you are cautioned not to unduly rely on these statements.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Although we believe the expectations reflected in the forward-looking statements were reasonable at the time made, we cannot guarantee future results, level of activity, performance or achievements. Moreover, neither SCHMID nor any other person assumes responsibility for the accuracy or completeness of any of these forward-looking statements. You should carefully consider the cautionary statements contained or referred to in this section in connection with the forward-looking statements contained in this prospectus and any subsequent written or oral forward-looking statements that may be issued by SCHMID or persons acting on our behalf. Our actual results, performance or achievements could differ materially from those contemplated, expressed or implied in this registration statement. You should not place undue reliance on these forward-looking statements. All forward-looking statements attributable to us or persons acting on our behalf are expressly qualified in their entirety by the cautionary statements set forth in this prospectus. Also, these forward-looking statements represent our estimates and assumptions only as of the date such forward-looking statements are made. Except as required by law, we assume no obligation to update any forward-looking statements publicly, whether as a result of new information, future events or otherwise.</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400" w:after="200"/>
        <w:ind w:left="820" w:right="82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20" w:right="820" w:firstLine="720"/>
        <w:jc w:val="center"/>
        <w:rPr>
          <w:rFonts w:ascii="Times New Roman;Times;serif" w:hAnsi="Times New Roman;Times;serif"/>
          <w:b/>
          <w:sz w:val="20"/>
          <w:bdr w:val="single" w:sz="2" w:space="5" w:color="000000"/>
        </w:rPr>
      </w:pPr>
      <w:bookmarkStart w:id="25" w:name="SUMMARYOFPROSPECTUS_640850"/>
      <w:bookmarkStart w:id="26" w:name="_dcae42f1_e355_4aa3_aa16_64853cc3f073"/>
      <w:bookmarkEnd w:id="25"/>
      <w:bookmarkEnd w:id="26"/>
      <w:r>
        <w:rPr>
          <w:rFonts w:ascii="Times New Roman;Times;serif" w:hAnsi="Times New Roman;Times;serif"/>
          <w:b/>
          <w:sz w:val="20"/>
          <w:bdr w:val="single" w:sz="2" w:space="5" w:color="000000"/>
        </w:rPr>
        <w:t>SUMMARY OF PROSPECTUS</w:t>
      </w:r>
    </w:p>
    <w:p>
      <w:pPr>
        <w:pStyle w:val="TextBody"/>
        <w:bidi w:val="0"/>
        <w:spacing w:before="0" w:after="240"/>
        <w:ind w:left="820" w:right="820" w:firstLine="360"/>
        <w:jc w:val="left"/>
        <w:rPr>
          <w:rFonts w:ascii="Times New Roman;Times;serif" w:hAnsi="Times New Roman;Times;serif"/>
          <w:i/>
          <w:sz w:val="20"/>
          <w:bdr w:val="single" w:sz="2" w:space="5" w:color="000000"/>
        </w:rPr>
      </w:pPr>
      <w:r>
        <w:rPr>
          <w:rFonts w:ascii="Times New Roman;Times;serif" w:hAnsi="Times New Roman;Times;serif"/>
          <w:i/>
          <w:sz w:val="20"/>
          <w:bdr w:val="single" w:sz="2" w:space="5" w:color="000000"/>
        </w:rPr>
        <w:t>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For a more complete understanding of our company and this offering, we encourage you to read and consider carefully the more detailed information in this prospectus, and any related prospectus supplement, including the information set forth in the section titled “Risk Factors” in this prospectus, and any related prospectus supplement in their entirety before making an investment decision. Unless otherwise stated or the context otherwise indicates, references to the “Company”, “we”, “our”, “us”, “SCHMID” or the “SCHMID Group” refer to SCHMID Group N.V., together with its subsidiaries.</w:t>
      </w:r>
    </w:p>
    <w:p>
      <w:pPr>
        <w:pStyle w:val="TextBody"/>
        <w:bidi w:val="0"/>
        <w:spacing w:before="0" w:after="240"/>
        <w:ind w:left="820" w:right="820" w:hanging="0"/>
        <w:jc w:val="left"/>
        <w:rPr>
          <w:rFonts w:ascii="Times New Roman;Times;serif" w:hAnsi="Times New Roman;Times;serif"/>
          <w:b/>
          <w:sz w:val="20"/>
          <w:bdr w:val="single" w:sz="2" w:space="5" w:color="000000"/>
        </w:rPr>
      </w:pPr>
      <w:r>
        <w:rPr>
          <w:rFonts w:ascii="Times New Roman;Times;serif" w:hAnsi="Times New Roman;Times;serif"/>
          <w:b/>
          <w:sz w:val="20"/>
          <w:bdr w:val="single" w:sz="2" w:space="5" w:color="000000"/>
        </w:rPr>
        <w:t>Our Company</w:t>
      </w:r>
    </w:p>
    <w:p>
      <w:pPr>
        <w:pStyle w:val="TextBody"/>
        <w:bidi w:val="0"/>
        <w:spacing w:before="0" w:after="240"/>
        <w:ind w:left="820" w:right="820" w:hanging="0"/>
        <w:jc w:val="left"/>
        <w:rPr>
          <w:rFonts w:ascii="Times New Roman;Times;serif" w:hAnsi="Times New Roman;Times;serif"/>
          <w:b/>
          <w:i/>
          <w:sz w:val="20"/>
          <w:bdr w:val="single" w:sz="2" w:space="5" w:color="000000"/>
        </w:rPr>
      </w:pPr>
      <w:r>
        <w:rPr>
          <w:rFonts w:ascii="Times New Roman;Times;serif" w:hAnsi="Times New Roman;Times;serif"/>
          <w:b/>
          <w:i/>
          <w:sz w:val="20"/>
          <w:bdr w:val="single" w:sz="2" w:space="5" w:color="000000"/>
        </w:rPr>
        <w:t>Overview</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We are a global supplier of equipment, software and services for various industries such as printed circuit board (“</w:t>
      </w:r>
      <w:r>
        <w:rPr>
          <w:rFonts w:ascii="Times New Roman;Times;serif" w:hAnsi="Times New Roman;Times;serif"/>
          <w:b/>
          <w:sz w:val="20"/>
          <w:bdr w:val="single" w:sz="2" w:space="5" w:color="000000"/>
        </w:rPr>
        <w:t>PCB</w:t>
      </w:r>
      <w:r>
        <w:rPr>
          <w:rFonts w:ascii="Times New Roman;Times;serif" w:hAnsi="Times New Roman;Times;serif"/>
          <w:sz w:val="20"/>
          <w:bdr w:val="single" w:sz="2" w:space="5" w:color="000000"/>
        </w:rPr>
        <w:t>”), substrate manufacturing, glass and photovoltaics with a focus on the highest end of these markets in terms of technology and performance. We are a long-established, fifth- generation family-controlled business that was founded in 1864 in Freudenstadt, Germany as an iron foundry and has a tradition of being at the forefront of technology. Throughout the more than 160 years of our operations, we have maintained sustainable operations by developing our products following trends on the market. We have been developing machines for the electronics industry since the 1960s and photovoltaics solutions since the early 2000s. We focus on a modular product portfolio of machinery to use in the manufacturing of high-end PCB equipment and semiconductor packaging devices which includes common flexible circuit fabrication techniques such as subtractive, semi-additive processes (“</w:t>
      </w:r>
      <w:r>
        <w:rPr>
          <w:rFonts w:ascii="Times New Roman;Times;serif" w:hAnsi="Times New Roman;Times;serif"/>
          <w:b/>
          <w:sz w:val="20"/>
          <w:bdr w:val="single" w:sz="2" w:space="5" w:color="000000"/>
        </w:rPr>
        <w:t>SAP</w:t>
      </w:r>
      <w:r>
        <w:rPr>
          <w:rFonts w:ascii="Times New Roman;Times;serif" w:hAnsi="Times New Roman;Times;serif"/>
          <w:sz w:val="20"/>
          <w:bdr w:val="single" w:sz="2" w:space="5" w:color="000000"/>
        </w:rPr>
        <w:t>”) and modified semi additive processes (“</w:t>
      </w:r>
      <w:r>
        <w:rPr>
          <w:rFonts w:ascii="Times New Roman;Times;serif" w:hAnsi="Times New Roman;Times;serif"/>
          <w:b/>
          <w:sz w:val="20"/>
          <w:bdr w:val="single" w:sz="2" w:space="5" w:color="000000"/>
        </w:rPr>
        <w:t>mSAP</w:t>
      </w:r>
      <w:r>
        <w:rPr>
          <w:rFonts w:ascii="Times New Roman;Times;serif" w:hAnsi="Times New Roman;Times;serif"/>
          <w:sz w:val="20"/>
          <w:bdr w:val="single" w:sz="2" w:space="5" w:color="000000"/>
        </w:rPr>
        <w:t>”). We are a global supplier of capital equipment, software and services for the PCB and substrate manufacturing industry. We focus on the highest end of the market in terms of technology and performance. We do not only develop production techniques and build machines ourselves; we are also extensively working with our customers on joint research &amp; development projects for the next generation of electronics products. We produce our products in two manufacturing sites, one in Germany and one in China. In addition, we have built an extensive service and sales network in six centers in the US, Europe, and Asia. In addition to our sale and service centers and two manufacturing sites, in South Korea we also work with our partners in SCHMID Avaco Korea, Co. Ltd. which we account for using the equity method. We also provide customer service through which we assist our customers with machinery and software upgrades, spare parts, logistics, customer training in multiple languages, on-site management, maintenance contracts, and project management.</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We have developed and applied for patents for the embedded traces (“</w:t>
      </w:r>
      <w:r>
        <w:rPr>
          <w:rFonts w:ascii="Times New Roman;Times;serif" w:hAnsi="Times New Roman;Times;serif"/>
          <w:b/>
          <w:sz w:val="20"/>
          <w:bdr w:val="single" w:sz="2" w:space="5" w:color="000000"/>
        </w:rPr>
        <w:t>ET</w:t>
      </w:r>
      <w:r>
        <w:rPr>
          <w:rFonts w:ascii="Times New Roman;Times;serif" w:hAnsi="Times New Roman;Times;serif"/>
          <w:sz w:val="20"/>
          <w:bdr w:val="single" w:sz="2" w:space="5" w:color="000000"/>
        </w:rPr>
        <w:t>”), PCB and substrate production processes that allow a significant increase in manufacturing precision as well as enhanced design features while also achieving cost savings compared to traditional processes and reduce the CO2 emissions of the overall production processes. We believe that our ET technology will gain a significant share of the high- end PCB and substrate market as it has substantial advantages in technology capabilities, cost and to reduce emissions as well as water consumption for production processes (greener production processes). We believe these innovative production processes create a sustainable competitive advantage that helps us reach new customers and allows us to continue to grow our market share and capitalize on the overall positive market growth trends.</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Our customers include large, global original equipment manufacturer (“OEM”) from the semiconductor, consumer electronics industry, space and defense electronics and companies that are part of the supply chain of such global companies.</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We have a research and development focused business model. We develop and build innovative machines and systems for wet &amp; vacuum processing in various industries spanning high-end electronics such as PCB and organic packaging, photovoltaics and special glass applications as well as other high-tech industries. We employ more than 150 scientists, engineers and development personnel to focus on new technologies and processes out of a total of approximately 734 employees (by headcount) globally. As a result, we consistently invest a significant amount in R&amp;D. Our science, engineering and development staff work in close collaboration with our customers to jointly develop high-value solutions. Such collaboration may reduce commercial risk, given that solutions are specifically developed for customers. The remainder of our R&amp;D investment is focused on developing next-generation technologies, often as part of a collaborative process with our customers. In addition, we work with universities and leading research institutes such as the Fraunhofer Institute for Solar Energy Systems.</w:t>
      </w:r>
    </w:p>
    <w:p>
      <w:pPr>
        <w:pStyle w:val="TextBody"/>
        <w:bidi w:val="0"/>
        <w:spacing w:before="120" w:after="360"/>
        <w:ind w:left="820" w:right="82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400" w:after="200"/>
        <w:ind w:left="820" w:right="82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We expect to continue to invest in the future focusing on three primary areas: (i) growth for ET and glass substrate projects, which have higher working capital needs compared to other technologies; and (ii) strategic investments in automation solutions, such as the next generation of fully automatic factories.</w:t>
      </w:r>
    </w:p>
    <w:p>
      <w:pPr>
        <w:pStyle w:val="TextBody"/>
        <w:bidi w:val="0"/>
        <w:spacing w:before="0" w:after="240"/>
        <w:ind w:left="820" w:right="820" w:hanging="0"/>
        <w:jc w:val="left"/>
        <w:rPr>
          <w:rFonts w:ascii="Times New Roman;Times;serif" w:hAnsi="Times New Roman;Times;serif"/>
          <w:b/>
          <w:i/>
          <w:sz w:val="20"/>
          <w:bdr w:val="single" w:sz="2" w:space="5" w:color="000000"/>
        </w:rPr>
      </w:pPr>
      <w:r>
        <w:rPr>
          <w:rFonts w:ascii="Times New Roman;Times;serif" w:hAnsi="Times New Roman;Times;serif"/>
          <w:b/>
          <w:i/>
          <w:sz w:val="20"/>
          <w:bdr w:val="single" w:sz="2" w:space="5" w:color="000000"/>
        </w:rPr>
        <w:t>Our Business Operations</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We operate our business by providing machines for industries, including, but not limited to, electronics, and provide after-sale services to customers across all industries. For all relevant industries which we see as our customer markets, we offer our core products, such as our machines, as well as technology and customer service support to our customers. Although these industries each have varied end-markets and customers, our expertise, high-quality standards and global scale are essential in both areas. Our equipment covers a wide range of production steps.</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We leverage our research and development investment and cooperate with our research and development partners (universities and institutes) and our clients as we seek to benefit from technologies, innovations, best practices, and other key learnings across our product portfolio. These efforts often result in innovative strength, allowing us to be at the forefront of technology, with high-quality standards for long-lasting and reliable products to meet customer needs, such as understanding the needs of global electronics OEMs for efficient continuous production of higher spec devices with a reduced environmental footprint. We believe we have a track record of delivering disruptive technology solutions and that our strong, long-lasting relationships with key technology OEMs and other customers in their supply chain will remain the key drivers of demand for our electronics products and services in the future.</w:t>
      </w:r>
    </w:p>
    <w:p>
      <w:pPr>
        <w:pStyle w:val="TextBody"/>
        <w:bidi w:val="0"/>
        <w:spacing w:before="0" w:after="240"/>
        <w:ind w:left="820" w:right="820" w:hanging="0"/>
        <w:jc w:val="left"/>
        <w:rPr>
          <w:rFonts w:ascii="Times New Roman;Times;serif" w:hAnsi="Times New Roman;Times;serif"/>
          <w:i/>
          <w:sz w:val="20"/>
          <w:bdr w:val="single" w:sz="2" w:space="5" w:color="000000"/>
        </w:rPr>
      </w:pPr>
      <w:r>
        <w:rPr>
          <w:rFonts w:ascii="Times New Roman;Times;serif" w:hAnsi="Times New Roman;Times;serif"/>
          <w:i/>
          <w:sz w:val="20"/>
          <w:bdr w:val="single" w:sz="2" w:space="5" w:color="000000"/>
        </w:rPr>
        <w:t>Electronics</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We generate by far the largest part of our revenues and profits in the electronics market. In this market we sell our machines globally and have a wide regional presence that allows us to serve both large OEM as well as the global electronics supply chain, as demonstrated by our longstanding relationships with our key customers that are leaders in their industry.</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The product portfolio of our electronics business is focused on what we have identified as attractive growth areas of the electronics market that involve technologically advanced production processes. Our modular equipment kit includes equipment for processes such as automation, wet processes (horizontal, vertical and single panel) and vacuum processes. This modular approach to design and manufacturing means that we are using the building kit concept that creates flexibility by using proven components that guarantee high-quality and enable industrial-scale production. Our modular approach to design and manufacturing is also a key advantage in relation to lead times and being able to optimize our cost structure, while maintaining a high level of customization for our customers. Our modular approach supports an increase in the useful life of our equipment by creating a path to upgrades to meet any changes in the needs of our customers after a machine has already been installed and used for several years.</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We work directly with many of the leading global technology companies and are able to satisfy their strict quality requirements. In the electronics market, our customers include well-known manufacturers of computers, mobile phones and tablets as well as the manufacturers of PCB boards and the suppliers of such manufacturers.</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We partner with them during their product development processes and closely collaborate to have our products delivered to meet customer specifications as well as customer acceptance tests. We believe our quality commitment and technical competence have helped us establish a strong reputation in the industry, as well as our commitment to innovation and R&amp;D. Through a combination of high-quality solutions and customized on-site management we have demonstrated a successful track record of consistently meeting the needs of our customers which has resulted in long-standing and trusting relationships. We serve some of the largest OEM and PCB/substrate manufacturers in the world and have historical or ongoing joint development projects for future technologies and products.</w:t>
      </w:r>
    </w:p>
    <w:p>
      <w:pPr>
        <w:pStyle w:val="TextBody"/>
        <w:bidi w:val="0"/>
        <w:spacing w:before="0" w:after="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 xml:space="preserve">Over the past year, we worked out a partnership between SCHMID and TRUMPF, a high-tech company offering manufacturing solutions in the fields of machine tools and laser technology. TRUMPF and SCHMID announced that they are developing an innovative manufacturing process for the latest microchip generation for the global chip industry. This will enable manufacturers to increase the performance of high-end electronic components for smartphones, smart watches and AI applications. In the process known as advanced packaging, manufacturers combine individual chips on silicon components known as interposers. With the process from TRUMPF and SCHMID, these interposers can be made of glass in the future. To create connections on the interposer, manufacturers have to drill holes through the glass, so-called through-glass vias (“TGV”). Manufacturers often have to create millions of holes in a panel to make the desired connections. The combination of TRUMPF’s laser technology and SCHMID’s expertise in </w:t>
      </w:r>
    </w:p>
    <w:p>
      <w:pPr>
        <w:pStyle w:val="TextBody"/>
        <w:bidi w:val="0"/>
        <w:spacing w:before="120" w:after="360"/>
        <w:ind w:left="820" w:right="82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400" w:after="200"/>
        <w:ind w:left="820" w:right="82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20" w:right="820" w:hanging="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etching processes for microchip production enables efficient production. This special approach shortens process times by a factor of ten. After establishing the technology we have now started to accelerate and improve cost performance of the technology. According to the Boston Consulting Group, the market for advanced microchip packaging is expected to grow to more than 96 billion dollars by 2030. TRUMPF and SCHMID, advanced packaging with the help of glass could also develop into an important future market. Currently, applications in consumer electronics such as smartphones dominate the advanced packaging sector. In the future, applications in the field of artificial intelligence are likely to be the growth drivers.</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We are continuing to refine and further develop our ET process which is a new way to produce substrates and High Density Interconnect (“HDI+”) boards. We provide a specialized equipment portfolio that allows our customers to produce ETs.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w:t>
      </w:r>
    </w:p>
    <w:p>
      <w:pPr>
        <w:pStyle w:val="TextBody"/>
        <w:bidi w:val="0"/>
        <w:spacing w:before="0" w:after="240"/>
        <w:ind w:left="820" w:right="820" w:hanging="0"/>
        <w:jc w:val="left"/>
        <w:rPr>
          <w:rFonts w:ascii="Times New Roman;Times;serif" w:hAnsi="Times New Roman;Times;serif"/>
          <w:i/>
          <w:sz w:val="20"/>
          <w:bdr w:val="single" w:sz="2" w:space="5" w:color="000000"/>
        </w:rPr>
      </w:pPr>
      <w:r>
        <w:rPr>
          <w:rFonts w:ascii="Times New Roman;Times;serif" w:hAnsi="Times New Roman;Times;serif"/>
          <w:i/>
          <w:sz w:val="20"/>
          <w:bdr w:val="single" w:sz="2" w:space="5" w:color="000000"/>
        </w:rPr>
        <w:t>The ET Process</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The ET process is a relatively new way to produce substrates and HDI+ boards. We are currently the only company to offer a full solution, including key equipment and processes to customers in the electronics market for the ET process. In contrast to the standard conventional method of production which uses laser drilling, the ET process uses parallel plasma processing. Traces in ET boards are first embedded in the isolator material and then filled with copper in the already etched embedded structure using a proprietary and highly protected process. This new technology is a fully additive process, allows for flexibility in designing completely new types of 3D structures and can upgrade existing mSAP and SAP deployments. The ET process can also be combined with glass cores allowing for an extension of its use for such products. We are now focusing on miniaturisation and sizes below 2 μm.</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The ET technology we have developed allows us to meet customers’ demands that could not be met by traditional PCB manufacturing techniques. For example, ET technology allows us to further miniaturize, increase complexity and incorporate advanced properties by producing better performing PCBs and/or substrates, with narrower line widths, increasing numbers of input and output devices, higher aspect ratios or using new materials, while maintaining acceptable manufacturing efficiency, meeting our customers’ environmental, social and government (“ESG”) goals and maintaining a resilient supply chain.</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We provide a specialized equipment portfolio that allows our customers to produce embedded traces.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The use of ET technology can (i) increase production yields with reduced facility requirements, (ii) enable new 3D packaging solutions that cover ratification intelligence and photonic applications, and (iii) improve the return on customers’ investment by allowing the manufacture of boards from HDI+ to substrate on the same equipment. Unlike with conventional production, ET technology replaces round holes with square holes, allows for 3D connections, increases the amount of copper for better thermal management, has full 3D, coreless and core, and single- and double-sided build up for substrates, optimizes glass substrates and replaces laser drilling with parallel plasma etching processes. The optimized process reduces the roughness and increases the adhesion between layer stacks and is compatible with future high- performance materials. The embedding concepts allow for implementation of chips directly inside the substrates. These advantages allow higher performance final applications such as those being demanded in AI, high-end consumer electronics, and certain autonomous driving applications.</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Our management expects that the further penetration of the ET technology in the overall market will lead to a significant increase of the share of capital expenditure spending for a new factory from 20% of equipment spending for a traditional fabrication methods factory to 50% in an ET technology factory. This estimate is an internal management estimate based on the understanding of technical processes required for factory fabrication methods.</w:t>
      </w:r>
    </w:p>
    <w:p>
      <w:pPr>
        <w:pStyle w:val="TextBody"/>
        <w:bidi w:val="0"/>
        <w:spacing w:before="120" w:after="360"/>
        <w:ind w:left="820" w:right="82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400" w:after="200"/>
        <w:ind w:left="820" w:right="82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20" w:right="820" w:hanging="0"/>
        <w:jc w:val="left"/>
        <w:rPr>
          <w:rFonts w:ascii="Times New Roman;Times;serif" w:hAnsi="Times New Roman;Times;serif"/>
          <w:i/>
          <w:sz w:val="20"/>
          <w:bdr w:val="single" w:sz="2" w:space="5" w:color="000000"/>
        </w:rPr>
      </w:pPr>
      <w:r>
        <w:rPr>
          <w:rFonts w:ascii="Times New Roman;Times;serif" w:hAnsi="Times New Roman;Times;serif"/>
          <w:i/>
          <w:sz w:val="20"/>
          <w:bdr w:val="single" w:sz="2" w:space="5" w:color="000000"/>
        </w:rPr>
        <w:t>After Sales Services</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Through our five service centers located around the world, we focus on offering worldwide customer-oriented services, including on-site management, remote maintenance and diagnosis, customer training and project management at our customers’ facilities.</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We also offer customer support services through the provision of spare parts, upgrades, maintenance contracts and ancillary services allowing our customers to benefit from our service network in multiple jurisdictions globally and more than 100 service engineers capable of providing comprehensive on-site service.</w:t>
      </w:r>
    </w:p>
    <w:p>
      <w:pPr>
        <w:pStyle w:val="TextBody"/>
        <w:bidi w:val="0"/>
        <w:spacing w:before="0" w:after="240"/>
        <w:ind w:left="820" w:right="820" w:hanging="0"/>
        <w:jc w:val="left"/>
        <w:rPr>
          <w:rFonts w:ascii="Times New Roman;Times;serif" w:hAnsi="Times New Roman;Times;serif"/>
          <w:b/>
          <w:i/>
          <w:sz w:val="20"/>
          <w:bdr w:val="single" w:sz="2" w:space="5" w:color="000000"/>
        </w:rPr>
      </w:pPr>
      <w:r>
        <w:rPr>
          <w:rFonts w:ascii="Times New Roman;Times;serif" w:hAnsi="Times New Roman;Times;serif"/>
          <w:b/>
          <w:i/>
          <w:sz w:val="20"/>
          <w:bdr w:val="single" w:sz="2" w:space="5" w:color="000000"/>
        </w:rPr>
        <w:t>Business Strategies</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We aim to continue our technological leadership by investing in product development on an ongoing basis. Our key growth strategy is to drive our revenues in the electronics market as a result of ET adoption in the PCB and substrate market over the next years, thus complementing and selectively displacing conventional SAP and mSAP technologies in applications where sustainability, cost efficiency, process robustness, and total cost of ownership are decisive factors. In addition, we aim to grow organically by focusing on an expansion of our product portfolio and increasing the penetration of the high-end PCB and organic substrate market. An additional growth field is equipment and processes for glass substrate manufacturing, currently focused on R&amp;D, pilot lines, and early OEM engagements, with volume adoption expected in the mid- to long-term. As part of our customer service business, we aim to benefit from economies of scale as the installed base of machinery increases and we as a result can grow revenues for services for our machinery proportionally to the installed base.</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We also plan to consider selected strategic acquisitions that are aligned with our technology focus, in particular in the area of process control, yield optimization, manufacturing data integration, and high-end factory automation, closely aligned with SCHMID’s equipment and installed base.</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Overall, we believe our revenue growth will be supported by a number of key trends that should increase the demand for our products such as substrates with higher density, higher frequencies and introduction of new materials all of which will require new production technologies, including:</w:t>
      </w:r>
    </w:p>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use of artificial intelligence expands, it will become more sophisticated. We believe that the expected broad and rapid adoption of AI will accelerate growth in required computing power. The growth of artificial intelligence technology may lead to an increase in the demand for novel semiconductor packaging solutions that can keep pace with rapid AI growth such as Intel driving demand for advanced interconnect, power delivery, signal integrity and thermal management solutions. While concepts such as chiplet-based architectures and advanced packaging (e.g., CoWoS) continue to evolve, SCHMID primarily benefits from upstream PCB and substrate manufacturing technologies required to support these architectures.</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connectivity and the internet of things (IoT) including personal devices and continuous miniaturization can increase the volume of data that needs to be transmitted, processed and stored and drive further demand for our customers’ products and thus for orders for our machines and services.</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Additionally, as investors become more focused on ESG and environmental pressures, the interest in carbon neutrality, green products and processes will increase. Customers and producers will strive to reduce the eco footprint of manufacturing processes and reduce energy and water consumption and our green production, urban fabrication facilities that meet international environmental standards and facilitate manufacturing in the US, Europe and South East Asia and our R&amp;D efforts provide our customers with products which help them achieve their CO2 reduction targets. Our ET technology is important for this trend. Based on internal assessments and customer data, the ET process can reduce energy consumption by up to 30%, water usage by up to 70%, chemical consumption by up to 40%, and CO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emissions by up to 30%, depending on application and configuration. Not only does this ET process decrease the total costs of ownership, but it also lowers the carbon footprint of production which can further help customers achieve their ESG goals. In addition to that, our newly launched TGV etching system maximizes efficiency and fosters sustainable manufacturing practices. It leads to a 35% reduction in power consumption and is a more cost-effective etching solution.</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that the expansion in electric vehicles and autonomous driving technologies will lead to a greater demand for high power applications, as well as a greater need for highly reliable radar and sensor applications. As cars continue to include a larger number of semiconductors, new PCB technologies are critical to ensuring the comfort, durability and safety of </w:t>
            </w:r>
          </w:p>
        </w:tc>
      </w:tr>
    </w:tbl>
    <w:p>
      <w:pPr>
        <w:pStyle w:val="TextBody"/>
        <w:bidi w:val="0"/>
        <w:spacing w:before="120" w:after="360"/>
        <w:ind w:left="820" w:right="82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400" w:after="200"/>
        <w:ind w:left="820" w:right="82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565" w:type="dxa"/>
        <w:jc w:val="left"/>
        <w:tblInd w:w="820" w:type="dxa"/>
        <w:tblLayout w:type="fixed"/>
        <w:tblCellMar>
          <w:top w:w="28" w:type="dxa"/>
          <w:left w:w="28" w:type="dxa"/>
          <w:bottom w:w="28" w:type="dxa"/>
          <w:right w:w="28" w:type="dxa"/>
        </w:tblCellMar>
      </w:tblPr>
      <w:tblGrid>
        <w:gridCol w:w="124"/>
        <w:gridCol w:w="109"/>
        <w:gridCol w:w="83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autonomous driving. Additionally, as countries continue to incentivize drivers to switch to electric vehicles, we expect the market for PCBs to continue to grow as PCBs are used in the production of charging stations and audio and visuals display systems.</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applications for end products produced by our machines include AI servers, solar cells and modules for charging stations. We produce other machines that enable production of high-quality parts for cars, such as radar systems for autonomous driving, metal etching for interior design, anti-glare display technology, packaging and HDI+ for 5G communication, packaging for processors and etching thick copper for LED lighting and High- Power solutions.</w:t>
            </w:r>
          </w:p>
        </w:tc>
      </w:tr>
    </w:tbl>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Geographically, we aim to further expand into new geographies and regions, in particular in Asia outside of China and in North America. In 2025, we generated the first significant revenues from our new subsidiary in Malaysia, which acts as a spare parts and service hub for the entire Asian region (excluding China and Taiwan). For 2026, we plan to enlarge our business there and continue with the growth. We assume that selected Asian countries that have not been in the spotlight to date will develop strongly in the coming years. Furthermore, we continue to believe in very strong economic development in North America. Recently, we have noticed weaker economic development in Europe. However, the latest political developments and the efforts of European countries to become less dependent on the USA and China could accelerate investments driven by strategic autonomy, supply chain resilience, and sustainability objectives, from which SCHMID expects to benefit selectively. We have recently entered the glass substrate machining market and have offered specific machines in this sector to customers. We consider this technology to be suitable to be implemented at various original equipment manufacturers. Furthermore, it can be used in combination with ET layers.</w:t>
      </w:r>
    </w:p>
    <w:p>
      <w:pPr>
        <w:pStyle w:val="TextBody"/>
        <w:bidi w:val="0"/>
        <w:spacing w:before="0" w:after="240"/>
        <w:ind w:left="820" w:right="820" w:hanging="0"/>
        <w:jc w:val="left"/>
        <w:rPr>
          <w:rFonts w:ascii="Times New Roman;Times;serif" w:hAnsi="Times New Roman;Times;serif"/>
          <w:b/>
          <w:sz w:val="20"/>
          <w:bdr w:val="single" w:sz="2" w:space="5" w:color="000000"/>
        </w:rPr>
      </w:pPr>
      <w:r>
        <w:rPr>
          <w:rFonts w:ascii="Times New Roman;Times;serif" w:hAnsi="Times New Roman;Times;serif"/>
          <w:b/>
          <w:sz w:val="20"/>
          <w:bdr w:val="single" w:sz="2" w:space="5" w:color="000000"/>
        </w:rPr>
        <w:t>Recent Developments</w:t>
      </w:r>
    </w:p>
    <w:p>
      <w:pPr>
        <w:pStyle w:val="TextBody"/>
        <w:bidi w:val="0"/>
        <w:spacing w:before="0" w:after="240"/>
        <w:ind w:left="820" w:right="820" w:hanging="0"/>
        <w:jc w:val="left"/>
        <w:rPr>
          <w:rFonts w:ascii="Times New Roman;Times;serif" w:hAnsi="Times New Roman;Times;serif"/>
          <w:b/>
          <w:i/>
          <w:sz w:val="20"/>
          <w:bdr w:val="single" w:sz="2" w:space="5" w:color="000000"/>
        </w:rPr>
      </w:pPr>
      <w:r>
        <w:rPr>
          <w:rFonts w:ascii="Times New Roman;Times;serif" w:hAnsi="Times New Roman;Times;serif"/>
          <w:b/>
          <w:i/>
          <w:sz w:val="20"/>
          <w:bdr w:val="single" w:sz="2" w:space="5" w:color="000000"/>
        </w:rPr>
        <w:t>Events in 2025 and 2026</w:t>
      </w:r>
    </w:p>
    <w:p>
      <w:pPr>
        <w:pStyle w:val="TextBody"/>
        <w:bidi w:val="0"/>
        <w:spacing w:before="0" w:after="240"/>
        <w:ind w:left="820" w:right="820" w:hanging="0"/>
        <w:jc w:val="left"/>
        <w:rPr>
          <w:rFonts w:ascii="Times New Roman;Times;serif" w:hAnsi="Times New Roman;Times;serif"/>
          <w:i/>
          <w:sz w:val="20"/>
          <w:bdr w:val="single" w:sz="2" w:space="5" w:color="000000"/>
        </w:rPr>
      </w:pPr>
      <w:r>
        <w:rPr>
          <w:rFonts w:ascii="Times New Roman;Times;serif" w:hAnsi="Times New Roman;Times;serif"/>
          <w:i/>
          <w:sz w:val="20"/>
          <w:bdr w:val="single" w:sz="2" w:space="5" w:color="000000"/>
        </w:rPr>
        <w:t>NASDAQ Delinquency and Delisting Notices</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The Company was unable to file its Form 20-F reflecting its 2024 financial statements in a timely fashion, because accounting and liquidity issues delayed the finalization of its financial statements, and thus the audit. The Company filed a Form 12b-25 Notification of Late Filing with the SEC on April 30, 2025 setting out the reasons for the delayed filing. When the Company’s 2024 20-F was not filed within the 15-day extension period, NASDAQ sent the Company a notice informing the Company of non-compliance with NASDAQ Listing Rule 5250(c)(1). In accordance with NASDAQ rules the Company submitted a plan to regain compliance with the Listing Rules on July 14, 2025 and was granted an extension by NASDAQ until November 11, 2025 to regain compliance.</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The issues which delayed the Company’s finalization of its financial statements were the complexity of accounting associated with the de-SPAC transaction, the at the time unfinalized nature of documentation, necessary for accounting purposes, relating to its Turkish partnership, and ongoing negotiations with potential investors and its creditors, regarding potential investments and set-off agreements due to a lack of sufficient liquidity of the Company making such agreements necessary for the completion of the financial statements.</w:t>
      </w:r>
    </w:p>
    <w:p>
      <w:pPr>
        <w:pStyle w:val="TextBody"/>
        <w:bidi w:val="0"/>
        <w:spacing w:before="0" w:after="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 xml:space="preserve">During the period until December 2025 the Company negotiated with various of its creditors, including AVACO and XJ, to come to agreements regarding a significant portion of the Company’s outstanding debt. SCHMID was also in negotiations with a number of new investors interested in an investment into the Company. During the spring and summer of 2025 the Company agreed to exclusivity with one investor, with whom the negotiations process was far advanced. In September 2025, shortly before signing definitive contracts with this investor (which is a publicly listed company in its home country), the national regulator of the investor’s home country asked the investor to halt the investment process which led to the abandonment of that transaction by the investor. This delay affected the timeline for the Company’s capital raise and the Company was unable to finalize its financial statements and file its 2024 20-F by November 11, 2025. On November 12, 2025, the Company received a determination letter from NASDAQ notifying it that, based upon its non-compliance with the filing requirement, the staff had determined to delist the Company’s securities. The Company was granted a stay in relation to the removal from trading of the Company’s securities on NASDAQ in accordance with NASDAQ rules upon request by the Company. The Company, in accordance with NASDAQ rules requested a hearing before the NASDAQ Hearings Panel in relation to the determination letter. In January 2026, the NASDAQ Hearings Panel granted the Company an extension to regain compliance with NASDAQ rules. The Company filed its 2024 20-F on February 13, 2026 to regain compliance. By letter received on February 19, 2026, NASDAQ confirmed that the Company has regained full compliance with applicable </w:t>
      </w:r>
    </w:p>
    <w:p>
      <w:pPr>
        <w:pStyle w:val="TextBody"/>
        <w:bidi w:val="0"/>
        <w:spacing w:before="120" w:after="360"/>
        <w:ind w:left="820" w:right="82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400" w:after="200"/>
        <w:ind w:left="820" w:right="82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20" w:right="820" w:hanging="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NASDAQ rules. In application of NASDAQ listing rule 5815(d)(4)(B), the Company is currently subject to a mandatory panel monitoring period of one year from the date of the letter, that is until February 19, 2027.</w:t>
      </w:r>
    </w:p>
    <w:p>
      <w:pPr>
        <w:pStyle w:val="TextBody"/>
        <w:bidi w:val="0"/>
        <w:spacing w:before="0" w:after="240"/>
        <w:ind w:left="820" w:right="820" w:hanging="0"/>
        <w:jc w:val="left"/>
        <w:rPr>
          <w:rFonts w:ascii="Times New Roman;Times;serif" w:hAnsi="Times New Roman;Times;serif"/>
          <w:i/>
          <w:sz w:val="20"/>
          <w:bdr w:val="single" w:sz="2" w:space="5" w:color="000000"/>
        </w:rPr>
      </w:pPr>
      <w:r>
        <w:rPr>
          <w:rFonts w:ascii="Times New Roman;Times;serif" w:hAnsi="Times New Roman;Times;serif"/>
          <w:i/>
          <w:sz w:val="20"/>
          <w:bdr w:val="single" w:sz="2" w:space="5" w:color="000000"/>
        </w:rPr>
        <w:t>Debt Set-Off and Share Issuance Agreements with XJ Harbour and with AVACO</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On November 12, 2025, the Company entered into a subscription agreement and a set-off agreement with XJ Harbour, pursuant to which the Company agreed to issue and sell shares to XJ Harbour in a private placement. The Company agreed to issue ordinary shares to XJ Harbour at $2.15 per share to set off $26,962,158.90 of liabilities (including accrued interest) owed to XJ Harbour by the Company. In an extraordinary general shareholders’ meeting held by the Company on December 23, 2025, the shareholders authorized the issuance of shares to XJ Harbour. 12,540,539 shares of the Company were issued to XJ Harbour on January 16, 2026, and transferred to XJ Harbour.</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On November 3, 2025 the Company also entered into a subscription and set-off agreement with SCHMID Avaco Korea Co., Ltd, with shares issued but never counted as part of the Company’s outstanding shares, as such shares were never entered into the Company’s share register due to them not being registered by January 31, 2026 as contractually required and are to be cancelled in accordance with the agreements.</w:t>
      </w:r>
    </w:p>
    <w:p>
      <w:pPr>
        <w:pStyle w:val="TextBody"/>
        <w:bidi w:val="0"/>
        <w:spacing w:before="0" w:after="240"/>
        <w:ind w:left="820" w:right="820" w:hanging="0"/>
        <w:jc w:val="left"/>
        <w:rPr>
          <w:rFonts w:ascii="Times New Roman;Times;serif" w:hAnsi="Times New Roman;Times;serif"/>
          <w:i/>
          <w:sz w:val="20"/>
          <w:bdr w:val="single" w:sz="2" w:space="5" w:color="000000"/>
        </w:rPr>
      </w:pPr>
      <w:r>
        <w:rPr>
          <w:rFonts w:ascii="Times New Roman;Times;serif" w:hAnsi="Times New Roman;Times;serif"/>
          <w:i/>
          <w:sz w:val="20"/>
          <w:bdr w:val="single" w:sz="2" w:space="5" w:color="000000"/>
        </w:rPr>
        <w:t>Term Loan Facility with Black Forest Special Situations I</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The Company signed a secured two-tranche term loan facility with a total commitment value of up to €10,000,000 with the lender Black Forest Special Situations I, a Cayman Islands incorporated entity, on December 16, 2025. The lender is backed by a consortium that includes the Company’s chairman of the Board, Sir Ralf Speth, members of the Board of the Company, its CFO Arthur Schuetz, and third-party investment and advisory professionals. The first tranche consisted of €2,500,000, which was paid out to the Company on December 18, 2025.</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The second tranche of up to €7,500,000 was set to be drawn down early in 2026, but was not utilized due to the Company issuing USD 30 million in convertible notes (see below).</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Black Forest Special Situations I has a conversion right under the term loan facility, which is exercisable at a share price of US$2.15 into shares of the Company between six months after the draw down of the first tranche and the date of the term loan facility’s maturity, which is 15 months after the first tranche draw down. The first and second tranches may be converted independently of one another. The term loan facility has a 15% p.a. interest rate with interest payable at maturity, unless the conversion right is exercised and interest is also converted into shares of the Company. Further, the term loan facility includes security by the Company’s majority shareholders, Christian Schmid and Anette Schmid who pledged personal assets for each tranche as security. The Company and the Company’s 100% German subsidiary Gebr. Schmid GmbH are both guarantors.</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As part of the drawdown of the €2,500,000 first tranche, the Company also agreed to issue option rights to Black Forest Special Situations I to acquire 1,250,000 shares of the Company at the prevailing VWAP at the time of concluding the term loan facility, which was $4.19 per share. The term loan facility agreement stipulated that an option agreement shall be executed, which was agreed and signed in January 2026 and sets out the exercise mechanics of the options as well as the discretionary possibility of the Company to cashless exercise the options. The options expire on December 16, 2030 and may be exercised in full or in several parts during the lifetime of the options agreement.</w:t>
      </w:r>
    </w:p>
    <w:p>
      <w:pPr>
        <w:pStyle w:val="TextBody"/>
        <w:bidi w:val="0"/>
        <w:spacing w:before="0" w:after="240"/>
        <w:ind w:left="820" w:right="820" w:hanging="0"/>
        <w:jc w:val="left"/>
        <w:rPr>
          <w:rFonts w:ascii="Times New Roman;Times;serif" w:hAnsi="Times New Roman;Times;serif"/>
          <w:i/>
          <w:sz w:val="20"/>
          <w:bdr w:val="single" w:sz="2" w:space="5" w:color="000000"/>
        </w:rPr>
      </w:pPr>
      <w:r>
        <w:rPr>
          <w:rFonts w:ascii="Times New Roman;Times;serif" w:hAnsi="Times New Roman;Times;serif"/>
          <w:i/>
          <w:sz w:val="20"/>
          <w:bdr w:val="single" w:sz="2" w:space="5" w:color="000000"/>
        </w:rPr>
        <w:t>USD 30 Million 7.00% Senior Convertible Notes due 2028</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On January 18, 2026 SCHMID entered into an investment agreement with an institutional investor, Linden Advisors LP, to sell, and on January 21, 2026 sold senior convertible notes in an aggregate principal amount of $30.0 million convertible into ordinary shares of the Company together with the issuance of warrants to purchase ordinary shares of the Company in a private placement to the accounts managed by Linden. The 2028 Convertible Notes were issued at 98% of principal amount pursuant to the governing indenture in two tranches to Linden Capital L.P., Crown Managed Accounts SPC and PCH Manager Fund SPC: (i) $15.0 million were funded on January 21, 2026 and (ii) $15.0 million were funded on March 5, 2026.</w:t>
      </w:r>
    </w:p>
    <w:p>
      <w:pPr>
        <w:pStyle w:val="TextBody"/>
        <w:bidi w:val="0"/>
        <w:spacing w:before="0" w:after="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 xml:space="preserve">The 2028 Convertible Notes bear interest at a rate of 7% per annum, compounded quarterly and payable in kind, subject to the Company’s right to elect cash payment upon prior notice. They have a two-year maturity, i.e. they will mature on January 21, 2028, unless previously converted into shares of the Company. This conversion option of the notes into shares of the Company at prices </w:t>
      </w:r>
    </w:p>
    <w:p>
      <w:pPr>
        <w:pStyle w:val="TextBody"/>
        <w:bidi w:val="0"/>
        <w:spacing w:before="120" w:after="360"/>
        <w:ind w:left="820" w:right="82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400" w:after="200"/>
        <w:ind w:left="820" w:right="82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20" w:right="820" w:hanging="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determined by reference to fixed premium conversion prices including at 95% of the applicable volume-weighted average price of the shares of the Company, is subject to a minimum conversion price and certain daily conversion limits as further specified in the investment agreement.</w:t>
      </w:r>
    </w:p>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The noteholders of the 2028 Convertible Notes provided conversion notices and were issued ordinary shares of the Company as follows:</w:t>
      </w:r>
    </w:p>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million convertible notes plus accrued interest were converted on March 5, 2026 at a share price of $6.0918 and a total of 331,183 shares were issued.</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million convertible notes plus accrued interest were converted on March 25, 2026 at a share price of $5.9946 and a total of 337,850 shares were issued.</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million convertible notes plus accrued interest were converted on April 8, 2026 at a share price of $4.8241 and a total of 420,873 shares were issued.</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million convertible notes plus accrued interest were converted on April 20, 2026 at a share price of $5.3676 and a total of 379,127 shares were issued.</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million convertible notes plus accrued interest were converted on April 23, 2026 at a share price of $5.3676 and a total of 379,344 shares were issued.</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million convertible notes plus accrued interest were converted on April 24, 2026 at a share price of $5.8267 and a total of 349,521 shares were issued.</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million convertible notes plus accrued interest were converted on May 18, 2026 at a share price of $5.4920 and a total of 372,522 shares were issued.</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million convertible notes plus accrued interest were converted on May 22, 2026 at a share price of $6.1573 and a total of 332,522 shares were issued.</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million convertible notes plus accrued interest were converted on June 16, 2026 at a share price of $4.8122 and a total of 427,409 shares were issued.</w:t>
            </w:r>
          </w:p>
        </w:tc>
      </w:tr>
    </w:tbl>
    <w:p>
      <w:pPr>
        <w:pStyle w:val="TextBody"/>
        <w:bidi w:val="0"/>
        <w:spacing w:before="0" w:after="24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As a result, as of the date of this registration statement, the aggregate principal amount now amounts to $12 million in 2028 Convertible Notes.</w:t>
      </w:r>
    </w:p>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In connection with the issuance of the 2028 Convertible Notes, the Company also issued warrants to the accounts managed by Linden to purchase shares of the Company in an amount determined by reference to the principal amount of the 2028 Convertible Notes. In connection with the funding of the second tranche of the 2028 Convertible Notes on March 5, 2026, as contractually agreed in the investment agreement, further warrants were issued and the exercise price for all warrants was adjusted to be $8.0125 (subject to anti-dilution protection mechanisms). A total of 3,744,150 warrants were issued to the accounts managed by Linden. The warrants are exercisable until December 15, 2028, at an exercise price equal to the lower of the applicable fixed premium conversion prices under the 2028 Convertible Notes, exercisable for cash or, at the Company’s election, on a cashless basis.</w:t>
      </w:r>
    </w:p>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In connection with the execution of this investment agreement, the Company also entered into a registration rights agreement to file a registration statement covering the resale of the shares issuable upon conversion of the 2028 Convertible Notes and exercise of the warrants. The Company’s obligations under the 2028 Convertible Notes are guaranteed by its German operating subsidiary, Gebr. Schmid GmbH, subject to applicable German law limitations. The investment agreement and the provisions of the 2028 Convertible Notes and warrants contain customary affirmative and negative covenants, issuer call provisions, change of control protections, mandatory redemption events, and events of default customary for transactions of this type.</w:t>
      </w:r>
    </w:p>
    <w:p>
      <w:pPr>
        <w:pStyle w:val="TextBody"/>
        <w:bidi w:val="0"/>
        <w:spacing w:before="0" w:after="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 xml:space="preserve">In connection with the signing of the investment agreement dated July 7, 2026, in relation to the issuance and sale of the 2029 Convertible Notes, the accounts managed by Linden agreed to waive certain debt restrictions relating to the 2028 Convertible Notes to allow for issuance and sale of the 2029 Convertible Notes as well as to allow for the Company’s indirect 100% owned Chinese </w:t>
      </w:r>
    </w:p>
    <w:p>
      <w:pPr>
        <w:pStyle w:val="TextBody"/>
        <w:bidi w:val="0"/>
        <w:spacing w:before="120" w:after="360"/>
        <w:ind w:left="820" w:right="82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400" w:after="200"/>
        <w:ind w:left="820" w:right="82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820" w:right="820" w:hanging="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subsidiaries SCHMID Technology (Guangdong) Co., Ltd. (STG) and SCHMID Trading (Zhongshan) Co. Ltd. to incur new indebtedness in an aggregate principal amount not to exceed EUR 20,000,000 (or its equivalent).</w:t>
      </w:r>
    </w:p>
    <w:p>
      <w:pPr>
        <w:pStyle w:val="TextBody"/>
        <w:bidi w:val="0"/>
        <w:spacing w:before="0" w:after="200"/>
        <w:ind w:left="820" w:right="820" w:hanging="0"/>
        <w:jc w:val="left"/>
        <w:rPr>
          <w:rFonts w:ascii="Times New Roman;Times;serif" w:hAnsi="Times New Roman;Times;serif"/>
          <w:i/>
          <w:sz w:val="20"/>
          <w:bdr w:val="single" w:sz="2" w:space="5" w:color="000000"/>
        </w:rPr>
      </w:pPr>
      <w:r>
        <w:rPr>
          <w:rFonts w:ascii="Times New Roman;Times;serif" w:hAnsi="Times New Roman;Times;serif"/>
          <w:i/>
          <w:sz w:val="20"/>
          <w:bdr w:val="single" w:sz="2" w:space="5" w:color="000000"/>
        </w:rPr>
        <w:t>Appointment of Arthur Schuetz as the new CFO of the Company</w:t>
      </w:r>
    </w:p>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Arthur Schuetz was appointed by the Board as the new CFO of SCHMID Group N.V. as of January 1, 2026, replacing Julia Natterer, who continues to serve as CFO of Gebr. SCHMID GmbH.</w:t>
      </w:r>
    </w:p>
    <w:p>
      <w:pPr>
        <w:pStyle w:val="TextBody"/>
        <w:bidi w:val="0"/>
        <w:spacing w:before="0" w:after="200"/>
        <w:ind w:left="820" w:right="820" w:hanging="0"/>
        <w:jc w:val="left"/>
        <w:rPr>
          <w:rFonts w:ascii="Times New Roman;Times;serif" w:hAnsi="Times New Roman;Times;serif"/>
          <w:i/>
          <w:sz w:val="20"/>
          <w:bdr w:val="single" w:sz="2" w:space="5" w:color="000000"/>
        </w:rPr>
      </w:pPr>
      <w:r>
        <w:rPr>
          <w:rFonts w:ascii="Times New Roman;Times;serif" w:hAnsi="Times New Roman;Times;serif"/>
          <w:i/>
          <w:sz w:val="20"/>
          <w:bdr w:val="single" w:sz="2" w:space="5" w:color="000000"/>
        </w:rPr>
        <w:t>Share issuances and set-off agreements with majority shareholders and related parties</w:t>
      </w:r>
    </w:p>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On April 24, 2026, the Company entered into separate subscription agreements and set-off agreements with Anette Schmid, Christian Schmid, Christine Schmid and Schmid Grundstücke GmbH &amp; Co KG respectively, to off-set financial liabilities in an aggregate amount of EUR 30.75 million by issuing Ordinary Shares. In connection with these agreements, the Company entered into debt assumption agreements with the Company’s fully-owned subsidiary, Gebr. Schmid GmbH. The number of shares issued and sold was determined by the shareholders’ meeting of the Company, on May 20, 2026, by dividing the EUR 30.75 million by the 5-trading day volume-weighted average price (“</w:t>
      </w:r>
      <w:r>
        <w:rPr>
          <w:rFonts w:ascii="Times New Roman;Times;serif" w:hAnsi="Times New Roman;Times;serif"/>
          <w:b/>
          <w:sz w:val="20"/>
          <w:bdr w:val="single" w:sz="2" w:space="5" w:color="000000"/>
        </w:rPr>
        <w:t>VWAP</w:t>
      </w:r>
      <w:r>
        <w:rPr>
          <w:rFonts w:ascii="Times New Roman;Times;serif" w:hAnsi="Times New Roman;Times;serif"/>
          <w:sz w:val="20"/>
          <w:bdr w:val="single" w:sz="2" w:space="5" w:color="000000"/>
        </w:rPr>
        <w:t xml:space="preserve">”) of the Ordinary Shares immediately preceding the approval by the Board. In relation to EUR 2.4 million of the aggregate financial liabilities (to be off-set in relation to the financial liabilities to Christine Schmid), a 20% discount was applied. </w:t>
      </w:r>
    </w:p>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On May 23, 2026, the Board set the applicable VWAP price at USD 7.3309 per share and issued 4,958,481 Ordinary Shares consisting of 2,190,589 Ordinary Shares to Anette Schmid, 1,265,322 Ordinary Shares to Christian Schmid, 1,028,074 Ordinary Shares to Schmid Grundstücke GmbH &amp; Co KG and 474,496 Ordinary Shares to Christine Schmid.</w:t>
      </w:r>
    </w:p>
    <w:p>
      <w:pPr>
        <w:pStyle w:val="TextBody"/>
        <w:bidi w:val="0"/>
        <w:spacing w:before="0" w:after="200"/>
        <w:ind w:left="820" w:right="820" w:hanging="0"/>
        <w:jc w:val="left"/>
        <w:rPr>
          <w:rFonts w:ascii="Times New Roman;Times;serif" w:hAnsi="Times New Roman;Times;serif"/>
          <w:i/>
          <w:sz w:val="20"/>
          <w:bdr w:val="single" w:sz="2" w:space="5" w:color="000000"/>
        </w:rPr>
      </w:pPr>
      <w:r>
        <w:rPr>
          <w:rFonts w:ascii="Times New Roman;Times;serif" w:hAnsi="Times New Roman;Times;serif"/>
          <w:i/>
          <w:sz w:val="20"/>
          <w:bdr w:val="single" w:sz="2" w:space="5" w:color="000000"/>
        </w:rPr>
        <w:t>USD 30 Million Standby Equity Purchase Agreement with Yorkville</w:t>
      </w:r>
    </w:p>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On May 12, 2026, the Company entered into a Standby Equity Purchase Agreement (“SEPA”) with an institutional investor, YA II PN, Ltd. (“Yorkville”), providing SCHMID access to equity financing of up to USD 30.0 million at its discretion, for 24 months from the signing date. Under the terms of the SEPA, the Group paid a commitment fee of 0.5% of the USD 30.0 million equity line to secure the SEPA facility, and Yorkville is contractually obligated, subject to customary conditions, to purchase the SHMD shares over time upon the Company’s exercise of drawdown notices. The purchase price will be equal to (i) 99% of the VWAP of the Ordinary Shares during the period commencing upon receipt by the Company of written confirmation of acceptance of such Advance Notice by Yorkville, and which confirmation shall specify such commencement time, and ending on 4:00 p.m. New York City time on the applicable Advance Notice Date, subject to a volume threshold as described in the SEPA or (ii) 97% of the lowest daily VWAP of the Ordinary Shares during the three consecutive trading days commencing on the Advance Notice Date; provided, however, that with respect to any clause (ii) Advance the Company may establish a minimum acceptable price in each Advance Notice below which the Company will not be obligated to make any sales to Yorkville. “VWAP” means, for any trading day, the daily volume weighted average price of the Ordinary Shares for such trading day on the Nasdaq Stock Market during regular trading hours as reported by Bloomberg L.P.</w:t>
      </w:r>
    </w:p>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The SEPA enables the Group to raise equity capital at its discretion, with the ability to issue shares to the investor on a periodic (including daily) basis. This structure provides the Group with a committed source of capital and significant flexibility as to the timing and amount of any equity issuances, allowing management to access liquidity if and when required, or to refrain from drawing on the facility if sufficient liquidity is available from operations or other sources. On May 23, 2026, the Company issued 24,889 Ordinary Shares to Yorkville in satisfaction of the USD 150,000 commitment fee under the SEPA, thereby making the SEPA available for use by the Company. After May 23, 2026, the Company utilized the SEPA and, as of date of this registration statement, had issued 1,490,000 Ordinary Shares to Yorkville under the SEPA.</w:t>
      </w:r>
    </w:p>
    <w:p>
      <w:pPr>
        <w:pStyle w:val="TextBody"/>
        <w:bidi w:val="0"/>
        <w:spacing w:before="120" w:after="360"/>
        <w:ind w:left="820" w:right="82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400" w:after="200"/>
        <w:ind w:left="820" w:right="82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820" w:right="820" w:hanging="0"/>
        <w:jc w:val="left"/>
        <w:rPr>
          <w:rFonts w:ascii="Times New Roman;Times;serif" w:hAnsi="Times New Roman;Times;serif"/>
          <w:i/>
          <w:sz w:val="20"/>
          <w:bdr w:val="single" w:sz="2" w:space="5" w:color="000000"/>
        </w:rPr>
      </w:pPr>
      <w:r>
        <w:rPr>
          <w:rFonts w:ascii="Times New Roman;Times;serif" w:hAnsi="Times New Roman;Times;serif"/>
          <w:i/>
          <w:sz w:val="20"/>
          <w:bdr w:val="single" w:sz="2" w:space="5" w:color="000000"/>
        </w:rPr>
        <w:t>New China Manufacturing Campus</w:t>
      </w:r>
    </w:p>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 xml:space="preserve">On June 9, 2026, the Company announced that it has signed a preliminary manufacturing project letter of intent and investment framework agreement with local authorities in Banfu Industrial Zone, Zhongshan, Guangdong Province, China, regarding the establishment of a new manufacturing campus. The planned facility is expected to consolidate the Company’s existing manufacturing operations in China, which are currently located at two separate leased facilities, into a single company-owned production campus. The Company expects the new facility to provide nearly double the effective manufacturing capacity of its current China operations through expanded operational space, improved layout efficiency, streamlined logistics and optimized production workflows. The investment is intended to support the Company’s long-term “In China for China” strategy and address increasing demand for advanced wet-process equipment used in the manufacturing of high-end HDI boards, IC substrates, AI server boards and other advanced electronic applications. </w:t>
      </w:r>
    </w:p>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The total investment for land acquisition, construction and related infrastructure is expected to be approximately €11 million. The agreement with local authorities provides for various development incentives including land use rights for long-term use by the local authorities. SCHMID expects the majority of the project financing to be provided through local Chinese bank financing on partially subsidized financing terms with such financing anticipated to be primarily secured by the project assets and associated land-use rights.</w:t>
      </w:r>
    </w:p>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Construction is expected to commence following completion of the final land transfer and permitting process and the conclusion of a final, binding agreement. SCHMID currently expects to begin operations at the new facility approximately mid-2027.</w:t>
      </w:r>
    </w:p>
    <w:p>
      <w:pPr>
        <w:pStyle w:val="TextBody"/>
        <w:bidi w:val="0"/>
        <w:spacing w:before="0" w:after="200"/>
        <w:ind w:left="820" w:right="820" w:hanging="0"/>
        <w:jc w:val="left"/>
        <w:rPr>
          <w:rFonts w:ascii="Times New Roman;Times;serif" w:hAnsi="Times New Roman;Times;serif"/>
          <w:i/>
          <w:sz w:val="20"/>
          <w:bdr w:val="single" w:sz="2" w:space="5" w:color="000000"/>
        </w:rPr>
      </w:pPr>
      <w:r>
        <w:rPr>
          <w:rFonts w:ascii="Times New Roman;Times;serif" w:hAnsi="Times New Roman;Times;serif"/>
          <w:i/>
          <w:sz w:val="20"/>
          <w:bdr w:val="single" w:sz="2" w:space="5" w:color="000000"/>
        </w:rPr>
        <w:t>USD 20 Million 5.000% Senior Convertible Notes due 2029</w:t>
      </w:r>
    </w:p>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 xml:space="preserve">On July 7, 2026, SCHMID entered into an investment agreement with an institutional investor, Linden Advisors LP, to sell, and on July 14, 2026, sold 2029 Convertible Notes in an aggregate principal amount of $20 million convertible into ordinary shares of the Company. In connection with the signing of the investment agreement dated July 7, 2026, the accounts managed by Linden agreed to waive certain debt restrictions relating to the 2028 Convertible Notes to allow for issuance and sale of the 2029 Convertible Notes as well as to allow for the Company’s indirect 100% owned Chinese subsidiaries SCHMID Technology (Guangdong) Co., Ltd. (STG) and SCHMID Trading (Zhongshan) Co. Ltd. to incur new indebtedness in an aggregate principal amount not to exceed EUR 20,000,000 (or its equivalent). The 2029 Convertible Notes were issued at 99% of principal amount pursuant to the governing indenture to the accounts managed by Linden. </w:t>
      </w:r>
    </w:p>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The 2029 Convertible Notes bear interest at a rate of 5.000% per annum, compounded quarterly and payable in kind, subject to the Company’s right to elect cash payment upon prior notice. They have a two and a half-year maturity, i.e. they will mature on January 14, 2029, unless previously converted into shares of the Company. This conversion option of the 2029 Convertible Notes into shares of the Company at prices determined by reference to fixed premium conversion prices including at 97% of the applicable volume-weighted average price of the shares of the Company, is subject to a minimum conversion price and certain daily conversion limits as further specified in the investment agreement.</w:t>
      </w:r>
    </w:p>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In connection with the execution of this investment agreement, the Company also entered into a registration rights agreement to file a registration statement covering the resale of the shares issuable upon conversion of the 2029 Convertible Notes. The Company’s obligations under the 2029 Convertible Notes are guaranteed by its German operating subsidiary, Gebr. Schmid GmbH, subject to applicable German law limitations. The investment agreement and the provisions of the 2029 Convertible Notes contain customary affirmative and negative covenants, issuer call provisions, change of control protections, mandatory redemption events, and events of default customary for transactions of this type.</w:t>
      </w:r>
    </w:p>
    <w:p>
      <w:pPr>
        <w:pStyle w:val="TextBody"/>
        <w:bidi w:val="0"/>
        <w:spacing w:before="0" w:after="200"/>
        <w:ind w:left="820" w:right="820" w:hanging="0"/>
        <w:jc w:val="left"/>
        <w:rPr>
          <w:rFonts w:ascii="Times New Roman;Times;serif" w:hAnsi="Times New Roman;Times;serif"/>
          <w:i/>
          <w:sz w:val="20"/>
          <w:bdr w:val="single" w:sz="2" w:space="5" w:color="000000"/>
        </w:rPr>
      </w:pPr>
      <w:r>
        <w:rPr>
          <w:rFonts w:ascii="Times New Roman;Times;serif" w:hAnsi="Times New Roman;Times;serif"/>
          <w:i/>
          <w:sz w:val="20"/>
          <w:bdr w:val="single" w:sz="2" w:space="5" w:color="000000"/>
        </w:rPr>
        <w:t xml:space="preserve">Operational Update for the second quarter ended June 30, 2026 and Update on the Fiscal Year 2026 Guidance </w:t>
      </w:r>
    </w:p>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In the second quarter of 2026, the Company recorded order intake of €30.7 million and reported revenues of €27.7 million. Including the repeat order exceeding €37 million announced on July 7, 2026, cumulative order intake since the beginning of the year amounts to €81.6 million. The order backlog stood at €54.8 million at the end of the quarter. Order intake and order backlog figures relate exclusively to orders for equipment and do not include orders associated with services or spare parts.</w:t>
      </w:r>
    </w:p>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Consistent with management’s expectations, given the revenue profile for the first half of the year, EBITDA margin in H1 is expected to be significantly lower than the EBITDA margin of 12% consistent with full-year 2026 guidance. For the full-year 2026 management maintains the guidance of more than €100 million revenues and EBITDA margin of more than 12%.</w:t>
      </w:r>
    </w:p>
    <w:p>
      <w:pPr>
        <w:pStyle w:val="TextBody"/>
        <w:bidi w:val="0"/>
        <w:spacing w:before="120" w:after="360"/>
        <w:ind w:left="820" w:right="82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400" w:after="200"/>
        <w:ind w:left="820" w:right="82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In light of the sustained improvement in order momentum and enhanced business visibility, management has decided to increase its full-year 2026 order intake guidance from approximately €114 million to a range of €125 to €150 million.</w:t>
      </w:r>
    </w:p>
    <w:p>
      <w:pPr>
        <w:pStyle w:val="TextBody"/>
        <w:bidi w:val="0"/>
        <w:spacing w:before="0" w:after="200"/>
        <w:ind w:left="820" w:right="820" w:hanging="0"/>
        <w:jc w:val="left"/>
        <w:rPr>
          <w:rFonts w:ascii="Times New Roman;Times;serif" w:hAnsi="Times New Roman;Times;serif"/>
          <w:i/>
          <w:sz w:val="20"/>
          <w:bdr w:val="single" w:sz="2" w:space="5" w:color="000000"/>
        </w:rPr>
      </w:pPr>
      <w:r>
        <w:rPr>
          <w:rFonts w:ascii="Times New Roman;Times;serif" w:hAnsi="Times New Roman;Times;serif"/>
          <w:i/>
          <w:sz w:val="20"/>
          <w:bdr w:val="single" w:sz="2" w:space="5" w:color="000000"/>
        </w:rPr>
        <w:t xml:space="preserve">Transfer of Ordinary Shares to Helmut Rauch </w:t>
      </w:r>
    </w:p>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w:t>
      </w:r>
    </w:p>
    <w:p>
      <w:pPr>
        <w:pStyle w:val="TextBody"/>
        <w:bidi w:val="0"/>
        <w:spacing w:before="0" w:after="200"/>
        <w:ind w:left="820" w:right="820" w:hanging="0"/>
        <w:jc w:val="left"/>
        <w:rPr>
          <w:rFonts w:ascii="Times New Roman;Times;serif" w:hAnsi="Times New Roman;Times;serif"/>
          <w:b/>
          <w:sz w:val="20"/>
          <w:bdr w:val="single" w:sz="2" w:space="5" w:color="000000"/>
        </w:rPr>
      </w:pPr>
      <w:r>
        <w:rPr>
          <w:rFonts w:ascii="Times New Roman;Times;serif" w:hAnsi="Times New Roman;Times;serif"/>
          <w:b/>
          <w:sz w:val="20"/>
          <w:bdr w:val="single" w:sz="2" w:space="5" w:color="000000"/>
        </w:rPr>
        <w:t>Implications of Being an Emerging Growth Company and a Foreign Private Issuer</w:t>
      </w:r>
    </w:p>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We qualify as an “emerging growth company” as defined in the Jumpstart Our Business Startups Act of 2012 (“</w:t>
      </w:r>
      <w:r>
        <w:rPr>
          <w:rFonts w:ascii="Times New Roman;Times;serif" w:hAnsi="Times New Roman;Times;serif"/>
          <w:b/>
          <w:sz w:val="20"/>
          <w:bdr w:val="single" w:sz="2" w:space="5" w:color="000000"/>
        </w:rPr>
        <w:t>JOBS Act</w:t>
      </w:r>
      <w:r>
        <w:rPr>
          <w:rFonts w:ascii="Times New Roman;Times;serif" w:hAnsi="Times New Roman;Times;serif"/>
          <w:sz w:val="20"/>
          <w:bdr w:val="single" w:sz="2" w:space="5" w:color="000000"/>
        </w:rPr>
        <w:t>”). As an emerging growth company, we intend to take advantage of exemptions from various reporting requirements that are applicable to most other public companies. The exemptions include, but are not limited to:</w:t>
      </w:r>
    </w:p>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the provisions of Section 404(b) of the Sarbanes-Oxley Act requiring that our independent registered public accounting firm provide an attestation report on the effectiveness of our internal control over financial reporting;</w:t>
            </w:r>
          </w:p>
        </w:tc>
      </w:tr>
    </w:tbl>
    <w:tbl>
      <w:tblPr>
        <w:tblW w:w="6276" w:type="dxa"/>
        <w:jc w:val="left"/>
        <w:tblInd w:w="820" w:type="dxa"/>
        <w:tblLayout w:type="fixed"/>
        <w:tblCellMar>
          <w:top w:w="28" w:type="dxa"/>
          <w:left w:w="28" w:type="dxa"/>
          <w:bottom w:w="28" w:type="dxa"/>
          <w:right w:w="28" w:type="dxa"/>
        </w:tblCellMar>
      </w:tblPr>
      <w:tblGrid>
        <w:gridCol w:w="124"/>
        <w:gridCol w:w="256"/>
        <w:gridCol w:w="5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obligations regarding executive compensation; and</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hold a nonbinding advisory vote on executive compensation or seek shareholder approval of any golden parachute payments not previously approved.</w:t>
            </w:r>
          </w:p>
        </w:tc>
      </w:tr>
    </w:tbl>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We will remain an “emerging growth company” until the earliest to occur of (i) the last day of the fiscal year (a) following the fifth anniversary of the closing of the Business Combination, (b) in which we have total annual gross revenue of at least $1.235 billion or (c) in which we are deemed to be a large accelerated filer, which means the market value of equity securities held by our non-affiliates exceeds $700 million as of the last business day of our prior second fiscal quarter, and (ii) the date on which we have issued more than $1.0 billion in non-convertible debt during the prior three-year period.</w:t>
      </w:r>
    </w:p>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We are also considered a “foreign private issuer” subject to reporting requirements under the Securities Exchange Act of 1934, as amended (the “</w:t>
      </w:r>
      <w:r>
        <w:rPr>
          <w:rFonts w:ascii="Times New Roman;Times;serif" w:hAnsi="Times New Roman;Times;serif"/>
          <w:b/>
          <w:sz w:val="20"/>
          <w:bdr w:val="single" w:sz="2" w:space="5" w:color="000000"/>
        </w:rPr>
        <w:t>Exchange Act</w:t>
      </w:r>
      <w:r>
        <w:rPr>
          <w:rFonts w:ascii="Times New Roman;Times;serif" w:hAnsi="Times New Roman;Times;serif"/>
          <w:sz w:val="20"/>
          <w:bdr w:val="single" w:sz="2" w:space="5" w:color="000000"/>
        </w:rPr>
        <w:t>”), as a non-U.S. company with foreign private issuer status. As a “foreign private issuer,” we will be subject to different U.S. securities laws than domestic U.S. issuers. The rules governing the information that we must disclose differ from those governing U.S. corporations pursuant to the Exchange Act.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prescribing the furnishing and content of proxy statements to shareholders and requirements that the proxy statements conform to Schedule 14A of the proxy rules promulgated under the Exchange Act;</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regulating the solicitation of proxies, consents or authorizations in respect of a security registered under the Exchange Act;</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requiring insiders (i.e., officers, directors and holders of more than 10% of our issued and outstanding equity securities) to file public reports of their stock ownership and trading activities and liability for insiders who profit from trades made in a short period of time;</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rules under the Exchange Act requiring the filing with the Securities and Exchange Commission (the “</w:t>
            </w:r>
            <w:r>
              <w:rPr>
                <w:rFonts w:ascii="Times New Roman;Times;serif" w:hAnsi="Times New Roman;Times;serif"/>
                <w:b/>
                <w:i w:val="false"/>
                <w:caps w:val="false"/>
                <w:smallCaps w:val="false"/>
                <w:sz w:val="20"/>
              </w:rPr>
              <w:t>SEC</w:t>
            </w:r>
            <w:r>
              <w:rPr>
                <w:caps w:val="false"/>
                <w:smallCaps w:val="false"/>
              </w:rPr>
              <w:t>”</w:t>
            </w:r>
            <w:r>
              <w:rPr>
                <w:rFonts w:ascii="Times New Roman;Times;serif" w:hAnsi="Times New Roman;Times;serif"/>
                <w:b w:val="false"/>
                <w:i w:val="false"/>
                <w:caps w:val="false"/>
                <w:smallCaps w:val="false"/>
                <w:sz w:val="20"/>
              </w:rPr>
              <w:t>) of quarterly reports on Form 10-Q containing unaudited financial and other specified information, or current reports on Form 8-K, upon the occurrence of specified significant events; and</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rules on disclosure of compensation on an individual basis unless individual disclosure is required in our home country (the Netherlands) and is not otherwise publicly disclosed by us.</w:t>
            </w:r>
          </w:p>
        </w:tc>
      </w:tr>
    </w:tbl>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pStyle w:val="TextBody"/>
        <w:bidi w:val="0"/>
        <w:spacing w:before="120" w:after="360"/>
        <w:ind w:left="820" w:right="82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400" w:after="200"/>
        <w:ind w:left="820" w:right="82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We may choose to take advantage of some but not all of these reduced reporting requirements of which we have taken advantage of in this prospectus. Accordingly, the information contained herein may be different from the information you receive from our competitors that are U.S. domestic filers, or other U.S. domestic public companies in which you have made an investment.</w:t>
      </w:r>
    </w:p>
    <w:p>
      <w:pPr>
        <w:pStyle w:val="TextBody"/>
        <w:bidi w:val="0"/>
        <w:spacing w:before="0" w:after="200"/>
        <w:ind w:left="820" w:right="820" w:hanging="0"/>
        <w:jc w:val="left"/>
        <w:rPr>
          <w:rFonts w:ascii="Times New Roman;Times;serif" w:hAnsi="Times New Roman;Times;serif"/>
          <w:b/>
          <w:sz w:val="20"/>
          <w:bdr w:val="single" w:sz="2" w:space="5" w:color="000000"/>
        </w:rPr>
      </w:pPr>
      <w:r>
        <w:rPr>
          <w:rFonts w:ascii="Times New Roman;Times;serif" w:hAnsi="Times New Roman;Times;serif"/>
          <w:b/>
          <w:sz w:val="20"/>
          <w:bdr w:val="single" w:sz="2" w:space="5" w:color="000000"/>
        </w:rPr>
        <w:t>Risk Factors Summary</w:t>
      </w:r>
    </w:p>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Our business faces significant risks and uncertainties. You should carefully consider all of the information set forth in this prospectus and in other documents we file with or furnish to the SEC, including the following risk factors, before deciding to invest in or to maintain an investment in our securities. Our business, as well as our reputation, financial condition, results of operations and share price, could be materially adversely affected by any of these risks, as well as other risks and uncertainties not currently known to us or not currently considered material. These risks include, among others, the following:</w:t>
      </w:r>
    </w:p>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business plans, operating models, forecasts, and other expectations and identify and realize additional business opportunities;</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faces intense competition in the markets and industries in which it operates, and SCHMID’s competitiveness depends on being successful in new product development and to market its embedded traces and glass substrate technology.</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reputation of SCHMID’s brand is an important company asset and is key to SCHMID’s ability to remain a trusted supplier of specialty products, equipment and services.</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SCHMID’s profitability could suffer if its cost management strategies are unsuccessful, or SCHMID’s competitors develop an advantageous cost structure that SCHMID cannot match.</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SCHMID’s direct customers and their direct and indirect customers face numerous competitive challenges, which may materially adversely affect their business and as a result SCHMID’s business.</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SCHMID’s revenue, earnings, and other operating results have fluctuated in the past and may fluctuate in the future due to the nature of its business.</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disruptions to SCHMID’s supply chain, significant increases in material costs, or shortages of critical components, could adversely affect SCHMID’s business and result in increased costs.</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SCHMID’s revenue is derived from the electronics business which subjects its revenues and profitability to fluctuations and developments in this end - market globally, while the defense industry is becoming an increasingly important end-market for SCHMID, which is subject to fluctuations in government spending and high government indebtedness could lead to defense spending reduction in particular in the US.</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financial, geopolitical, epidemiological, or other conditions could result in business disruptions which could seriously harm SCHMID’s future revenue and financial condition and increase SCHMID’s costs and expenses.</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Military conflicts in the Middle East and elsewhere in the world could have significant impact on raw material prices, supply chain logistics and end-customer behaviour.</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SCHMID’s operations and assets in foreign jurisdictions may be subject to significant political and economic uncertainties.</w:t>
            </w:r>
          </w:p>
        </w:tc>
      </w:tr>
    </w:tbl>
    <w:tbl>
      <w:tblPr>
        <w:tblW w:w="8376" w:type="dxa"/>
        <w:jc w:val="left"/>
        <w:tblInd w:w="820" w:type="dxa"/>
        <w:tblLayout w:type="fixed"/>
        <w:tblCellMar>
          <w:top w:w="28" w:type="dxa"/>
          <w:left w:w="28" w:type="dxa"/>
          <w:bottom w:w="28" w:type="dxa"/>
          <w:right w:w="28" w:type="dxa"/>
        </w:tblCellMar>
      </w:tblPr>
      <w:tblGrid>
        <w:gridCol w:w="124"/>
        <w:gridCol w:w="256"/>
        <w:gridCol w:w="7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SCHMID’s ability to obtain additional capital on commercially reasonable terms may be limited.</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is generally subject to substantial regulation and laws and unfavorable changes to, or its failure to comply with, these regulations and/or laws could substantially harm its business and operating results.</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information security and privacy concerns could subject SCHMID to penalties, damage SCHMID’s reputation and brand, and harm SCHMID’s business and results of operations.</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may be unable to successfully execute its growth initiatives, business strategies, or operating plans.</w:t>
            </w:r>
          </w:p>
        </w:tc>
      </w:tr>
    </w:tbl>
    <w:p>
      <w:pPr>
        <w:pStyle w:val="TextBody"/>
        <w:bidi w:val="0"/>
        <w:spacing w:before="120" w:after="360"/>
        <w:ind w:left="820" w:right="82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400" w:after="200"/>
        <w:ind w:left="820" w:right="82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SCHMID’s know-how and innovations, which it relies on for its current and future business, may not be adequately protected.</w:t>
            </w:r>
          </w:p>
        </w:tc>
      </w:tr>
    </w:tbl>
    <w:tbl>
      <w:tblPr>
        <w:tblW w:w="8565" w:type="dxa"/>
        <w:jc w:val="left"/>
        <w:tblInd w:w="820" w:type="dxa"/>
        <w:tblLayout w:type="fixed"/>
        <w:tblCellMar>
          <w:top w:w="28" w:type="dxa"/>
          <w:left w:w="28" w:type="dxa"/>
          <w:bottom w:w="28" w:type="dxa"/>
          <w:right w:w="28" w:type="dxa"/>
        </w:tblCellMar>
      </w:tblPr>
      <w:tblGrid>
        <w:gridCol w:w="124"/>
        <w:gridCol w:w="256"/>
        <w:gridCol w:w="81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SCHMID’s patent applications may not be successful, which may have a material adverse effect on SCHMID’s ability to prevent others from commercially exploiting products similar to SCHMID’s products.</w:t>
            </w:r>
          </w:p>
        </w:tc>
      </w:tr>
    </w:tbl>
    <w:p>
      <w:pPr>
        <w:pStyle w:val="TextBody"/>
        <w:bidi w:val="0"/>
        <w:spacing w:before="0" w:after="200"/>
        <w:ind w:left="820" w:right="820" w:hanging="0"/>
        <w:jc w:val="left"/>
        <w:rPr>
          <w:rFonts w:ascii="Times New Roman;Times;serif" w:hAnsi="Times New Roman;Times;serif"/>
          <w:b/>
          <w:sz w:val="20"/>
          <w:bdr w:val="single" w:sz="2" w:space="5" w:color="000000"/>
        </w:rPr>
      </w:pPr>
      <w:r>
        <w:rPr>
          <w:rFonts w:ascii="Times New Roman;Times;serif" w:hAnsi="Times New Roman;Times;serif"/>
          <w:b/>
          <w:sz w:val="20"/>
          <w:bdr w:val="single" w:sz="2" w:space="5" w:color="000000"/>
        </w:rPr>
        <w:t>Corporate Information</w:t>
      </w:r>
    </w:p>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We were incorporated as a Dutch private limited liability company (</w:t>
      </w:r>
      <w:r>
        <w:rPr>
          <w:rFonts w:ascii="Times New Roman;Times;serif" w:hAnsi="Times New Roman;Times;serif"/>
          <w:i/>
          <w:sz w:val="20"/>
          <w:bdr w:val="single" w:sz="2" w:space="5" w:color="000000"/>
        </w:rPr>
        <w:t>besloten vennootschap met beperkte aansprakelijkheid</w:t>
      </w:r>
      <w:r>
        <w:rPr>
          <w:rFonts w:ascii="Times New Roman;Times;serif" w:hAnsi="Times New Roman;Times;serif"/>
          <w:sz w:val="20"/>
          <w:bdr w:val="single" w:sz="2" w:space="5" w:color="000000"/>
        </w:rPr>
        <w:t>) under the name Pegasus TopCo B.V. on February 7, 2023, solely for the purpose of effectuating the Business Combination. Prior to the Business Combination, Pegasus TopCo B.V. did not conduct any material activities other than those incident to its formation and certain matters related to the Business Combination, such as the making of certain required securities law filings.</w:t>
      </w:r>
    </w:p>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Our name was changed from Pegasus TopCo B.V. to SCHMID Group N.V. when we converted into a Dutch public limited liability company (</w:t>
      </w:r>
      <w:r>
        <w:rPr>
          <w:rFonts w:ascii="Times New Roman;Times;serif" w:hAnsi="Times New Roman;Times;serif"/>
          <w:i/>
          <w:sz w:val="20"/>
          <w:bdr w:val="single" w:sz="2" w:space="5" w:color="000000"/>
        </w:rPr>
        <w:t>naamloze vennootschap</w:t>
      </w:r>
      <w:r>
        <w:rPr>
          <w:rFonts w:ascii="Times New Roman;Times;serif" w:hAnsi="Times New Roman;Times;serif"/>
          <w:sz w:val="20"/>
          <w:bdr w:val="single" w:sz="2" w:space="5" w:color="000000"/>
        </w:rPr>
        <w:t>) on April 30, 2024, in connection with the closing of the Business Combination.</w:t>
      </w:r>
    </w:p>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We are registered in the Commercial Register of the Netherlands Chamber of Commerce (</w:t>
      </w:r>
      <w:r>
        <w:rPr>
          <w:rFonts w:ascii="Times New Roman;Times;serif" w:hAnsi="Times New Roman;Times;serif"/>
          <w:i/>
          <w:sz w:val="20"/>
          <w:bdr w:val="single" w:sz="2" w:space="5" w:color="000000"/>
        </w:rPr>
        <w:t>Kamer van Koophandel</w:t>
      </w:r>
      <w:r>
        <w:rPr>
          <w:rFonts w:ascii="Times New Roman;Times;serif" w:hAnsi="Times New Roman;Times;serif"/>
          <w:sz w:val="20"/>
          <w:bdr w:val="single" w:sz="2" w:space="5" w:color="000000"/>
        </w:rPr>
        <w:t>) under number 89188276. Our official seat (</w:t>
      </w:r>
      <w:r>
        <w:rPr>
          <w:rFonts w:ascii="Times New Roman;Times;serif" w:hAnsi="Times New Roman;Times;serif"/>
          <w:i/>
          <w:sz w:val="20"/>
          <w:bdr w:val="single" w:sz="2" w:space="5" w:color="000000"/>
        </w:rPr>
        <w:t>statutaire zetel</w:t>
      </w:r>
      <w:r>
        <w:rPr>
          <w:rFonts w:ascii="Times New Roman;Times;serif" w:hAnsi="Times New Roman;Times;serif"/>
          <w:sz w:val="20"/>
          <w:bdr w:val="single" w:sz="2" w:space="5" w:color="000000"/>
        </w:rPr>
        <w:t>) is in Amsterdam, the Netherlands and the mailing and business address of our principal executive office is Robert-Bosch-Str. 32-36, 72250 Freudenstadt, Federal Republic of Germany. Our telephone number is Tel: +49 7441 538 0.</w:t>
      </w:r>
    </w:p>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We maintain a website at schmid-group.com, where we regularly post copies of our press releases as well as additional information about us.</w:t>
      </w:r>
    </w:p>
    <w:p>
      <w:pPr>
        <w:pStyle w:val="TextBody"/>
        <w:bidi w:val="0"/>
        <w:spacing w:before="0" w:after="20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Our filings with the SEC are available free of charge through the website as soon as reasonably practicable after being electronically filed with or furnished to the SEC. Information contained in our website is not a part of, nor incorporated by reference into, this prospectus or our other filings with the SEC, and should not be relied upon.</w:t>
      </w:r>
    </w:p>
    <w:p>
      <w:pPr>
        <w:pStyle w:val="TextBody"/>
        <w:bidi w:val="0"/>
        <w:spacing w:before="0" w:after="0"/>
        <w:ind w:left="820" w:right="820" w:firstLine="360"/>
        <w:jc w:val="left"/>
        <w:rPr>
          <w:rFonts w:ascii="Times New Roman;Times;serif" w:hAnsi="Times New Roman;Times;serif"/>
          <w:sz w:val="20"/>
          <w:bdr w:val="single" w:sz="2" w:space="5" w:color="000000"/>
        </w:rPr>
      </w:pPr>
      <w:r>
        <w:rPr>
          <w:rFonts w:ascii="Times New Roman;Times;serif" w:hAnsi="Times New Roman;Times;serif"/>
          <w:sz w:val="20"/>
          <w:bdr w:val="single" w:sz="2" w:space="5" w:color="000000"/>
        </w:rPr>
        <w:t>All trademarks, service marks and trade names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w:t>
      </w:r>
    </w:p>
    <w:p>
      <w:pPr>
        <w:pStyle w:val="TextBody"/>
        <w:bidi w:val="0"/>
        <w:spacing w:before="0" w:after="0"/>
        <w:ind w:left="820" w:right="820" w:hanging="0"/>
        <w:jc w:val="left"/>
        <w:rPr>
          <w:bdr w:val="single" w:sz="2" w:space="5" w:color="000000"/>
        </w:rPr>
      </w:pPr>
      <w:r>
        <w:rPr>
          <w:bdr w:val="single" w:sz="2" w:space="5" w:color="000000"/>
        </w:rPr>
        <w:t>​</w:t>
      </w:r>
    </w:p>
    <w:p>
      <w:pPr>
        <w:pStyle w:val="TextBody"/>
        <w:bidi w:val="0"/>
        <w:spacing w:before="0" w:after="0"/>
        <w:ind w:left="820" w:right="820" w:hanging="0"/>
        <w:jc w:val="left"/>
        <w:rPr>
          <w:bdr w:val="single" w:sz="2" w:space="5" w:color="000000"/>
        </w:rPr>
      </w:pPr>
      <w:r>
        <w:rPr>
          <w:bdr w:val="single" w:sz="2" w:space="5" w:color="000000"/>
        </w:rPr>
        <w:t>​</w:t>
      </w:r>
    </w:p>
    <w:p>
      <w:pPr>
        <w:pStyle w:val="TextBody"/>
        <w:bidi w:val="0"/>
        <w:spacing w:before="120" w:after="360"/>
        <w:ind w:left="820" w:right="82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400" w:after="200"/>
        <w:ind w:left="760" w:right="76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60" w:right="760" w:firstLine="720"/>
        <w:jc w:val="center"/>
        <w:rPr>
          <w:rFonts w:ascii="Times New Roman;Times;serif" w:hAnsi="Times New Roman;Times;serif"/>
          <w:b/>
          <w:sz w:val="20"/>
          <w:bdr w:val="single" w:sz="2" w:space="8" w:color="000000"/>
        </w:rPr>
      </w:pPr>
      <w:bookmarkStart w:id="27" w:name="THEOFFERING_713644"/>
      <w:bookmarkStart w:id="28" w:name="_10c9cfd9_6863_434e_98e8_09b8d9f1507a"/>
      <w:bookmarkEnd w:id="27"/>
      <w:bookmarkEnd w:id="28"/>
      <w:r>
        <w:rPr>
          <w:rFonts w:ascii="Times New Roman;Times;serif" w:hAnsi="Times New Roman;Times;serif"/>
          <w:b/>
          <w:sz w:val="20"/>
          <w:bdr w:val="single" w:sz="2" w:space="8" w:color="000000"/>
        </w:rPr>
        <w:t>THE OFFERING</w:t>
      </w:r>
    </w:p>
    <w:p>
      <w:pPr>
        <w:pStyle w:val="TextBody"/>
        <w:bidi w:val="0"/>
        <w:spacing w:before="0" w:after="240"/>
        <w:ind w:left="760" w:right="760" w:firstLine="360"/>
        <w:jc w:val="left"/>
        <w:rPr>
          <w:rFonts w:ascii="Times New Roman;Times;serif" w:hAnsi="Times New Roman;Times;serif"/>
          <w:i/>
          <w:sz w:val="20"/>
          <w:bdr w:val="single" w:sz="2" w:space="8" w:color="000000"/>
        </w:rPr>
      </w:pPr>
      <w:r>
        <w:rPr>
          <w:rFonts w:ascii="Times New Roman;Times;serif" w:hAnsi="Times New Roman;Times;serif"/>
          <w:i/>
          <w:sz w:val="20"/>
          <w:bdr w:val="single" w:sz="2" w:space="8" w:color="000000"/>
        </w:rPr>
        <w:t>The summary below describes the principal terms of the offering. The “Description of Securities” section of this registration statements contains a more detailed description of the Company’s securities.</w:t>
      </w:r>
    </w:p>
    <w:p>
      <w:pPr>
        <w:pStyle w:val="TextBody"/>
        <w:bidi w:val="0"/>
        <w:spacing w:before="0" w:after="240"/>
        <w:ind w:left="760" w:right="760" w:firstLine="360"/>
        <w:jc w:val="left"/>
        <w:rPr>
          <w:rFonts w:ascii="Times New Roman;Times;serif" w:hAnsi="Times New Roman;Times;serif"/>
          <w:sz w:val="20"/>
          <w:bdr w:val="single" w:sz="2" w:space="8" w:color="000000"/>
        </w:rPr>
      </w:pPr>
      <w:r>
        <w:rPr>
          <w:rFonts w:ascii="Times New Roman;Times;serif" w:hAnsi="Times New Roman;Times;serif"/>
          <w:sz w:val="20"/>
          <w:bdr w:val="single" w:sz="2" w:space="8" w:color="000000"/>
        </w:rPr>
        <w:t>We are registering the resale by the selling securityholders or its permitted transferees of up to 10,362,693 Ordinary Shares.</w:t>
      </w:r>
    </w:p>
    <w:tbl>
      <w:tblPr>
        <w:tblW w:w="8685" w:type="dxa"/>
        <w:jc w:val="left"/>
        <w:tblInd w:w="760" w:type="dxa"/>
        <w:tblLayout w:type="fixed"/>
        <w:tblCellMar>
          <w:top w:w="0" w:type="dxa"/>
          <w:left w:w="0" w:type="dxa"/>
          <w:bottom w:w="0" w:type="dxa"/>
          <w:right w:w="0" w:type="dxa"/>
        </w:tblCellMar>
      </w:tblPr>
      <w:tblGrid>
        <w:gridCol w:w="1943"/>
        <w:gridCol w:w="226"/>
        <w:gridCol w:w="6516"/>
      </w:tblGrid>
      <w:tr>
        <w:trPr/>
        <w:tc>
          <w:tcPr>
            <w:tcW w:w="194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16" w:type="dxa"/>
            <w:tcBorders/>
            <w:vAlign w:val="center"/>
          </w:tcPr>
          <w:p>
            <w:pPr>
              <w:pStyle w:val="TableContents"/>
              <w:bidi w:val="0"/>
              <w:spacing w:before="0" w:after="283"/>
              <w:ind w:left="0" w:right="0" w:hanging="0"/>
              <w:jc w:val="left"/>
              <w:rPr>
                <w:sz w:val="4"/>
                <w:szCs w:val="4"/>
              </w:rPr>
            </w:pPr>
            <w:r>
              <w:rPr>
                <w:sz w:val="4"/>
                <w:szCs w:val="4"/>
              </w:rPr>
            </w:r>
          </w:p>
        </w:tc>
      </w:tr>
      <w:tr>
        <w:trPr/>
        <w:tc>
          <w:tcPr>
            <w:tcW w:w="1943" w:type="dxa"/>
            <w:tcBorders/>
            <w:vAlign w:val="center"/>
          </w:tcPr>
          <w:p>
            <w:pPr>
              <w:pStyle w:val="TableContents"/>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Issuer</w:t>
            </w:r>
          </w:p>
        </w:tc>
        <w:tc>
          <w:tcPr>
            <w:tcW w:w="226" w:type="dxa"/>
            <w:tcBorders/>
            <w:vAlign w:val="center"/>
          </w:tcPr>
          <w:p>
            <w:pPr>
              <w:pStyle w:val="TableContents"/>
              <w:bidi w:val="0"/>
              <w:spacing w:before="0" w:after="200"/>
              <w:ind w:left="0" w:right="0" w:hanging="0"/>
              <w:jc w:val="left"/>
              <w:rPr/>
            </w:pPr>
            <w:r>
              <w:rPr/>
              <w:t>  ​</w:t>
            </w:r>
          </w:p>
        </w:tc>
        <w:tc>
          <w:tcPr>
            <w:tcW w:w="6516" w:type="dxa"/>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SCHMID Group N.V.</w:t>
            </w:r>
          </w:p>
        </w:tc>
      </w:tr>
      <w:tr>
        <w:trPr/>
        <w:tc>
          <w:tcPr>
            <w:tcW w:w="1943" w:type="dxa"/>
            <w:tcBorders/>
            <w:vAlign w:val="center"/>
          </w:tcPr>
          <w:p>
            <w:pPr>
              <w:pStyle w:val="TableContents"/>
              <w:pBdr/>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Ordinary Shares Offered by the selling securityholders </w:t>
            </w:r>
          </w:p>
        </w:tc>
        <w:tc>
          <w:tcPr>
            <w:tcW w:w="226" w:type="dxa"/>
            <w:tcBorders/>
            <w:vAlign w:val="center"/>
          </w:tcPr>
          <w:p>
            <w:pPr>
              <w:pStyle w:val="TableContents"/>
              <w:bidi w:val="0"/>
              <w:spacing w:before="0" w:after="200"/>
              <w:ind w:left="0" w:right="0" w:hanging="0"/>
              <w:jc w:val="left"/>
              <w:rPr/>
            </w:pPr>
            <w:r>
              <w:rPr/>
              <w:t>​</w:t>
            </w:r>
          </w:p>
        </w:tc>
        <w:tc>
          <w:tcPr>
            <w:tcW w:w="6516" w:type="dxa"/>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up to 10,362,693 of our Ordinary Shares that are issuable upon the conversion of the 2029 Convertible Notes.</w:t>
            </w:r>
          </w:p>
        </w:tc>
      </w:tr>
      <w:tr>
        <w:trPr/>
        <w:tc>
          <w:tcPr>
            <w:tcW w:w="1943" w:type="dxa"/>
            <w:tcBorders/>
            <w:vAlign w:val="center"/>
          </w:tcPr>
          <w:p>
            <w:pPr>
              <w:pStyle w:val="TableContents"/>
              <w:pBdr/>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Securities that may be offered and sold from time to time by the Selling Securityholders</w:t>
            </w:r>
          </w:p>
        </w:tc>
        <w:tc>
          <w:tcPr>
            <w:tcW w:w="226" w:type="dxa"/>
            <w:tcBorders/>
            <w:vAlign w:val="center"/>
          </w:tcPr>
          <w:p>
            <w:pPr>
              <w:pStyle w:val="TableContents"/>
              <w:bidi w:val="0"/>
              <w:spacing w:before="0" w:after="200"/>
              <w:ind w:left="0" w:right="0" w:hanging="0"/>
              <w:jc w:val="left"/>
              <w:rPr/>
            </w:pPr>
            <w:r>
              <w:rPr/>
              <w:t>​</w:t>
            </w:r>
          </w:p>
        </w:tc>
        <w:tc>
          <w:tcPr>
            <w:tcW w:w="6516" w:type="dxa"/>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up to 10,362,693 of our Ordinary Shares that are issuable upon the conversion of the 2029 Convertible Notes.</w:t>
            </w:r>
          </w:p>
        </w:tc>
      </w:tr>
      <w:tr>
        <w:trPr/>
        <w:tc>
          <w:tcPr>
            <w:tcW w:w="1943" w:type="dxa"/>
            <w:tcBorders/>
            <w:vAlign w:val="center"/>
          </w:tcPr>
          <w:p>
            <w:pPr>
              <w:pStyle w:val="TableContents"/>
              <w:pBdr/>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Securityholders</w:t>
            </w:r>
          </w:p>
        </w:tc>
        <w:tc>
          <w:tcPr>
            <w:tcW w:w="226" w:type="dxa"/>
            <w:tcBorders/>
            <w:vAlign w:val="center"/>
          </w:tcPr>
          <w:p>
            <w:pPr>
              <w:pStyle w:val="TableContents"/>
              <w:bidi w:val="0"/>
              <w:spacing w:before="0" w:after="200"/>
              <w:ind w:left="0" w:right="0" w:hanging="0"/>
              <w:jc w:val="left"/>
              <w:rPr/>
            </w:pPr>
            <w:r>
              <w:rPr/>
              <w:t>​</w:t>
            </w:r>
          </w:p>
        </w:tc>
        <w:tc>
          <w:tcPr>
            <w:tcW w:w="6516" w:type="dxa"/>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All of the Ordinary Shares being registered pursuant to this Registration Statement on Form F-1 are being offered by the Selling Securityholders. See “Selling Securityholders” section for more information.</w:t>
            </w:r>
          </w:p>
        </w:tc>
      </w:tr>
      <w:tr>
        <w:trPr/>
        <w:tc>
          <w:tcPr>
            <w:tcW w:w="1943" w:type="dxa"/>
            <w:tcBorders/>
            <w:vAlign w:val="center"/>
          </w:tcPr>
          <w:p>
            <w:pPr>
              <w:pStyle w:val="TableContents"/>
              <w:pBdr/>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Ordinary Shares outstanding prior to the offering</w:t>
            </w:r>
          </w:p>
        </w:tc>
        <w:tc>
          <w:tcPr>
            <w:tcW w:w="226" w:type="dxa"/>
            <w:tcBorders/>
            <w:vAlign w:val="center"/>
          </w:tcPr>
          <w:p>
            <w:pPr>
              <w:pStyle w:val="TableContents"/>
              <w:bidi w:val="0"/>
              <w:spacing w:before="0" w:after="200"/>
              <w:ind w:left="0" w:right="0" w:hanging="0"/>
              <w:jc w:val="left"/>
              <w:rPr/>
            </w:pPr>
            <w:r>
              <w:rPr/>
              <w:t>​</w:t>
            </w:r>
          </w:p>
        </w:tc>
        <w:tc>
          <w:tcPr>
            <w:tcW w:w="6516" w:type="dxa"/>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65,675,726 Ordinary Shares (including 5,000,000 earn-out shares, which have been issued but have not vested and are subject to cancellation). </w:t>
            </w:r>
          </w:p>
        </w:tc>
      </w:tr>
      <w:tr>
        <w:trPr/>
        <w:tc>
          <w:tcPr>
            <w:tcW w:w="1943" w:type="dxa"/>
            <w:tcBorders/>
            <w:vAlign w:val="center"/>
          </w:tcPr>
          <w:p>
            <w:pPr>
              <w:pStyle w:val="TableContents"/>
              <w:pBdr/>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Ordinary Shares outstanding after giving effect to the issuance of all Ordinary Shares Registered Hereunder</w:t>
            </w:r>
          </w:p>
        </w:tc>
        <w:tc>
          <w:tcPr>
            <w:tcW w:w="226" w:type="dxa"/>
            <w:tcBorders/>
            <w:vAlign w:val="center"/>
          </w:tcPr>
          <w:p>
            <w:pPr>
              <w:pStyle w:val="TableContents"/>
              <w:bidi w:val="0"/>
              <w:spacing w:before="0" w:after="200"/>
              <w:ind w:left="0" w:right="0" w:hanging="0"/>
              <w:jc w:val="left"/>
              <w:rPr/>
            </w:pPr>
            <w:r>
              <w:rPr/>
              <w:t>​</w:t>
            </w:r>
          </w:p>
        </w:tc>
        <w:tc>
          <w:tcPr>
            <w:tcW w:w="6516" w:type="dxa"/>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After giving effect of the issuance of all Ordinary Shares registered hereunder, 76,038,419 of our Ordinary Shares would be outstanding (including 5,000,000 earn-out shares, which have been issued but have not vested and are subject to cancellation).</w:t>
            </w:r>
          </w:p>
        </w:tc>
      </w:tr>
      <w:tr>
        <w:trPr/>
        <w:tc>
          <w:tcPr>
            <w:tcW w:w="1943" w:type="dxa"/>
            <w:tcBorders/>
            <w:vAlign w:val="center"/>
          </w:tcPr>
          <w:p>
            <w:pPr>
              <w:pStyle w:val="TableContents"/>
              <w:pBdr/>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Dividend policy</w:t>
            </w:r>
          </w:p>
        </w:tc>
        <w:tc>
          <w:tcPr>
            <w:tcW w:w="226" w:type="dxa"/>
            <w:tcBorders/>
            <w:vAlign w:val="center"/>
          </w:tcPr>
          <w:p>
            <w:pPr>
              <w:pStyle w:val="TableContents"/>
              <w:bidi w:val="0"/>
              <w:spacing w:before="0" w:after="200"/>
              <w:ind w:left="0" w:right="0" w:hanging="0"/>
              <w:jc w:val="left"/>
              <w:rPr/>
            </w:pPr>
            <w:r>
              <w:rPr/>
              <w:t>​</w:t>
            </w:r>
          </w:p>
        </w:tc>
        <w:tc>
          <w:tcPr>
            <w:tcW w:w="6516" w:type="dxa"/>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Under Dutch law, we may only pay dividends and other distributions from our reserves to the extent our shareholders’ equity (</w:t>
            </w:r>
            <w:r>
              <w:rPr>
                <w:rFonts w:ascii="Times New Roman;Times;serif" w:hAnsi="Times New Roman;Times;serif"/>
                <w:i/>
                <w:sz w:val="20"/>
              </w:rPr>
              <w:t>eigen vermogen</w:t>
            </w:r>
            <w:r>
              <w:rPr>
                <w:rFonts w:ascii="Times New Roman;Times;serif" w:hAnsi="Times New Roman;Times;serif"/>
                <w:sz w:val="20"/>
              </w:rPr>
              <w:t>) exceeds the sum of our paid-in and called-up share capital plus the reserves we must maintain under Dutch law or our articles of association (the “</w:t>
            </w:r>
            <w:r>
              <w:rPr>
                <w:rFonts w:ascii="Times New Roman;Times;serif" w:hAnsi="Times New Roman;Times;serif"/>
                <w:b/>
                <w:sz w:val="20"/>
              </w:rPr>
              <w:t>Articles of Association</w:t>
            </w:r>
            <w:r>
              <w:rPr>
                <w:rFonts w:ascii="Times New Roman;Times;serif" w:hAnsi="Times New Roman;Times;serif"/>
                <w:sz w:val="20"/>
              </w:rPr>
              <w:t>”) and (if it concerns a distribution of profits) after adoption of our statutory annual accounts by the general meeting from which it appears that such dividend distribution is allowed. Subject to those restrictions, any future determination to pay dividends or other distributions from our reserves will be at the discretion of our Board and will depend upon a number of factors, including our results of operations, financial condition, future prospects, contractual restrictions, restrictions imposed by applicable law and other factors we deem relevant. See the section titled “</w:t>
            </w:r>
            <w:r>
              <w:rPr>
                <w:rFonts w:ascii="Times New Roman;Times;serif" w:hAnsi="Times New Roman;Times;serif"/>
                <w:i/>
                <w:sz w:val="20"/>
              </w:rPr>
              <w:t>Dividend Policy</w:t>
            </w:r>
            <w:r>
              <w:rPr>
                <w:rFonts w:ascii="Times New Roman;Times;serif" w:hAnsi="Times New Roman;Times;serif"/>
                <w:sz w:val="20"/>
              </w:rPr>
              <w:t>.”</w:t>
            </w:r>
          </w:p>
        </w:tc>
      </w:tr>
      <w:tr>
        <w:trPr/>
        <w:tc>
          <w:tcPr>
            <w:tcW w:w="1943" w:type="dxa"/>
            <w:tcBorders/>
            <w:vAlign w:val="center"/>
          </w:tcPr>
          <w:p>
            <w:pPr>
              <w:pStyle w:val="TableContents"/>
              <w:pBdr/>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Transfer Agent</w:t>
            </w:r>
          </w:p>
        </w:tc>
        <w:tc>
          <w:tcPr>
            <w:tcW w:w="226" w:type="dxa"/>
            <w:tcBorders/>
            <w:vAlign w:val="center"/>
          </w:tcPr>
          <w:p>
            <w:pPr>
              <w:pStyle w:val="TableContents"/>
              <w:bidi w:val="0"/>
              <w:spacing w:before="0" w:after="200"/>
              <w:ind w:left="0" w:right="0" w:hanging="0"/>
              <w:jc w:val="left"/>
              <w:rPr/>
            </w:pPr>
            <w:r>
              <w:rPr/>
              <w:t>​</w:t>
            </w:r>
          </w:p>
        </w:tc>
        <w:tc>
          <w:tcPr>
            <w:tcW w:w="6516" w:type="dxa"/>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Continental Stock Transfer &amp; Trust Company.</w:t>
            </w:r>
          </w:p>
        </w:tc>
      </w:tr>
      <w:tr>
        <w:trPr/>
        <w:tc>
          <w:tcPr>
            <w:tcW w:w="1943" w:type="dxa"/>
            <w:tcBorders/>
            <w:vAlign w:val="center"/>
          </w:tcPr>
          <w:p>
            <w:pPr>
              <w:pStyle w:val="TableContents"/>
              <w:pBdr/>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Use of Proceeds</w:t>
            </w:r>
          </w:p>
        </w:tc>
        <w:tc>
          <w:tcPr>
            <w:tcW w:w="226" w:type="dxa"/>
            <w:tcBorders/>
            <w:vAlign w:val="center"/>
          </w:tcPr>
          <w:p>
            <w:pPr>
              <w:pStyle w:val="TableContents"/>
              <w:bidi w:val="0"/>
              <w:spacing w:before="0" w:after="240"/>
              <w:ind w:left="0" w:right="0" w:hanging="0"/>
              <w:jc w:val="left"/>
              <w:rPr/>
            </w:pPr>
            <w:r>
              <w:rPr/>
              <w:t>​</w:t>
            </w:r>
          </w:p>
        </w:tc>
        <w:tc>
          <w:tcPr>
            <w:tcW w:w="6516" w:type="dxa"/>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will not receive any proceeds from the resale of Ordinary Shares included in this prospectus by the selling securityholders. See the section entitled “</w:t>
            </w:r>
            <w:r>
              <w:rPr>
                <w:rFonts w:ascii="Times New Roman;Times;serif" w:hAnsi="Times New Roman;Times;serif"/>
                <w:i/>
                <w:sz w:val="20"/>
              </w:rPr>
              <w:t>Use of Proceeds</w:t>
            </w:r>
            <w:r>
              <w:rPr>
                <w:rFonts w:ascii="Times New Roman;Times;serif" w:hAnsi="Times New Roman;Times;serif"/>
                <w:sz w:val="20"/>
              </w:rPr>
              <w:t>.”</w:t>
            </w:r>
          </w:p>
        </w:tc>
      </w:tr>
      <w:tr>
        <w:trPr/>
        <w:tc>
          <w:tcPr>
            <w:tcW w:w="1943" w:type="dxa"/>
            <w:tcBorders/>
            <w:vAlign w:val="center"/>
          </w:tcPr>
          <w:p>
            <w:pPr>
              <w:pStyle w:val="TableContents"/>
              <w:pBdr/>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Market for our Ordinary Shares</w:t>
            </w:r>
          </w:p>
        </w:tc>
        <w:tc>
          <w:tcPr>
            <w:tcW w:w="226" w:type="dxa"/>
            <w:tcBorders/>
            <w:vAlign w:val="center"/>
          </w:tcPr>
          <w:p>
            <w:pPr>
              <w:pStyle w:val="TableContents"/>
              <w:bidi w:val="0"/>
              <w:spacing w:before="0" w:after="200"/>
              <w:ind w:left="0" w:right="0" w:hanging="0"/>
              <w:jc w:val="left"/>
              <w:rPr/>
            </w:pPr>
            <w:r>
              <w:rPr/>
              <w:t>​</w:t>
            </w:r>
          </w:p>
        </w:tc>
        <w:tc>
          <w:tcPr>
            <w:tcW w:w="6516" w:type="dxa"/>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ordinary shares are listed on Nasdaq under the symbol “SHMD” and our Public Warrants are listed under the symbol “SHMD.W”.</w:t>
            </w:r>
          </w:p>
        </w:tc>
      </w:tr>
      <w:tr>
        <w:trPr/>
        <w:tc>
          <w:tcPr>
            <w:tcW w:w="1943" w:type="dxa"/>
            <w:tcBorders/>
            <w:vAlign w:val="center"/>
          </w:tcPr>
          <w:p>
            <w:pPr>
              <w:pStyle w:val="TableContents"/>
              <w:pBdr/>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Risk factors</w:t>
            </w:r>
          </w:p>
        </w:tc>
        <w:tc>
          <w:tcPr>
            <w:tcW w:w="226" w:type="dxa"/>
            <w:tcBorders/>
            <w:vAlign w:val="center"/>
          </w:tcPr>
          <w:p>
            <w:pPr>
              <w:pStyle w:val="TableContents"/>
              <w:bidi w:val="0"/>
              <w:spacing w:before="0" w:after="200"/>
              <w:ind w:left="0" w:right="0" w:hanging="0"/>
              <w:jc w:val="left"/>
              <w:rPr/>
            </w:pPr>
            <w:r>
              <w:rPr/>
              <w:t>​</w:t>
            </w:r>
          </w:p>
        </w:tc>
        <w:tc>
          <w:tcPr>
            <w:tcW w:w="6516" w:type="dxa"/>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Investing in our securities involves a high degree of risk. See “Risk Factors” in this prospectus for a description of certain of the risks you should consider before investing in our ordinary shares.</w:t>
            </w:r>
          </w:p>
        </w:tc>
      </w:tr>
    </w:tbl>
    <w:p>
      <w:pPr>
        <w:pStyle w:val="TextBody"/>
        <w:bidi w:val="0"/>
        <w:spacing w:before="0" w:after="0"/>
        <w:ind w:left="760" w:right="760" w:hanging="0"/>
        <w:jc w:val="left"/>
        <w:rPr>
          <w:bdr w:val="single" w:sz="2" w:space="8" w:color="000000"/>
        </w:rPr>
      </w:pPr>
      <w:r>
        <w:rPr>
          <w:bdr w:val="single" w:sz="2" w:space="8" w:color="000000"/>
        </w:rPr>
        <w:t>​</w:t>
      </w:r>
    </w:p>
    <w:p>
      <w:pPr>
        <w:pStyle w:val="TextBody"/>
        <w:bidi w:val="0"/>
        <w:spacing w:before="0" w:after="0"/>
        <w:ind w:left="760" w:right="760" w:hanging="0"/>
        <w:jc w:val="left"/>
        <w:rPr>
          <w:bdr w:val="single" w:sz="2" w:space="8" w:color="000000"/>
        </w:rPr>
      </w:pPr>
      <w:r>
        <w:rPr>
          <w:bdr w:val="single" w:sz="2" w:space="8" w:color="000000"/>
        </w:rPr>
        <w:t>​</w:t>
      </w:r>
    </w:p>
    <w:p>
      <w:pPr>
        <w:pStyle w:val="TextBody"/>
        <w:bidi w:val="0"/>
        <w:spacing w:before="0" w:after="0"/>
        <w:ind w:left="760" w:right="760" w:hanging="0"/>
        <w:jc w:val="left"/>
        <w:rPr>
          <w:bdr w:val="single" w:sz="2" w:space="8" w:color="000000"/>
        </w:rPr>
      </w:pPr>
      <w:r>
        <w:rPr>
          <w:bdr w:val="single" w:sz="2" w:space="8" w:color="000000"/>
        </w:rPr>
        <w:t>​</w:t>
      </w:r>
    </w:p>
    <w:p>
      <w:pPr>
        <w:pStyle w:val="TextBody"/>
        <w:bidi w:val="0"/>
        <w:spacing w:before="120" w:after="360"/>
        <w:ind w:left="760" w:right="76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400" w:after="200"/>
        <w:ind w:left="760" w:right="76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60" w:right="760" w:firstLine="720"/>
        <w:jc w:val="center"/>
        <w:rPr>
          <w:rFonts w:ascii="Times New Roman;Times;serif" w:hAnsi="Times New Roman;Times;serif"/>
          <w:b/>
          <w:sz w:val="20"/>
          <w:bdr w:val="single" w:sz="2" w:space="8" w:color="000000"/>
        </w:rPr>
      </w:pPr>
      <w:bookmarkStart w:id="29" w:name="SUMMARYHISTORICALCONSOLIDATEDFINANCIALIN"/>
      <w:bookmarkStart w:id="30" w:name="_8e60998b_1f69_452b_a605_848824199dad"/>
      <w:bookmarkEnd w:id="29"/>
      <w:bookmarkEnd w:id="30"/>
      <w:r>
        <w:rPr>
          <w:rFonts w:ascii="Times New Roman;Times;serif" w:hAnsi="Times New Roman;Times;serif"/>
          <w:b/>
          <w:sz w:val="20"/>
          <w:bdr w:val="single" w:sz="2" w:space="8" w:color="000000"/>
        </w:rPr>
        <w:t>SUMMARY HISTORICAL CONSOLIDATED FINANCIAL INFORMATION OF SCHMID</w:t>
      </w:r>
    </w:p>
    <w:p>
      <w:pPr>
        <w:pStyle w:val="TextBody"/>
        <w:bidi w:val="0"/>
        <w:spacing w:before="0" w:after="240"/>
        <w:ind w:left="760" w:right="760" w:firstLine="720"/>
        <w:jc w:val="center"/>
        <w:rPr>
          <w:rFonts w:ascii="Times New Roman;Times;serif" w:hAnsi="Times New Roman;Times;serif"/>
          <w:b/>
          <w:sz w:val="20"/>
          <w:bdr w:val="single" w:sz="2" w:space="8" w:color="000000"/>
        </w:rPr>
      </w:pPr>
      <w:r>
        <w:rPr>
          <w:rFonts w:ascii="Times New Roman;Times;serif" w:hAnsi="Times New Roman;Times;serif"/>
          <w:b/>
          <w:sz w:val="20"/>
          <w:bdr w:val="single" w:sz="2" w:space="8" w:color="000000"/>
        </w:rPr>
        <w:t>Summary Historical Financial Data of SCHMID Group N.V.</w:t>
      </w:r>
    </w:p>
    <w:p>
      <w:pPr>
        <w:pStyle w:val="TextBody"/>
        <w:bidi w:val="0"/>
        <w:spacing w:before="0" w:after="240"/>
        <w:ind w:left="760" w:right="760" w:firstLine="360"/>
        <w:jc w:val="left"/>
        <w:rPr>
          <w:rFonts w:ascii="Times New Roman;Times;serif" w:hAnsi="Times New Roman;Times;serif"/>
          <w:sz w:val="20"/>
          <w:bdr w:val="single" w:sz="2" w:space="8" w:color="000000"/>
        </w:rPr>
      </w:pPr>
      <w:r>
        <w:rPr>
          <w:rFonts w:ascii="Times New Roman;Times;serif" w:hAnsi="Times New Roman;Times;serif"/>
          <w:sz w:val="20"/>
          <w:bdr w:val="single" w:sz="2" w:space="8" w:color="000000"/>
        </w:rPr>
        <w:t>The following table shows summary historical financial information of SCHMID for the periods and as of the dates indicated. The summary historical financial information of SCHMID as of and for the years ended December 31, 2025, 2024 and 2023 was derived from the audited historical financial statements of SCHMID included elsewhere in this prospectus.</w:t>
      </w:r>
    </w:p>
    <w:p>
      <w:pPr>
        <w:pStyle w:val="TextBody"/>
        <w:bidi w:val="0"/>
        <w:spacing w:before="0" w:after="240"/>
        <w:ind w:left="760" w:right="760" w:firstLine="360"/>
        <w:jc w:val="left"/>
        <w:rPr>
          <w:rFonts w:ascii="Times New Roman;Times;serif" w:hAnsi="Times New Roman;Times;serif"/>
          <w:sz w:val="20"/>
          <w:bdr w:val="single" w:sz="2" w:space="8" w:color="000000"/>
        </w:rPr>
      </w:pPr>
      <w:r>
        <w:rPr>
          <w:rFonts w:ascii="Times New Roman;Times;serif" w:hAnsi="Times New Roman;Times;serif"/>
          <w:sz w:val="20"/>
          <w:bdr w:val="single" w:sz="2" w:space="8" w:color="000000"/>
        </w:rPr>
        <w:t>The following summary historical financial information should be read together with the consolidated financial statements and accompanying notes and “</w:t>
      </w:r>
      <w:r>
        <w:rPr>
          <w:rFonts w:ascii="Times New Roman;Times;serif" w:hAnsi="Times New Roman;Times;serif"/>
          <w:i/>
          <w:sz w:val="20"/>
          <w:bdr w:val="single" w:sz="2" w:space="8" w:color="000000"/>
        </w:rPr>
        <w:t>Management’s Discussion and Analysis of Financial Condition and Results of Operations</w:t>
      </w:r>
      <w:r>
        <w:rPr>
          <w:rFonts w:ascii="Times New Roman;Times;serif" w:hAnsi="Times New Roman;Times;serif"/>
          <w:sz w:val="20"/>
          <w:bdr w:val="single" w:sz="2" w:space="8" w:color="000000"/>
        </w:rPr>
        <w:t>” appearing elsewhere in this prospectus. The summary historical financial information in this section is not intended to replace our consolidated financial statements and the related notes. Our historical results are not necessarily indicative of our future results.</w:t>
      </w:r>
    </w:p>
    <w:p>
      <w:pPr>
        <w:pStyle w:val="TextBody"/>
        <w:bidi w:val="0"/>
        <w:spacing w:before="0" w:after="240"/>
        <w:ind w:left="760" w:right="760" w:hanging="0"/>
        <w:jc w:val="left"/>
        <w:rPr>
          <w:rFonts w:ascii="Times New Roman;Times;serif" w:hAnsi="Times New Roman;Times;serif"/>
          <w:b/>
          <w:sz w:val="20"/>
          <w:bdr w:val="single" w:sz="2" w:space="8" w:color="000000"/>
        </w:rPr>
      </w:pPr>
      <w:r>
        <w:rPr>
          <w:rFonts w:ascii="Times New Roman;Times;serif" w:hAnsi="Times New Roman;Times;serif"/>
          <w:b/>
          <w:sz w:val="20"/>
          <w:bdr w:val="single" w:sz="2" w:space="8" w:color="000000"/>
        </w:rPr>
        <w:t>Consolidated Statements of Profit or Loss and Other Comprehensive Income (Loss) for the years ended December 31, 2025, 2024 and 2023</w:t>
      </w:r>
    </w:p>
    <w:tbl>
      <w:tblPr>
        <w:tblW w:w="7854" w:type="dxa"/>
        <w:jc w:val="left"/>
        <w:tblInd w:w="760" w:type="dxa"/>
        <w:tblLayout w:type="fixed"/>
        <w:tblCellMar>
          <w:top w:w="0" w:type="dxa"/>
          <w:left w:w="0" w:type="dxa"/>
          <w:bottom w:w="0" w:type="dxa"/>
          <w:right w:w="0" w:type="dxa"/>
        </w:tblCellMar>
      </w:tblPr>
      <w:tblGrid>
        <w:gridCol w:w="3586"/>
        <w:gridCol w:w="346"/>
        <w:gridCol w:w="451"/>
        <w:gridCol w:w="346"/>
        <w:gridCol w:w="796"/>
        <w:gridCol w:w="346"/>
        <w:gridCol w:w="796"/>
        <w:gridCol w:w="346"/>
        <w:gridCol w:w="841"/>
      </w:tblGrid>
      <w:tr>
        <w:trPr/>
        <w:tc>
          <w:tcPr>
            <w:tcW w:w="3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ind w:left="0" w:right="0" w:hanging="0"/>
              <w:jc w:val="left"/>
              <w:rPr>
                <w:sz w:val="4"/>
                <w:szCs w:val="4"/>
              </w:rPr>
            </w:pPr>
            <w:r>
              <w:rPr>
                <w:sz w:val="4"/>
                <w:szCs w:val="4"/>
              </w:rPr>
            </w:r>
          </w:p>
        </w:tc>
      </w:tr>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277110" cy="175260"/>
                      <wp:effectExtent l="0" t="0" r="0" b="0"/>
                      <wp:wrapNone/>
                      <wp:docPr id="10" name="Frame10"/>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05460" cy="175260"/>
                      <wp:effectExtent l="0" t="0" r="0" b="0"/>
                      <wp:wrapNone/>
                      <wp:docPr id="12" name="Frame1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05460" cy="175260"/>
                      <wp:effectExtent l="0" t="0" r="0" b="0"/>
                      <wp:wrapNone/>
                      <wp:docPr id="14" name="Frame1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34035" cy="175260"/>
                      <wp:effectExtent l="0" t="0" r="0" b="0"/>
                      <wp:wrapNone/>
                      <wp:docPr id="16" name="Frame1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8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 except share data</w:t>
            </w:r>
          </w:p>
        </w:tc>
        <w:tc>
          <w:tcPr>
            <w:tcW w:w="346" w:type="dxa"/>
            <w:tcBorders/>
            <w:vAlign w:val="center"/>
          </w:tcPr>
          <w:p>
            <w:pPr>
              <w:pStyle w:val="TableContents"/>
              <w:bidi w:val="0"/>
              <w:spacing w:before="0" w:after="0"/>
              <w:ind w:left="0" w:right="0" w:hanging="0"/>
              <w:jc w:val="center"/>
              <w:rPr/>
            </w:pPr>
            <w:r>
              <w:rPr/>
              <w:t>  ​ ​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66,945</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60,836</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90,246</w:t>
            </w:r>
          </w:p>
        </w:tc>
      </w:tr>
      <w:tr>
        <w:trPr/>
        <w:tc>
          <w:tcPr>
            <w:tcW w:w="3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(50,928)</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(48,791)</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(63,849)</w:t>
            </w:r>
          </w:p>
        </w:tc>
      </w:tr>
      <w:tr>
        <w:trPr/>
        <w:tc>
          <w:tcPr>
            <w:tcW w:w="358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16,017</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12,044</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26,397</w:t>
            </w:r>
          </w:p>
        </w:tc>
      </w:tr>
      <w:tr>
        <w:trPr/>
        <w:tc>
          <w:tcPr>
            <w:tcW w:w="3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expenses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(11,999)</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(12,895)</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(12,577)</w:t>
            </w:r>
          </w:p>
        </w:tc>
      </w:tr>
      <w:tr>
        <w:trPr/>
        <w:tc>
          <w:tcPr>
            <w:tcW w:w="35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administration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(11,404)</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(11,792)</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(12,538)</w:t>
            </w:r>
          </w:p>
        </w:tc>
      </w:tr>
      <w:tr>
        <w:trPr/>
        <w:tc>
          <w:tcPr>
            <w:tcW w:w="3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(2,781)</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(3,974)</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(5,148)</w:t>
            </w:r>
          </w:p>
        </w:tc>
      </w:tr>
      <w:tr>
        <w:trPr/>
        <w:tc>
          <w:tcPr>
            <w:tcW w:w="35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12,217</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9,018</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15,985</w:t>
            </w:r>
          </w:p>
        </w:tc>
      </w:tr>
      <w:tr>
        <w:trPr/>
        <w:tc>
          <w:tcPr>
            <w:tcW w:w="3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(2,564)</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(2,620)</w:t>
            </w:r>
          </w:p>
        </w:tc>
      </w:tr>
      <w:tr>
        <w:trPr/>
        <w:tc>
          <w:tcPr>
            <w:tcW w:w="35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Listing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(71,630)</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Reversal on impairment on financial assets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22,696</w:t>
            </w:r>
          </w:p>
        </w:tc>
      </w:tr>
      <w:tr>
        <w:trPr/>
        <w:tc>
          <w:tcPr>
            <w:tcW w:w="358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profit (loss)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1,443</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(81,772)</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32,195</w:t>
            </w:r>
          </w:p>
        </w:tc>
      </w:tr>
      <w:tr>
        <w:trPr/>
        <w:tc>
          <w:tcPr>
            <w:tcW w:w="3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income</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1,888</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19,685</w:t>
            </w:r>
          </w:p>
        </w:tc>
      </w:tr>
      <w:tr>
        <w:trPr/>
        <w:tc>
          <w:tcPr>
            <w:tcW w:w="35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(72,244)</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(5,712)</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(10,091)</w:t>
            </w:r>
          </w:p>
        </w:tc>
      </w:tr>
      <w:tr>
        <w:trPr/>
        <w:tc>
          <w:tcPr>
            <w:tcW w:w="358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result</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15</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(72,178)</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(3,824)</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9,594</w:t>
            </w:r>
          </w:p>
        </w:tc>
      </w:tr>
      <w:tr>
        <w:trPr/>
        <w:tc>
          <w:tcPr>
            <w:tcW w:w="35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loss from equity method investees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w:t>
            </w:r>
          </w:p>
        </w:tc>
      </w:tr>
      <w:tr>
        <w:trPr/>
        <w:tc>
          <w:tcPr>
            <w:tcW w:w="358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income tax</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(71,141)</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(85,596)</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40,732</w:t>
            </w:r>
          </w:p>
        </w:tc>
      </w:tr>
      <w:tr>
        <w:trPr/>
        <w:tc>
          <w:tcPr>
            <w:tcW w:w="35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w:t>
            </w:r>
          </w:p>
        </w:tc>
      </w:tr>
      <w:tr>
        <w:trPr/>
        <w:tc>
          <w:tcPr>
            <w:tcW w:w="358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 for the period</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(71,100)</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(84,104)</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37,954</w:t>
            </w:r>
          </w:p>
        </w:tc>
      </w:tr>
    </w:tbl>
    <w:p>
      <w:pPr>
        <w:pStyle w:val="TextBody"/>
        <w:bidi w:val="0"/>
        <w:spacing w:before="0" w:after="0"/>
        <w:ind w:left="760" w:right="760" w:hanging="0"/>
        <w:jc w:val="left"/>
        <w:rPr>
          <w:bdr w:val="single" w:sz="2" w:space="8" w:color="000000"/>
        </w:rPr>
      </w:pPr>
      <w:r>
        <w:rPr>
          <w:bdr w:val="single" w:sz="2" w:space="8" w:color="000000"/>
        </w:rPr>
        <w:t>​</w:t>
      </w:r>
    </w:p>
    <w:p>
      <w:pPr>
        <w:pStyle w:val="TextBody"/>
        <w:bidi w:val="0"/>
        <w:spacing w:before="0" w:after="0"/>
        <w:ind w:left="760" w:right="760" w:hanging="0"/>
        <w:jc w:val="left"/>
        <w:rPr>
          <w:bdr w:val="single" w:sz="2" w:space="8" w:color="000000"/>
        </w:rPr>
      </w:pPr>
      <w:r>
        <w:rPr>
          <w:bdr w:val="single" w:sz="2" w:space="8" w:color="000000"/>
        </w:rPr>
        <w:t>​</w:t>
      </w:r>
    </w:p>
    <w:p>
      <w:pPr>
        <w:pStyle w:val="TextBody"/>
        <w:bidi w:val="0"/>
        <w:spacing w:before="0" w:after="0"/>
        <w:ind w:left="760" w:right="760" w:hanging="0"/>
        <w:jc w:val="left"/>
        <w:rPr>
          <w:bdr w:val="single" w:sz="2" w:space="8" w:color="000000"/>
        </w:rPr>
      </w:pPr>
      <w:r>
        <w:rPr>
          <w:bdr w:val="single" w:sz="2" w:space="8" w:color="000000"/>
        </w:rPr>
        <w:t>​</w:t>
      </w:r>
    </w:p>
    <w:p>
      <w:pPr>
        <w:pStyle w:val="TextBody"/>
        <w:bidi w:val="0"/>
        <w:spacing w:before="0" w:after="0"/>
        <w:ind w:left="760" w:right="760" w:hanging="0"/>
        <w:jc w:val="left"/>
        <w:rPr>
          <w:bdr w:val="single" w:sz="2" w:space="8" w:color="000000"/>
        </w:rPr>
      </w:pPr>
      <w:r>
        <w:rPr>
          <w:bdr w:val="single" w:sz="2" w:space="8" w:color="000000"/>
        </w:rPr>
        <w:t>​</w:t>
      </w:r>
    </w:p>
    <w:p>
      <w:pPr>
        <w:pStyle w:val="TextBody"/>
        <w:bidi w:val="0"/>
        <w:spacing w:before="0" w:after="0"/>
        <w:ind w:left="760" w:right="760" w:firstLine="360"/>
        <w:jc w:val="left"/>
        <w:rPr>
          <w:bdr w:val="single" w:sz="2" w:space="8" w:color="000000"/>
        </w:rPr>
      </w:pPr>
      <w:r>
        <w:rPr>
          <w:bdr w:val="single" w:sz="2" w:space="8" w:color="000000"/>
        </w:rPr>
        <w:t>​</w:t>
      </w:r>
    </w:p>
    <w:p>
      <w:pPr>
        <w:pStyle w:val="TextBody"/>
        <w:bidi w:val="0"/>
        <w:spacing w:before="0" w:after="0"/>
        <w:ind w:left="760" w:right="760" w:hanging="0"/>
        <w:jc w:val="left"/>
        <w:rPr>
          <w:bdr w:val="single" w:sz="2" w:space="8" w:color="000000"/>
        </w:rPr>
      </w:pPr>
      <w:r>
        <w:rPr>
          <w:bdr w:val="single" w:sz="2" w:space="8" w:color="000000"/>
        </w:rPr>
        <w:t>​</w:t>
      </w:r>
    </w:p>
    <w:p>
      <w:pPr>
        <w:pStyle w:val="TextBody"/>
        <w:bidi w:val="0"/>
        <w:spacing w:before="0" w:after="0"/>
        <w:ind w:left="760" w:right="760" w:hanging="0"/>
        <w:jc w:val="left"/>
        <w:rPr>
          <w:bdr w:val="single" w:sz="2" w:space="8" w:color="000000"/>
        </w:rPr>
      </w:pPr>
      <w:r>
        <w:rPr>
          <w:bdr w:val="single" w:sz="2" w:space="8" w:color="000000"/>
        </w:rPr>
        <w:t>​</w:t>
      </w:r>
    </w:p>
    <w:p>
      <w:pPr>
        <w:pStyle w:val="TextBody"/>
        <w:bidi w:val="0"/>
        <w:spacing w:before="120" w:after="360"/>
        <w:ind w:left="760" w:right="76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200" w:right="200" w:hanging="0"/>
        <w:jc w:val="center"/>
        <w:rPr>
          <w:rFonts w:ascii="Times New Roman;Times;serif" w:hAnsi="Times New Roman;Times;serif"/>
          <w:b/>
          <w:sz w:val="20"/>
        </w:rPr>
      </w:pPr>
      <w:bookmarkStart w:id="31" w:name="RISKFACTORS_993686"/>
      <w:bookmarkStart w:id="32" w:name="_2018dbf0_bf61_4bd6_8035_2a6bd53482e8"/>
      <w:bookmarkEnd w:id="31"/>
      <w:bookmarkEnd w:id="32"/>
      <w:r>
        <w:rPr>
          <w:rFonts w:ascii="Times New Roman;Times;serif" w:hAnsi="Times New Roman;Times;serif"/>
          <w:b/>
          <w:sz w:val="20"/>
        </w:rPr>
        <w:t>RISK FACTORS</w:t>
      </w:r>
    </w:p>
    <w:p>
      <w:pPr>
        <w:pStyle w:val="TextBody"/>
        <w:bidi w:val="0"/>
        <w:spacing w:before="0" w:after="200"/>
        <w:ind w:left="200" w:right="200" w:firstLine="360"/>
        <w:jc w:val="left"/>
        <w:rPr>
          <w:rFonts w:ascii="Times New Roman;Times;serif" w:hAnsi="Times New Roman;Times;serif"/>
          <w:i/>
          <w:sz w:val="20"/>
        </w:rPr>
      </w:pPr>
      <w:r>
        <w:rPr>
          <w:rFonts w:ascii="Times New Roman;Times;serif" w:hAnsi="Times New Roman;Times;serif"/>
          <w:i/>
          <w:sz w:val="20"/>
        </w:rPr>
        <w:t>Investing in our Ordinary Shares or Warrants involves a high degree of risk. In addition to the other information set forth in this prospectus, you should carefully consider the risk factors discussed below when considering an investment in our Ordinary Shares or Warrants and any risk factors that may be set forth in the applicable prospectus supplement, as well as the other information contained in this prospectus and any applicable prospectus supplement. If any of the following risks occur, our business, financial condition, results of operations and prospects could be materially and adversely affected. In that case, the market price of our Ordinary Shares and Public Warrants could decline and you could lose some or all of your investment. Additional risks and uncertainties not presently known to us or that we currently deem immaterial also may impair our business operations.</w:t>
      </w:r>
    </w:p>
    <w:p>
      <w:pPr>
        <w:pStyle w:val="TextBody"/>
        <w:bidi w:val="0"/>
        <w:spacing w:before="0" w:after="200"/>
        <w:ind w:left="200" w:right="200" w:hanging="0"/>
        <w:jc w:val="left"/>
        <w:rPr>
          <w:rFonts w:ascii="Times New Roman;Times;serif" w:hAnsi="Times New Roman;Times;serif"/>
          <w:b/>
          <w:sz w:val="20"/>
        </w:rPr>
      </w:pPr>
      <w:r>
        <w:rPr>
          <w:rFonts w:ascii="Times New Roman;Times;serif" w:hAnsi="Times New Roman;Times;serif"/>
          <w:b/>
          <w:sz w:val="20"/>
        </w:rPr>
        <w:t>Risks Related to this Offering by the selling securityholders and other selling securityholders</w:t>
      </w:r>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Sales of a substantial number of our securities in the public market by the selling securityholders and/or by our existing Shareholders or selling securityholders of other financial instruments and agreements we entered into could cause the price of our Ordinary Shares to fall.</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There are currently 65,675,726 Ordinary Shares outstanding (including 5,000,000 earn-out shares which are subject to cancellation). Assuming the issuance of the maximum further Ordinary Shares of 64,414,896 Ordinary Shares that have been or will be registered, respectively in relation to our Warrants, the outstanding 2029 Convertible Notes, 2028 Convertible Notes, the 2026 Warrants, the 2025 Convertible Loan, the 2025 Options and the Ordinary Shares issuable under the management share and option bonus incentive plan through a separate registration statement on Form F-1 (Registration No. 333-293511) and up to 5 million Ordinary Shares to be issued under a SEPA entered into with a fund managed by Yorkville through another separate registration statement on Form F-1 (Registration No. 333-296006), a total of 130,090,622 Ordinary Shares would be outstanding. In addition, the Company has filed a registration statement on Form S-8 (Registration No. 333-296242) for up to 2.5 million Ordinary Shares to be issued under a Share Incentive Plan for managers, officers, directors and other employees of the SCHMID Group.</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The sales of that many securities, or even the perception that those sales might occur, could depress the market price of our Ordinary Shares and could impair our ability to raise capital through the sale of additional equity securities. We are unable to predict the effect that sales by Yorkville as selling securityholder or other selling securityholders may have on the prevailing market price of our Ordinary Shares but the sale of a large number of Ordinary Shares could result in a significant decline in the public trading price of our Ordinary Shares. A large portion of the Ordinary Shares are held or controlled by Anette Schmid and Christian Schmid, the majority shareholders for SCHMID. The 30,857,893 Ordinary Shares they together hold and control make up 50.86% of the shareholding of SCHMID (not accounting for 5,000,000 Earn-out Shares which have not vested yet and are subject to cancellation). The Ordinary Shares held by the majority shareholders are not subject to any lock-up arrangements. Additionally, a significant portion of the shares are held by XJ Harbour HK Limited which currently holds 10,162,575 Ordinary Shares which are also not subject to any lock-up.</w:t>
      </w:r>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Certain of our shareholders acquired their securities at a price that is less than the market price of our Ordinary Shares as of the date of this prospectus. As a result, such Selling Securityholders may earn a positive rate of return even if the price of our Ordinary Shares declines and may be willing to sell their shares at a price less than shareholders that acquired our shares in the public market.</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Certain of our shareholders, purchased their respective Ordinary Shares at prices lower than the current market price for our Ordinary Shares and may therefore experience a positive rate of return on their investment, even if our public shareholders, who invested approximately $10 per Ordinary Share prior to the Business Combination experience a negative rate of return on their investment.</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Christian Schmid and Anette Schmid (and thus the holding entities controlled by each of them which are now holding their shares), the majority and controlling shareholders of SCHMID, did not pay a cash amount for their Ordinary Shares, but contributed the shares of Gebr. Schmid GmbH in exchange for the Ordinary Shares at Closing of the Business Combination. At Closing, the valuation of the shares received was $11.42, which is the price to be considered the price at which they acquired the shares, though acquired by a contribution of shares rather than cash. In addition, Christian Schmid, Anette Schmid and Schmid Grundstücke GmbH &amp; Co KG (which is controlled by them) were issued Ordinary Shares against set-off of liabilities at a share price of $7.3309.</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XJ Harbour HK Limited did not pay a cash amount for their Ordinary Shares received at the Closing of the Business Combination, but agreed under a Subscription Agreement to sell their 24.1% stake in the Gebr. Schmid GmbH subsidiary Schmid Technology (Guangdong) Co., Ltd. to SCHMID for their Ordinary Shares and three cash payments by SCHMID. As their receipt of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200" w:right="200" w:hanging="0"/>
        <w:jc w:val="left"/>
        <w:rPr>
          <w:rFonts w:ascii="Times New Roman;Times;serif" w:hAnsi="Times New Roman;Times;serif"/>
          <w:sz w:val="20"/>
        </w:rPr>
      </w:pPr>
      <w:r>
        <w:rPr>
          <w:rFonts w:ascii="Times New Roman;Times;serif" w:hAnsi="Times New Roman;Times;serif"/>
          <w:sz w:val="20"/>
        </w:rPr>
        <w:t>SCHMID Group shares was negotiated as part of a payment for the stake in the SCHMID subsidiary, no price per share can be comparably ascribed on a per share basis to those shares received by XJ Harbour. In addition, in November 2025, XJ Harbour HK Limited and SCHMID Group N.V. agreed on the issuance of Ordinary Shares at a price of $2.15 per Ordinary Shares to offset all remaining cash payments (i.e the remaining two cash payments of the three cash payments originally agreed).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Pegasus Digital Mobility Sponsor LLC agreed to set off debt owed to them by Pegasus in exchange for Ordinary Shares, at an effective price of $5.10 per share.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addition, the private warrants held by Christian and Anette Schmid were transferred by Sponsor as part of the compensation under the Business Combination. Sir Ralf Speth, Dr. Stefan Berger, F. Jeremey Mistry, John Doherty, Jeffrey H. Foster, Steven Norris and Florian Wolf also received private warrants from Sponsor, for their role as directors and officers of Pegasus. Sponsor initially purchased the private placement warrants for $1 each. The private warrants are exercisable for one Ordinary Share at $11.50 each.</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addition, the 2025 Convertible Loan of EUR 2.5 million agreed with Black Forest Special Situations I is convertible at a price of $2.15 per Ordinary Shares and in addition Black Forest Special Situations I was granted 1.25 million options to purchase Ordinary Shares at an exercise price of $4.1956.</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addition, the 2028 Convertible Notes were issued in two $15 million tranches and are subject to a floating rate conversion price capped at a floor conversion price of $1.93 and a maximum conversion price of $9.65 per Ordinary Shares. As of the date of this registration statement, 2028 Convertible Notes in an aggregate principal amount of $18 million have been converted at share prices ranging from $4.8122 to $6.1573 per share. The 2026 Warrants are issued in two tranches and are also subject to an exercise price of $8.0125 per Ordinary Share.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Lastly, the Company issued 2029 Convertible Notes with aggregate principal amount of $20 million which are subject to a floating rate conversion price capped at a floor conversion price of $1.93 and a maximum conversion price of $10.50 per Ordinary Shares.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Based on the above prices paid by selling shareholders, and the variability of the relative prices of Ordinary Shares paid by selling shareholders who received their securities for non-cash consideration, certain shareholders would be able to recognize a greater return on their investment than shareholders that purchased Ordinary Shares in the public market, based on the closing price of our Ordinary Shares on the Nasdaq of $4.34 as of July 15, 2026. Furthermore, such shareholders may earn a positive rate of return even if the price of our Ordinary Shares declines further. As a result, such shareholders may, subject to the expiration of any lock-up restrictions, be willing to sell their shares at a price less than shareholders that acquired our shares in the public market or at higher prices than the price paid by such shareholders. The sale or possibility of sale of these Ordinary Shares, including those pursuant to this prospectus, could have the effect of increasing the volatility in the price of the Ordinary Shares or putting significant downward pressure on the price of the Ordinary Shares.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Cash proceeds associated with the exercise of warrants or options are dependent on stock price, currently the stock price is below the exercise price of our Public Warrants and Private Warrants and the company is unlikely to receive proceeds from the exercise of the warrants, further the Private Warrants may be exercised on a cashless basis, so the company may not receive cash for the exercise of the Private Warrants if they are in the money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Assuming the exercise of all Private Warrants our aggregate gross proceeds would be $112,125,000.00. If all Public and Private Warrants were exercised a total of $241,500,000.00 would be received by the Company. The likelihood that the holders of the Warrants will exercise them, and therefore that we should receive such an amount, is dependent upon the market price of our Ordinary Shares. Currently the SCHMID Ordinary Shares are trading well below the warrant exercise price of $11.50, exercise of these warrants by holders and receipt by the Company of any cash proceeds is therefore unlikely. Additionally, the Private Warrants can be exercised on a cashless basis, and should the share price rise to the exercise price or above, the Company may not receive cash proceeds in case of an exercise.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While the current price of the Ordinary Shares is below $11.50 (the strike price for the Warrants), the strike price for our 2025 Options (1.25 million options granted to Black Forest Special Situations I) is $4.1956 per share which is well below the current price of the Ordinary Shares. However, such warrants are exercisable until 2030, which means the Company may not receive any of proceeds from the 2025 Options in the near future or at all.</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Additionally, the strike price of the 2026 Warrants (warrants issued in connection with the issuance of our 2028 Convertible Notes) is $8.0125, which also means that the Company may not receive any proceeds from such 2026 Warrants in the near future or at all if the holders of the 2026 Warrants do not exercise them until they expire in 2028.</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Risks Related to Our Business, Technology, and Industry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In the markets and industries in which we operate, we face intense competition and our failure to compete successfully in product development may have an adverse effect on our business, financial condition, and results of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electronic industry in which we operate is highly competitive. We encounter competition from numerous and varied competitors in all areas of our business. For example, the electronics industry includes large Chinese players who often dominate equipment manufacturing as the market is highly commoditized, price driven and under the focus of the Chinese government, which seeks to implement favorable industry policy for local producers. Further, we face competition not only from competitors who manufacture similar products, but also those who may offer a variety of other alternative products. Additionally, industry consolidation may result in larger, more homogeneous, and potentially stronger competitors in the markets in which we compete in the future.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compete primarily on the basis of product quality, innovation, technology, brand reputation as well as through the services and support we offer. Our competitors may continue to develop their existing portfolios of products, introduce new products and enhance their existing products, which could cause a decline in market acceptance of our products. Our competitors may also improve their manufacturing processes or expand their manufacturing capacity, which could make it more difficult or costly for us to compete successfully. In addition, our competitors could enter into exclusive arrangements with our existing or potential customers or suppliers, which could limit our ability, or make it significantly more costly, to acquire necessary raw materials or to generate sales.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Some of our competitors may have or may obtain greater financial, technical, and marketing resources than we do. This would allow them to devote greater resources to promoting and selling certain products. Unlike many of our competitors who specialize in a single or limited number of product lines, we have a portfolio of businesses and must allocate resources across those businesses. As a result, we may invest less in certain areas of our business than our competitors invest which may lead to a competitive disadvantage.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Further, because some of our competitors are small divisions of large, international businesses, these competitors may have access to greater resources than we do and may therefore be better able to withstand a change in conditions within our industry or the economy as a whole.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Some of our competitors may also incur fewer expenses than we do in creating, marketing, and selling certain products and may face fewer risks in introducing new products to the market. This circumstance results from the nature of our business model, which is based on providing innovative and high-quality products, and therefore may require us to spend a proportionately greater amount on R&amp;D than some of our competitors. If our pricing, marketing resources or other factors are not sufficiently competitive, or if there is an adverse reaction to our product decisions, we may lose market share in certain areas, which could adversely affect our business, financial condition, and results of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Additionally, competitors could benefit from favorable tax regimes or additional governmental grants and subsidies. Certain of our competitors in various countries in which we do business, including China, may be owned by or affiliated with members of local governments and political entities. These competitors may receive special treatment with respect to regulatory compliance and product registration, while certain of our products, including those based on new technologies, may be delayed or even prevented from entering into the local market.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Escalating trade tensions, for example between the United States and China, can also lead to restrictions on the import and export of certain goods and technologies to or from certain countries. Further, additional trade import taxes or import duties can create disruption in competitiveness. Disruption in the global supply chain due to an escalation of trade tensions, the outbreak of war, a disease epidemic or other unexpected situation can cause certain services, goods and materials to be unavailable or in limited supply and can further limit production capability and result in an inability to produce equipment for customers within an acceptable timeframe and at the needed volume. Such disruptions can have a material impact on our business, results of operations and financial condition.</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are currently in the process of patenting the technology for embedded traces (“</w:t>
      </w:r>
      <w:r>
        <w:rPr>
          <w:rFonts w:ascii="Times New Roman;Times;serif" w:hAnsi="Times New Roman;Times;serif"/>
          <w:b/>
          <w:sz w:val="20"/>
        </w:rPr>
        <w:t>ET</w:t>
      </w:r>
      <w:r>
        <w:rPr>
          <w:rFonts w:ascii="Times New Roman;Times;serif" w:hAnsi="Times New Roman;Times;serif"/>
          <w:sz w:val="20"/>
        </w:rPr>
        <w:t>”) which we believe is the next level technology for high-end PCBs &amp; substrates. We believe we are the leading equipment maker in the market that is currently able to supply equipment for ET production. We saw noticeable growth in the high-end market in 2025 and generated our first substantial sales with ET technology. For 2026, we expect another increase in our sales in the area of ET technology. If competitors concentrate on the ET as well and develop either better or more cost competitive processes and machinery, we could fail to capture the growth we expect in the ET market, which could have a material adverse effect on our business, financial condition, and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reputation of our brand is an important company asset and is key to our ability to remain a trusted supplier of specialty products, equipment and services.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have maintained a strong reputation in the electronics industries for more than 50 years. Our products, equipment and services are associated with long-lasting and reliable high quality.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reputation of our brand is an important company asset and is key to our ability to remain a trusted supplier of specialty products, equipment and services and to attract and retain customers. Negative publicity regarding our company or actual, alleged, or perceived issues regarding one of our products or services, particularly given the high cost-of-failure nature of our products and services, could harm our relationships with customers and may adversely affect our credibility and our business.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business is dependent on the continued acceptance by our customers of our existing products and services and the value placed on them. If these products and services do not maintain market acceptance, our revenues may decrease. A portion of our sales originate from our worldwide customer-oriented services, which is an important element of our business. If we do not devote sufficient resources or are otherwise unsuccessful in assisting our customers effectively with the products sold to them, we could adversely affect our ability to retain existing customers and could discourage prospective customers from adopting our services. We may be unable to respond quickly enough to accommodate short-term increases in demand for customer support. We may also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are also continually investing in new product development to expand our offerings beyond our traditional products and services. Market acceptance of any new products or services may be affected by customer confusion surrounding our introduction of new products and services. Our expansion into new offerings may present increased risks and efforts to expand beyond our traditional products and services may not succeed. However, if we do not continue to innovate and provide innovative machinery and technological solutions that are competitive within our industry, we may lose customers, and our revenues and results of operations could suffer.</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Through our products, we have established ourselves as one of the leaders in quality and innovation in the markets in which we operate. For that reason, our customers are willing to pay above market prices for our machinery and technological solutions. If we do not continue to innovate and provide innovative machinery and technological solutions that are competitive within our industry, our customers may no longer be willing to pay above market price for our machinery and technological solutions or may move to our competitors. Our customers moving to our competitors could have a material adverse effect on our business, financial condition, and results of operations.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In addition, our business is subject to constant and rapid technological change, product obsolescence, price erosion, evolving standards, and raw material price fluctuations. The industry is currently affected by localization and a shift in customers’ businesses. In particular, there is currently a reorganization of the global supply chain underway, with a focus on decreasing dependency on China. The trends and characteristics in these industries may cause significant fluctuations in our results of operations and cash flows and have a material adverse effect on our financial condition. Our growth and success depend upon our ability to enhance our existing products and services and to develop and introduce new products and services to keep pace with such changes and developments and to meet changing customer needs and preferences. However, newer products or services may not achieve market acceptance if current or potential customers do not value the benefits of using our products, do not achieve favorable results using our products, use their budgets for different products, experience difficulties in using our products, or believe that our products are not cutting edge or do not add as much value as our competition’s products. If these newer products and services do not achieve market acceptance, there could be a material adverse effect on our business, financial condition, and results of operations and our profitability could decline. Additionally, changes, including technological changes, in our customers’ products or processes may make our specialty machines unnecessary or reduce the quantity of our specialty machines needed for a given product or process, which would reduce the demand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for such. We have had, and may continue to have, customers who find alternative materials or processes and therefore no longer require our products, which could have a material adverse effect on our business, financial condition, and results of operations. Further, our plans for operating our business and leading further growth include adding new products and services. These investments could contribute to losses, and we cannot guarantee whether or when any of these plans will be successful with customers or result in an improvement in profits for our business.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addition, we may fail to anticipate the impact of new and emerging technology or changes in trends, fail to accurately determine market demand for new products and services, experience cost overruns, delays in delivery or performance problems, or create market confusion by making changes to our existing products and services. If we are not successful in obtaining acceptance for new products or services, demand for our products and services may decline and/or we may not be able to grow our business or growth may occur more slowly than we anticipate. Some of our current or future products or services could also be rendered obsolete as a result of competitive offerings or market shifts. Furthermore, if our customers deviate from the envisaged timeline for the introduction of new technology, the sales of our newer products could be adversely affected. Failure to anticipate or quickly adapt to changes in our customers’ product introduction timelines could have a material adverse effect on our business, financial condition, and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Our profitability could suffer if our cost management strategies are unsuccessful, or our competitors develop an advantageous cost structure that we cannot match.</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ability to improve or maintain our profitability is dependent on our ability to successfully manage our costs. Our cost management strategies include maintaining appropriate alignment between the price of raw materials, the demand for our offerings and our resource capacity and maintaining or improving our sales and marketing and general and administrative costs as a percentage of revenues. If our cost management efforts are not successful, our efficiency may suffer, and we may not achieve desired levels of profitability. In addition, we may not be able to implement our cost management efforts in a manner that permits us to realize the cost savings we anticipate in the time, manner, or amount we currently expect, or at all due to a variety of risks, including, but not limited to, difficulties in integrating shared services within our business, higher than expected employee severance or retention costs, higher than expected overhead expenses, delays in the anticipated timing of activities related to our cost savings plans, and other unexpected costs associated with operating our business. If we are not effective in managing our operating costs in response to changes in demand or pricing, or if we are unable to absorb or pass on increases in the compensation of our employees or costs of raw materials, we may not be able to invest in our business in an amount necessary to achieve our planned rates of growth, and our business, financial condition, and results of operations could be materially adversely affected.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It may be possible for our current or future competitors to gain an advantage in product technology, manufacturing technology, or process technology, which may allow them to offer products or services that have a significant advantage over our offerings. Advantages could be in price, capacity, performance, reliability, serviceability, industry standards or formats, brand and marketing, or other attributes. If we do not compete successfully by developing and deploying new cost-effective products, processes, and technologies on a timely basis and by adapting to changes in our industry and the global economy, there could be a material adverse effect on our business, financial condition, and results of operations. Similarly, our products are used by manufacturers of component parts for a variety of industries. To the extent these industries become more sensitive to input costs, we may face price pressure. Our ability to respond to such pressures depends on the strength and viability of our internal cost management and pricing programs. Any failure of these programs could have a material adverse effect on our business, financial condition, and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If we fail to continuously develop new, improved and more cost-effective technologies and products, this could have a material adverse effect on our business, financial condition and results of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depend on our continued ability to develop new, improved and more cost-effective technologies and products, to produce the same in a cost-effective manner and to commercialize and distribute new products successfully. The trend towards commoditization and standardization in some of our markets is further increasing the importance of research and development as we need to offer specialized products that are offering higher value to customers in order to achieve satisfactory margins.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We may not be able to successfully and constantly adapt, expand and improve our research and development activities, product portfolio and our marketing strategy in a timely manner and to the necessary extent, or may lack the capacity to invest the required level of human or financial resources in the development of new products required to respond to the existing trends and future changes. Competitors, in particular those with greater financial resources, might be able to outperform us by developing new technologies or products with favorable characteristics. In addition, the market for a newly developed technology or product may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unexpectedly decline or could even disappear. In such case, all or part of our investments in the development of the relevant technology or product, which might be substantial, may be lost.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we fail to continuously develop new, improved and more cost-effective technologies and products and to constantly adapt our research and development activities, product portfolio and marketing strategy to new trends and technological changes, this could have a material adverse effect on our business, financial condition and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Our direct customers and their direct and indirect customers face numerous competitive challenges, which may materially adversely affect their business and ours.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Factors adversely affecting our direct customers and their direct and indirect customers may also adversely affect us. These factors include recessionary periods in their markets, their inability to adapt to rapidly changing technology and evolving industry standards, their inability to develop, market, or gain commercial acceptance of their products, some of which are new and untested and their products becoming commoditized or obsolete. Some of our customers are also subject to a highly competitive consumer products industry, which may have shorter product lifecycles, shifting end-user preferences, and higher revenue volatility.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our customers or our customers’ direct and indirect customers in the ultimate end-markets are unsuccessful in addressing these competitive challenges, their businesses may be materially adversely affected, reducing the demand for our offerings, decreasing our revenues, or altering our production cycles and inventory management, each of which could have a material adverse effect on our business, financial condition, and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Our revenue, earnings, and other operating results have fluctuated in the past and may fluctuate in the future.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demand for our products fluctuates as a result of economic conditions or for other reasons, our revenue and profitability could be impacted. Our future operating results will depend on many factors, including the following:</w:t>
      </w:r>
    </w:p>
    <w:tbl>
      <w:tblPr>
        <w:tblW w:w="7161" w:type="dxa"/>
        <w:jc w:val="left"/>
        <w:tblInd w:w="200" w:type="dxa"/>
        <w:tblLayout w:type="fixed"/>
        <w:tblCellMar>
          <w:top w:w="28" w:type="dxa"/>
          <w:left w:w="28" w:type="dxa"/>
          <w:bottom w:w="28" w:type="dxa"/>
          <w:right w:w="28" w:type="dxa"/>
        </w:tblCellMar>
      </w:tblPr>
      <w:tblGrid>
        <w:gridCol w:w="124"/>
        <w:gridCol w:w="256"/>
        <w:gridCol w:w="6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political, and macroeconomic changes, and the overall global economy;</w:t>
            </w:r>
          </w:p>
        </w:tc>
      </w:tr>
    </w:tbl>
    <w:tbl>
      <w:tblPr>
        <w:tblW w:w="2781" w:type="dxa"/>
        <w:jc w:val="left"/>
        <w:tblInd w:w="200" w:type="dxa"/>
        <w:tblLayout w:type="fixed"/>
        <w:tblCellMar>
          <w:top w:w="28" w:type="dxa"/>
          <w:left w:w="28" w:type="dxa"/>
          <w:bottom w:w="28" w:type="dxa"/>
          <w:right w:w="28" w:type="dxa"/>
        </w:tblCellMar>
      </w:tblPr>
      <w:tblGrid>
        <w:gridCol w:w="124"/>
        <w:gridCol w:w="256"/>
        <w:gridCol w:w="2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wars or public health crises;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confidence caused by many factors, including changes in interest rates, credit markets, expectations for inflation, unemployment levels, and energy or other commodity prices;</w:t>
            </w:r>
          </w:p>
        </w:tc>
      </w:tr>
    </w:tbl>
    <w:tbl>
      <w:tblPr>
        <w:tblW w:w="6396" w:type="dxa"/>
        <w:jc w:val="left"/>
        <w:tblInd w:w="20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demand for our customers’ and their customers’ products;</w:t>
            </w:r>
          </w:p>
        </w:tc>
      </w:tr>
    </w:tbl>
    <w:tbl>
      <w:tblPr>
        <w:tblW w:w="6471" w:type="dxa"/>
        <w:jc w:val="left"/>
        <w:tblInd w:w="20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forecast our customers’ demand for our products accurately;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anticipate secular trends that affect demand for our products and the degree to which those trends materialize;</w:t>
            </w:r>
          </w:p>
        </w:tc>
      </w:tr>
    </w:tbl>
    <w:tbl>
      <w:tblPr>
        <w:tblW w:w="9096" w:type="dxa"/>
        <w:jc w:val="left"/>
        <w:tblInd w:w="20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cost savings and improve yields and margins on our new and existing products; and</w:t>
            </w:r>
          </w:p>
        </w:tc>
      </w:tr>
    </w:tbl>
    <w:tbl>
      <w:tblPr>
        <w:tblW w:w="9261" w:type="dxa"/>
        <w:jc w:val="left"/>
        <w:tblInd w:w="200" w:type="dxa"/>
        <w:tblLayout w:type="fixed"/>
        <w:tblCellMar>
          <w:top w:w="28" w:type="dxa"/>
          <w:left w:w="28" w:type="dxa"/>
          <w:bottom w:w="28" w:type="dxa"/>
          <w:right w:w="28" w:type="dxa"/>
        </w:tblCellMar>
      </w:tblPr>
      <w:tblGrid>
        <w:gridCol w:w="124"/>
        <w:gridCol w:w="256"/>
        <w:gridCol w:w="8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utilize our capacity efficiently or acquire additional capacity in response to customer demand.</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It is likely that our future operating results could be adversely affected by one or more of the factors set forth above or other similar factors. If our future operating results are below the expectations of stock market analysts or our investors, our stock price may decline.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Any disruptions to our supply chain, significant increase in material costs, or shortages of critical components, could adversely affect our business and result in increased costs.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Any disruptions to our supply chain, significant increases in the cost of materials or shortages of critical components, could adversely affect our business and result in increased costs. Such a disruption could occur as a result of any number of events, including, but not limited to: military conflicts, increasing oil price and subsequent price increases in our supply chain, market shortages due to surge in demand for any particular part or component, increases in prices or impact of inflation, the imposition of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regulations, quotas or embargoes on components, labor stoppages, transportation delays or failures affecting the supply chain and shipment of materials and finished goods, supply bottlenecks resulting from plant closures and production adjustments due to public health crises, such as pandemics and epidemics, third-party interference in the integrity of the parts and components sourced through the supply chain, the unavailability of raw materials, severe weather conditions, adverse effects of climate change, natural disasters, geopolitical developments, war or terrorism, and disruptions in utilities and other services. In addition, any future updates or modifications to the anticipated design of SCHMID products may increase the number of parts and components we would be required to source and increase the complexity of our supply chain management. Failure to effectively manage the supply of parts and components could materially and adversely affect our results of operations, financial condition and prospects.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Any continued decline or disruption in the electronics markets, the electronics market supplying the artificial intelligence industry in particular or any economic downturn or uncertainty, in particular in Europe and Asia, could materially adversely affect our business, results of operations, and financial condition.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recent years, we have generated our revenues in the USA, China, the rest of Asia, and Europe. Any continued decline or disruptions in those markets, especially in respect to the electronics market, could have a direct impact on our business. Trends in nearshoring global semiconductor supply chains could also directly impact our business as customers may choose to move to competitors whose production facilities are closer to their factories. We have also historically been impacted by economic declines or disruptions in those markets, for example the outbreak of the COVID-19 pandemic which led to severe interruptions to business operations generally and within China in particular. Any similar decline or disruption in the future could materially adversely affect our business, results of operations, and financial condition. Current significant drivers of the electronics market include the large investments related to the fast growing artificial intelligence industry, specifically into servers, datacenters and electronic components such as chips. If this growth decreases or investments decrease or don’t create the expected returns our growth and financial results may be negatively impacted.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performance also depends on the financial health and strength of our customers, which in turn is dependent on the economic conditions of the markets in which we and our customers operate. Declines or uncertainties in Europe, the United States, China and other global economies may lead customers to delay or reduce purchases of our products and services as they take measures to reduce their operating costs, including by delaying the development or launch of new products and brands and/or reducing R&amp;D spending generally.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are also sensitive to general trends and changes in the key markets we serve. Some of these markets, including the market for substrate manufacturing, exhibit a degree of cyclicality. Decisions to purchase our products and equipment are largely the result of the performance of these and other end-markets. If demand for output in these end-markets decreases, demand for our offerings will decrease as well. Demand for the products produced by customers in our end-markets is impacted by numerous factors, including macroeconomic conditions, prices of commodities, rates of infrastructure spending, consumer confidence and spending, labor conditions, and fuel costs, among others. For example, public skepticism of autonomous driving may negatively impact the demand for high-frequency sensors, which could result in decreased demand for our products. Increases or decreases in these variables globally may significantly impact the demand for our offerings and could have a material adverse effect on our business, financial condition, and results of operations. If we are unable to accurately predict demand in our end-markets or of the customers we serve, we may be unable to meet our customers’ needs, resulting in the loss of potential sales.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addition, mergers or consolidations among our customers could reduce the number of our customers and potential customers. Consolidation in certain industries that we serve might also adversely affect or otherwise impact our revenues even if these events do not reduce the activities of the consolidated entities. When entities consolidate, overlapping services previously purchased separately are usually purchased only once by the consolidated entity, leading to loss of revenues. In addition, consolidated entities can better negotiate pricing terms while reducing spending on other services that were previously purchased by one of the merged or consolidated entities which may be deemed unnecessary or cancelled. Any such developments among our customers could have material adverse effect on our business, financial condition, and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Most of our revenue is derived from our electronics business and while we believe that the business we operate in will grow significantly in the future, this may not materialize which could mean that we fail to reach our projected revenues and profitability which we measure on an Adjusted EBITDA basis.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While we focus on several sectors such as electronics, defense, and photovoltaic technologies, the majority of our revenue is achieved from our business with electronics customers. If one or more of the products and services we offer in this business area does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 xml:space="preserve">not continue to remain profitable or we fail to maintain the quality of the products we offer for any reason, our business, financial condition, and results of operations may be materially adversely affected. In particular, we believe the market for high-end PCB equipment and especially the market for panel-level packaging (PLP) will grow substantially. In 2025, general downturns in market demand, particularly in China, resulted in lower than forecasted revenues and liquidity issues for the Company. If the electronics market, specifically the PLP or high-end PCB markets, behave differently than expected, if for instance traditional process technologies or other new technologies continue to capture most or all of the high-end PCB equipment market, the Company may fail to realize expected revenues. That could have a material adverse effect on the business, financial condition, and results of operations.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future business plans are formulated on the expectation of positive long-term trends and drivers in the market in which we operate. Key drivers of this growth are technologies such as AI server boards and boards for high performance computing applications. If our expectations and estimates are not correct or do not materialize in the manner in which we anticipate, this could have a negative impact on our future business plans and results of operations. In particular, our current projections for our revenues and Adjusted EBITDA for fiscal year 2026 are, and our past projections for past fiscal years were, based on our assessments at the time of the macroeconomic conditions in our key target markets and in particular the development of the electronics businesses and significant customer orders. While we based our projections on market trends and discussions with key customers as well as our order backlog as of December 31, 2025, the forecasted revenues and Adjusted EBITDA may not materialize as our forecasts are based on various external factors (e.g. global tariff policies, supply chain issues, or non-materialization of orders due to customers’ strategic reorientation) or delays in order timing and other factors such as competitors getting orders which the Company expected to receive.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Difficult and volatile conditions in the capital, credit and commodities markets and in the overall economy could have a material adverse effect on our business, financial condition, results of operations, and cash flows.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Difficult global economic conditions, including concerns about sovereign debt and significant volatility in the capital, credit, and commodities markets, could have a material adverse effect on our business, financial condition, results of operations, and cash flows. These global economic factors, combined with low levels of business and consumer confidence and high levels of unemployment, precipitated a slow recovery from the global recession and from time to time create a concern about a return to recessionary conditions. These difficult conditions and the overall economy can affect our business in several ways. For example:</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volatility in commodity prices, we may encounter difficulty in achieving sustained market acceptance of past or future price increases, which could have a material adverse effect on our business, financial condition, results of operations, and cash flows;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respond to market conditions, we may need to seek waivers from certain provisions in financing agreements, and in such case, there can be no assurance that we can obtain such waivers at a reasonable cost, if at all;</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could cause the counterparties to the derivative financial instruments we may use to hedge our exposure to interest rate, commodity, or currency fluctuations to experience financial difficulties and, as a result, our efforts to hedge these exposures could prove unsuccessful and, furthermore, our ability to engage in additional hedging activities may decrease or become more costly;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could result in our key customers experiencing financial difficulties and/or electing to limit spending, which in turn could result in decreased sales and earnings for us.</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general, downturns in economic conditions can cause fluctuations in demand for our products, product prices, volumes, and margins. Future economic conditions may not be favorable to our industry and future growth in demand for our products, if any, may not be sufficient to alleviate any existing or future conditions of excess industry capacity. A decline in the demand for our products or a shift to lower margin products due to deteriorating economic conditions could have a material adverse effect on our business, financial condition, and results of operations and could also result in impairments of certain of our assets. We do not know if market conditions or the state of the overall economy will maintain its current course, improve, or decline in the near term. We cannot provide assurance that any decline in economic conditions or economic downturn in one or more of the geographic regions in which we sell our products would not have a material adverse effect on our business, financial condition, and results of operations.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Foreign currency exchange rate fluctuations and volatility in global currency markets could have a material adverse effect on our business, financial condition, and results of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consolidated financial statements are presented in Euros. Our international sales and operations expose us to fluctuations in foreign currency exchange rates. These movements in exchange rates may cause our revenues and expenses to fluctuate, impacting our profitability and cash flows and our results generally.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 significant portion of our costs and the majority of our revenues are denominated in currencies other than the Euro, with most of our non-Euro denominated revenues being in RMB and USD while most of our costs being denominated in Euro. While most of our RMB revenues are matched by RMB costs, a weakening of the USD against the EUR and to a lesser extent a weaking of the RMB against the EUR, could have a negative effect on our results of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These risks related to exchange rate fluctuations and currency volatility may increase in future periods as our operations outside of Europe continue to expand. Consequently, our business, financial condition, and results of operations may be materially adversely affected by fluctuations in currency exchange rates.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Natural disasters, catastrophes, fire, or other unexpected events could have a material adverse effect on our business, financial condition, and results of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Many of our business activities involve substantial investments in manufacturing facilities. These facilities could be materially damaged by natural disasters, such as floods, tornadoes, hurricanes, and earthquakes, or by catastrophes, fire or other unexpected events such as adverse weather conditions or other disruptions to our facilities, supply chain, or our customers’ facilities. We could incur uninsured losses and liabilities arising from any such events, including damage to our reputation, and/or suffer severe impairments to our operational capacity, which could have a material adverse impact on our business, financial condition, and results of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Any natural disaster, catastrophe, fire, or other unexpected event could result in personal injury and loss of life, damage to property, and contamination of the environment, which may result in a shutdown of our facilities, suspension of operations, and the imposition of civil or criminal fines, penalties and other sanctions, cleanup costs, and claims by governmental entities or third parties. We are dependent on the continued operation of our production facilities, and the loss or shutdown of operations over an extended period at any of our other major operating facilities could have a material adverse effect on our business, financial condition, and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If we fail to retain existing key customers, or if our key customers fail to grow their own sales in the future, our business, results of operations, and financial condition could be materially adversely affected.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have a concentrated customer base and are dependent on a small number of significant customers in the technology sector for a large percentage of our sales and revenue. For fiscal year 2025, the two largest customers measured in terms of sales volume represented approximately 19% of our revenues and the ten largest customers represented approximately 60% of our revenues. For the fiscal year 2025, we had more than 70 customers, similar to the year before. If we fail to retain these key customers or if we fail to replace orders in one period from key customers with orders from other customers in subsequent periods our own results could be materially adversely impacted.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After introducing our products into their operations, our customers often become highly dependent on our continued provision of products and services. This means that a part of our revenue is derived from subsequent business following the original customer purchase. If such customers were to switch to other providers, we would lose revenue from both initial business as well as subsequent business from follow-on sales and services.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Further, our key customers may fail to grow their own sales in the future, which may result in withdrawing from business with us. Loss of any such customer or any disruption in our relationship with such customers could result in decreased revenues. If we are unable to replace revenue generated by one or more of our major customers, our revenue may significantly decrease, which would have a material adverse effect on our business, financial condition, and results of operations.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Our business, financial condition, and results of operations could be adversely affected by decreases in the average selling prices of products.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Decreases in the average selling prices of our products may have a material adverse effect on our business, financial condition, and results of operations. Our ability to maintain or increase our profitability will continue to be dependent, in large part, upon our ability to offset decreases in average selling prices by improving production efficiency or by shifting to higher margin products. In the past, we have elected to discontinue selling certain products as a result of sustained material decreases in the selling price of such products and our inability to effectively offset such decrease through shifts in operations. If we are unable to respond effectively to decreases in the average selling prices of our products in the future, our business, financial condition, and results of operations could be materially adversely affected. Further, while we may elect to discontinue products that are significantly affected by such price decreases, we can provide no assurance that any such discontinuation will mitigate the related declines in our financial condition.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may be required to record an impairment charge on our accounts receivable if we are unable to collect the outstanding balances from our customers.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typically pre-finance a large portion of development services and resources for manufacturing customer-specific products and frequently sell products and services to customers on credit. While we carry out credit checks for our customers and generally require down payments for orders, there is a risk of delay for payments of the remaining amounts or that customers do not fulfil their payment obligations in full. We estimate the collectability of our accounts receivable based on our analysis of the accounts receivable, historical bad debts, customer creditworthiness, and current economic trends. We continuously monitor collections from our customers and maintain adequate impairment allowance for doubtful accounts. However, if the bad debts significantly exceed our impairment allowance, we may be required to record an impairment charge and our business, financial condition, and results of operations could be materially adversely affected.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Economic, financial, geopolitical, epidemiological, or other conditions could result in business disruptions which could seriously harm our future revenue and financial condition and increase our costs and expenses.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Concerns over inflation, geopolitical issues, the U.S. financial markets, foreign exchange rates, capital and exchange controls, unstable global credit markets and financial conditions, supply chain disruptions and economic issues have led to periods of significant economic instability, declines in consumer confidence and discretionary spending, diminished expectations for the global economy and expectations of slower global economic growth going forward, and increased unemployment rates. Our general business strategy may be adversely affected by any such economic downturn, volatile business environment and continued unstable or unpredictable economic and market conditions. If these conditions continue to deteriorate or do not improve, it may make any necessary debt or equity financing more difficult to complete, more costly and more dilutive. In addition, there is a risk that one or more of our current or future service providers, manufacturers, suppliers and other partners could be negatively affected by difficult economic times, which could adversely affect our ability to attain our operating goals on schedule and on budget or meet our business and financial objectives.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operations, and those of third-party contractors and consultants upon which we rely, could be subject to wildfires, earthquakes, tsunamis, power shortages or outages, floods or monsoons, public health crises, such as pandemics and epidemics, political crises, such as terrorism, war (including trade wars), political instability or other conflicts, and other natural or man-made disasters or other events outside of our control that could disrupt our business. Armed conflicts in the Middle East and Ukraine, as well as instability in South America or other political or military threats may have negative impacts on economies and financial markets. Those can be caused by sanctions, restrictions on selling or importing goods, services or technology in or from affected regions and travel bans and asset freezes impacting connected individuals and political, military, business and financial organizations. It is not possible to predict further actions by countries involved and the broader consequences of any war or conflict, which could include further sanctions, embargoes, regional instability, geopolitical shifts and adverse effects on macroeconomic conditions, currency exchange rates and financial markets, all of which could impact our business, financial condition and results of operations.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The occurrence of any of these business disruptions could seriously harm our operations and financial condition and increase our costs and expenses. Our ability to obtain supplies and materials for the production of our products could be disrupted if the operations of our suppliers are affected by a man-made or natural disaster or other business interruption. Damage or extended periods of interruption to our corporate, development or research facilities due to fire, natural disaster, power loss, communications failure, unauthorized entry or other events could cause us to cease or delay the marketing or development of some or all of our products and services. Although we maintain property damage and business interruption insurance coverage, our business, financial condition, and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results of operations may be seriously harmed should the losses we suffer as a result of such property damage and/or business interruption substantially exceed our insurance coverage and we are required to make up for this shortfall.</w:t>
      </w:r>
    </w:p>
    <w:p>
      <w:pPr>
        <w:pStyle w:val="TextBody"/>
        <w:bidi w:val="0"/>
        <w:spacing w:before="0" w:after="200"/>
        <w:ind w:left="200" w:right="200" w:hanging="0"/>
        <w:jc w:val="left"/>
        <w:rPr>
          <w:rFonts w:ascii="Times New Roman;Times;serif" w:hAnsi="Times New Roman;Times;serif"/>
          <w:b/>
          <w:sz w:val="20"/>
        </w:rPr>
      </w:pPr>
      <w:r>
        <w:rPr>
          <w:rFonts w:ascii="Times New Roman;Times;serif" w:hAnsi="Times New Roman;Times;serif"/>
          <w:b/>
          <w:sz w:val="20"/>
        </w:rPr>
        <w:t>Risks Related to our Operations</w:t>
      </w:r>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Our global operations subject us to increased risks.</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We have global operations and, accordingly, our business is subject to risks resulting from differing legal and regulatory requirements, political, social, and economic conditions, and unforeseeable developments in a variety of jurisdictions. We have a significant presence in several major regions, including certain emerging markets such as China, and we plan to continue and diversify our global expansion. Our global operations are subject to the following risks, among others:</w:t>
      </w:r>
    </w:p>
    <w:p>
      <w:pPr>
        <w:pStyle w:val="TextBody"/>
        <w:bidi w:val="0"/>
        <w:spacing w:before="0" w:after="20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international trade disputes that could result in tariffs or other protectionist measures;</w:t>
      </w:r>
    </w:p>
    <w:tbl>
      <w:tblPr>
        <w:tblW w:w="5646" w:type="dxa"/>
        <w:jc w:val="left"/>
        <w:tblInd w:w="20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instability, including regime changes, and corruption;</w:t>
            </w:r>
          </w:p>
        </w:tc>
      </w:tr>
    </w:tbl>
    <w:tbl>
      <w:tblPr>
        <w:tblW w:w="5496" w:type="dxa"/>
        <w:jc w:val="left"/>
        <w:tblInd w:w="20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acts of terrorism and military actions in response to such acts;</w:t>
            </w:r>
          </w:p>
        </w:tc>
      </w:tr>
    </w:tbl>
    <w:tbl>
      <w:tblPr>
        <w:tblW w:w="6651" w:type="dxa"/>
        <w:jc w:val="left"/>
        <w:tblInd w:w="200" w:type="dxa"/>
        <w:tblLayout w:type="fixed"/>
        <w:tblCellMar>
          <w:top w:w="28" w:type="dxa"/>
          <w:left w:w="28" w:type="dxa"/>
          <w:bottom w:w="28" w:type="dxa"/>
          <w:right w:w="28" w:type="dxa"/>
        </w:tblCellMar>
      </w:tblPr>
      <w:tblGrid>
        <w:gridCol w:w="124"/>
        <w:gridCol w:w="256"/>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military conflicts and negative impact on our global logistics requirements;</w:t>
            </w:r>
          </w:p>
        </w:tc>
      </w:tr>
    </w:tbl>
    <w:tbl>
      <w:tblPr>
        <w:tblW w:w="8166" w:type="dxa"/>
        <w:jc w:val="left"/>
        <w:tblInd w:w="20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changes in regulatory environments and government interference in the economy;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economic sanctions laws and regulations, including regulatory exemptions that currently authorize certain of our limited dealings involving sanctioned countries;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increasingly stringent laws related to privacy and consumer and data protection, including the EU General Data Protection Regulation and US State privacy and security breach notification laws;</w:t>
            </w:r>
          </w:p>
        </w:tc>
      </w:tr>
    </w:tbl>
    <w:tbl>
      <w:tblPr>
        <w:tblW w:w="5046" w:type="dxa"/>
        <w:jc w:val="left"/>
        <w:tblInd w:w="20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unrest, crime, strikes, riots and civil disturbances;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varying tax regimes, including with respect to the imposition of confiscatory taxes, other unexpected taxes, or withholding taxes on remittances and other payments by our partnerships or subsidiaries;</w:t>
            </w:r>
          </w:p>
        </w:tc>
      </w:tr>
    </w:tbl>
    <w:tbl>
      <w:tblPr>
        <w:tblW w:w="9696" w:type="dxa"/>
        <w:jc w:val="left"/>
        <w:tblInd w:w="200" w:type="dxa"/>
        <w:tblLayout w:type="fixed"/>
        <w:tblCellMar>
          <w:top w:w="28" w:type="dxa"/>
          <w:left w:w="28" w:type="dxa"/>
          <w:bottom w:w="28" w:type="dxa"/>
          <w:right w:w="28" w:type="dxa"/>
        </w:tblCellMar>
      </w:tblPr>
      <w:tblGrid>
        <w:gridCol w:w="124"/>
        <w:gridCol w:w="256"/>
        <w:gridCol w:w="9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labor regulations, particularly in Germany and China where we have a significant number of employees;</w:t>
            </w:r>
          </w:p>
        </w:tc>
      </w:tr>
    </w:tbl>
    <w:tbl>
      <w:tblPr>
        <w:tblW w:w="3321" w:type="dxa"/>
        <w:jc w:val="left"/>
        <w:tblInd w:w="200" w:type="dxa"/>
        <w:tblLayout w:type="fixed"/>
        <w:tblCellMar>
          <w:top w:w="28" w:type="dxa"/>
          <w:left w:w="28" w:type="dxa"/>
          <w:bottom w:w="28" w:type="dxa"/>
          <w:right w:w="28" w:type="dxa"/>
        </w:tblCellMar>
      </w:tblPr>
      <w:tblGrid>
        <w:gridCol w:w="124"/>
        <w:gridCol w:w="256"/>
        <w:gridCol w:w="2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rising wages and rates of inflation;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foreign currency exchange rates and foreign exchange controls and restrictions on repatriation of funds;</w:t>
            </w:r>
          </w:p>
        </w:tc>
      </w:tr>
    </w:tbl>
    <w:tbl>
      <w:tblPr>
        <w:tblW w:w="6576" w:type="dxa"/>
        <w:jc w:val="left"/>
        <w:tblInd w:w="200" w:type="dxa"/>
        <w:tblLayout w:type="fixed"/>
        <w:tblCellMar>
          <w:top w:w="28" w:type="dxa"/>
          <w:left w:w="28" w:type="dxa"/>
          <w:bottom w:w="28" w:type="dxa"/>
          <w:right w:w="28" w:type="dxa"/>
        </w:tblCellMar>
      </w:tblPr>
      <w:tblGrid>
        <w:gridCol w:w="124"/>
        <w:gridCol w:w="256"/>
        <w:gridCol w:w="6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outbreak of disease pandemics and responsive governmental measures;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collect payments, or seek recourse under, or comply with ambiguous or vague commercial or other laws;</w:t>
            </w:r>
          </w:p>
        </w:tc>
      </w:tr>
    </w:tbl>
    <w:tbl>
      <w:tblPr>
        <w:tblW w:w="9636" w:type="dxa"/>
        <w:jc w:val="left"/>
        <w:tblInd w:w="200" w:type="dxa"/>
        <w:tblLayout w:type="fixed"/>
        <w:tblCellMar>
          <w:top w:w="28" w:type="dxa"/>
          <w:left w:w="28" w:type="dxa"/>
          <w:bottom w:w="28" w:type="dxa"/>
          <w:right w:w="28" w:type="dxa"/>
        </w:tblCellMar>
      </w:tblPr>
      <w:tblGrid>
        <w:gridCol w:w="124"/>
        <w:gridCol w:w="256"/>
        <w:gridCol w:w="9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in obtaining, or denial of, export licenses or delay or interruption of the transportation of our products;</w:t>
            </w:r>
          </w:p>
        </w:tc>
      </w:tr>
    </w:tbl>
    <w:tbl>
      <w:tblPr>
        <w:tblW w:w="4746" w:type="dxa"/>
        <w:jc w:val="left"/>
        <w:tblInd w:w="20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protections for intellectual property rights;</w:t>
            </w:r>
          </w:p>
        </w:tc>
      </w:tr>
    </w:tbl>
    <w:tbl>
      <w:tblPr>
        <w:tblW w:w="9756" w:type="dxa"/>
        <w:jc w:val="left"/>
        <w:tblInd w:w="200" w:type="dxa"/>
        <w:tblLayout w:type="fixed"/>
        <w:tblCellMar>
          <w:top w:w="28" w:type="dxa"/>
          <w:left w:w="28" w:type="dxa"/>
          <w:bottom w:w="28" w:type="dxa"/>
          <w:right w:w="28" w:type="dxa"/>
        </w:tblCellMar>
      </w:tblPr>
      <w:tblGrid>
        <w:gridCol w:w="124"/>
        <w:gridCol w:w="256"/>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risk of cybersecurity incidents and cyberattacks from third-party and state actors and privacy violations;</w:t>
            </w:r>
          </w:p>
        </w:tc>
      </w:tr>
    </w:tbl>
    <w:tbl>
      <w:tblPr>
        <w:tblW w:w="6756" w:type="dxa"/>
        <w:jc w:val="left"/>
        <w:tblInd w:w="200" w:type="dxa"/>
        <w:tblLayout w:type="fixed"/>
        <w:tblCellMar>
          <w:top w:w="28" w:type="dxa"/>
          <w:left w:w="28" w:type="dxa"/>
          <w:bottom w:w="28" w:type="dxa"/>
          <w:right w:w="28" w:type="dxa"/>
        </w:tblCellMar>
      </w:tblPr>
      <w:tblGrid>
        <w:gridCol w:w="124"/>
        <w:gridCol w:w="256"/>
        <w:gridCol w:w="6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attracting and retaining qualified management and employees;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credit risk and different financial conditions of customers and distributors may necessitate longer payment cycles of accounts receivable or result in increased bad debt write-offs (including due to bankruptcy) or additions to reserves;</w:t>
            </w:r>
          </w:p>
        </w:tc>
      </w:tr>
    </w:tbl>
    <w:tbl>
      <w:tblPr>
        <w:tblW w:w="9561" w:type="dxa"/>
        <w:jc w:val="left"/>
        <w:tblInd w:w="200" w:type="dxa"/>
        <w:tblLayout w:type="fixed"/>
        <w:tblCellMar>
          <w:top w:w="28" w:type="dxa"/>
          <w:left w:w="28" w:type="dxa"/>
          <w:bottom w:w="28" w:type="dxa"/>
          <w:right w:w="28" w:type="dxa"/>
        </w:tblCellMar>
      </w:tblPr>
      <w:tblGrid>
        <w:gridCol w:w="124"/>
        <w:gridCol w:w="25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business practices, which may require us to enter into agreements that include non-standard terms; and</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penetrating new markets due to entrenched competitors, lack of recognition of our brand, and lack of local acceptance of our products and services.</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overall success as a global business depends, in part, on our ability to anticipate and effectively manage these risks, but there can be no assurance that we will be able to do so without incurring unexpected costs. If we are not able to manage the risks related to our international operations, our business, financial condition, and results of operations may be materially adversely affected.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business in various markets requires us to respond to rapid changes in market conditions in these countries. Our overall success as a global business depends, in part, upon our ability to succeed in different legal, regulatory, economic, social, and political conditions. We may not succeed in developing and implementing policies and strategies which will be effective in each location where we do business.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Furthermore, any of the foregoing factors or any combination thereof could have a material adverse effect on our business, financial condition, and results of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may also face difficulties managing and administering an internationally dispersed business. In particular, the management of our personnel across several countries can present logistical and managerial challenges. Additionally, international operations present challenges related to operating under different business cultures and languages. We may have to comply with unexpected changes in foreign laws and regulatory requirements, which could negatively impact our operations and ability to manage our global financial resources. Export controls or other regulatory restrictions could prevent us from shipping our products into and from some markets. Moreover, we may not be able to adequately protect our trademarks and other intellectual property overseas due to uncertainty of laws and enforcement in several countries.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Changes in tax regulations in Germany or the United States and other jurisdictions, including under and with respect to bilateral and multilateral tax treaties, or the interpretation thereof, could significantly reduce the financial performance of our foreign operations or the magnitude of their contributions to our overall financial performance. In addition, the interpretation and application of consumer and data protection laws in the United States, Europe, and elsewhere are often uncertain, contradictory, and in flux. It is possible that any such newly introduced or amended laws are interpreted and applied in a manner that is inconsistent with our data practices. If so, this could result in government-imposed fines or orders requiring that we change our data practices, which could have an adverse effect on our business. Complying with these various laws could cause us to incur substantial costs or require us to change our business practices in a manner adverse to our business.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are not insured against all potential risks.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To the extent available, we maintain insurance coverage that we believe is customary in our industry, covering our respective properties, operations, personnel, and businesses. Such insurance does not, however, provide coverage for all liabilities, including certain hazards incidental to our business, and we can provide no assurance that our insurance coverage will be adequate to cover claims that may arise or that we will be able to maintain adequate insurance at rates we consider reasonable. For example, the occurrence of a significant business interruption in the operation of one or more of our key facilities, countries, business partners, or systems could result in liability to us that is not insured and therefore could have a material adverse effect on our business, financial condition, and results of operations. In addition, our products are used in or integrated with many high-risk end-products and therefore if such products were involved in a disaster or catastrophic accident, we could be involved in litigation arising out of such incidents and susceptible to significant expenses or losses.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the event of a total or partial loss affecting any of our property, certain items of equipment and inventory may not be easily replaced. Accordingly, even though there may be insurance coverage, the extended period needed to obtain replacement units or inventory may cause significant delays, which may have a material adverse effect on our business, financial condition, and results of operations. In addition, certain zoning laws and regulations may prevent rebuilding substantially the same facilities in the event of a casualty, which may have a material adverse effect on our business, financial condition, and results of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a result, we cannot assure you that we are insured against all potential risks or for those risks that are covered by insurance that the insurance proceeds will compensate us fully for our losses, which could result in a material adverse effect on our business, financial condition, and results of operations.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Our ability to use and operate certain portions of our facilities may be limited by the validity of, or a default or termination under, our real property leases.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Certain portions of our facilities are leased from third-party landlords, and we continue to lease facilities in the future. The invalidity of, or default or termination under, any of our leases may interfere with our ability to use and operate all or a portion of certain of our facilities, which may have a material adverse effect on our business, financial condition, and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Our operations and assets in foreign jurisdictions may be subject to significant political and economic uncertainties.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operate and have subsidiaries and partners in various jurisdictions such as China, Taiwan, South Korea, Malaysia and the United States. Changes in laws and regulations, or their interpretation, or the imposition of unexpected or confiscatory taxation, restrictions on currency conversion, imports and sources of supply, devaluations of currency, or the nationalization or other expropriation of private enterprises could have a material adverse effect on our business, financial condition, and results of operations of our subsidiaries. For example, under its current leadership, the Chinese government has been pursuing economic reform policies that encourage private economic activity and greater economic decentralization. There is no assurance, however, that the Chinese government will continue to pursue these policies, or that it will not significantly alter these policies from time to time without notice.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foreign economies may differ from the economies of Germany or the U.S. in many respects, including the amount of government involvement, level of development, growth rate, control of foreign exchange, and allocation of resources. While such economies may have experienced significant growth in the past 30 years, growth may have been uneven, both geographically and among various sectors of the economy. Such economies may not continue to grow and if there is growth, such growth may not be steady and uniform. If there is a slowdown, such slowdown may have a negative effect on our business and operations in such economies as well as on our business in general. We can provide no assurance that the various macroeconomic measures and monetary policies adopted by the foreign governments to guide economic growth and the allocation of resources will be effective in sustaining the growth rate of the respective foreign economies. If growth of such economies stagnates or there is an economic downturn, our business, financial condition, and results of operations may be materially adversely affected.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Uncertainties presented by the foreign legal systems could limit the legal protections available to us and subject us to legal risks, which could have a material adverse effect on our business, financial condition, and results of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operate and have subsidiaries and partners in various jurisdictions such as China, Taiwan, South Korea, Malaysia and the United States. Our operations in foreign jurisdictions are subject to foreign applicable laws, rules and regulations. In such jurisdictions, a fully integrated legal system may not yet be developed, or imposed laws may not sufficiently cover all aspects of economic activities and prior court decisions may have limited value as precedents. Additionally, foreign statutes may often be principle-oriented and require detailed interpretations by the enforcement bodies to further apply and enforce such laws. In particular, some of these laws and regulations may be relatively new, and there may be limited volume of published decisions. For that reason interpretation and enforcement of these laws and regulations involve uncertainties.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addition, a legal system may be based in part on government policies and internal rules, some of which may not be published on a timely basis or at all, and some of which may have a retroactive effect. As a result, we may not be aware of our violation of these policies and rules until sometime after the violation. Any administrative and court proceedings may be protracted, resulting in substantial costs and diversion of resources and management attention. Further, as administrative and court authorities may have significant discretion in interpreting and implementing statutory, regulatory, and contractual terms, it may be more difficult to predict the outcome of administrative and court proceedings and the level of legal protection than in more developed legal systems. These uncertainties may also impede our ability to enforce the contracts we have entered into in foreign jurisdictions. As a result, these uncertainties could have a material adverse effect on our business, financial condition, and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Material increases in labor costs in China could have an adverse impact on our business and operating results.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operate a manufacturing facility in China. In past years, we and other manufacturers have experienced increases in labor costs in our Chinese facilities due to rising inflation. Increases in the cost of labor in manufacturing facilities in China, including those of SCHMID, are expected to continue to occur in the future.</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To the extent we are unable to pass on increases in labor costs to our customers by increasing the prices for our products and services, minimum wage increases, or increases in other labor costs, or to move our operations into a jurisdiction where labor cost is lower, this could have a material adverse effect on our business, financial condition, and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Changes in the Chinese government’s policy on foreign investment in China may adversely affect our business and results of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Foreign Investment Access Special Management Measures (Negative List) (2024 Version) (“Negative List”), which became effective on November 1, 2024, has identified the industrial areas that are restricted or prohibited for foreign investors. The business of our Chinese subsidiaries does not fall within any of such restricted or prohibited areas and their business scope was duly approved by the Chinese foreign investment regulatory authority upon their establishment.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Negative List may, however, be updated from time to time, and there can be no assurance that the Chinese government will not change its policies in a manner that would render part or all of our business to fall within the restricted or prohibited categories. If we cannot obtain approval from the relevant approval authorities to engage in a business that becomes prohibited or restricted for foreign investors pursuant to any applicable updates under the Negative List, we may be forced to sell or restructure our business in China. If we are forced to adjust our corporate structure or business as a result of changes in government policy on foreign investment, this could adversely affect our reputation, business, financial condition, and results of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Chinese government may enact further restrictive measures in the future which could adversely affect our reputation, business, financial condition, and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Our ability to obtain additional capital on commercially reasonable terms may be limited.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Although we believe our cash and cash equivalents, together with cash we expect to generate from operations and unused capacity available under our overdraft facility, provide adequate resources to fund ongoing operating requirements, we may need to seek additional financing to compete effectively.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we are unable to obtain capital on commercially reasonable terms, it could:</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funds available to us for purposes such as working capital, capital expenditures, research and development, strategic acquisitions, and other general corporate purposes;</w:t>
            </w:r>
          </w:p>
        </w:tc>
      </w:tr>
    </w:tbl>
    <w:tbl>
      <w:tblPr>
        <w:tblW w:w="6921" w:type="dxa"/>
        <w:jc w:val="left"/>
        <w:tblInd w:w="20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 our ability to introduce new products or exploit business opportunities;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vulnerability to economic downturns and competitive pressures in the markets in which we operate; and</w:t>
            </w:r>
          </w:p>
        </w:tc>
      </w:tr>
    </w:tbl>
    <w:tbl>
      <w:tblPr>
        <w:tblW w:w="3711" w:type="dxa"/>
        <w:jc w:val="left"/>
        <w:tblInd w:w="200" w:type="dxa"/>
        <w:tblLayout w:type="fixed"/>
        <w:tblCellMar>
          <w:top w:w="28" w:type="dxa"/>
          <w:left w:w="28" w:type="dxa"/>
          <w:bottom w:w="28" w:type="dxa"/>
          <w:right w:w="28" w:type="dxa"/>
        </w:tblCellMar>
      </w:tblPr>
      <w:tblGrid>
        <w:gridCol w:w="124"/>
        <w:gridCol w:w="25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 us at a competitive disadvantage.</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improve our infrastructure or acquire complementary businesses, technologies, services, products and other assets.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Accordingly, we may need to engage in equity or debt financings to secure additional funds. On January 18, 2026 the Company entered into an investment agreement in relation to the issuance of 2028 Convertible Notes and 2026 Warrants. On July 7, 2026 the Company entered into an investment agreement in relation to the issuance of 2029 Convertible Notes. Under the terms of the 2028 Convertible Notes and the 2029 Convertible Notes, the Company is restricted from incurring additional debt until a substantial portion of the 2028 Convertible Notes and the 2029 Convertible Notes has been converted. Specifically, this restriction remains in place until the outstanding balance of the 2028 Convertible Notes and the 2029 Convertible Notes has been reduced to $5 million and $9 million or less respectively. Any debt financing that we may secure in the future after the terms of the convertible note allow could also involve restrictive covenants relating to our capital raising activities and other financial and operational matters, which may make it more difficult for us to obtain additional capital and to pursue business opportunities.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May 12, 2026, we entered into SEPA with a fund managed by Yorkville for up to $30 million of our shares to be sold to such entity as an investors over a period of 24 months in accordance with the terms of such SEPA. On May 23, 2026, the Company issued 24,889 Ordinary Shares to Yorkville in satisfaction of the USD 150,000 commitment fee under the SEPA, thereby making the SEPA available for use by the Company. After May 23, 2026, the Company utilized the SEPA and, as of date of this registration statement, had issued 1,490,000 Ordinary Shares to Yorkville under the SEPA.</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may not be able to obtain additional financing on reasonable terms or at all.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Risks Related to Regulation and Litigation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Our financial results may be affected by tariffs, border adjustment taxes or other adverse trade restrictions.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have global operations, including a significant presence in several major regions, including markets such as Malaysia, Taiwan, South Korea, United States, and China. We cannot predict whether the countries in which we operate, or may operate in the future, could become subject to new or additional trade restrictions imposed by the United States or other governments, including the likelihood, type or effect of any such restrictions. The United States has recently enacted and proposed to enact significant new tariffs. Additionally, President Trump has directed various federal agencies to further evaluate key aspects of U.S. trade policy and there has been ongoing discussion and commentary regarding potential significant changes to U.S. trade policies, treaties and tariffs. There continues to exist significant uncertainty about the future relationship between the U.S. and other countries with respect to such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U.S. Any of these factors could depress economic activity and restrict our access to suppliers or customers and have a material adverse effect on our business, financial condition and results of operations, which in turn would negatively impact us.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international scope of our operations and our corporate and financing structure may expose us to potentially adverse tax consequences.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are subject to taxation in, and to the tax laws and regulations of, multiple jurisdictions as a result of the international scope of our operations and our corporate and financing structure. We are also subject to intercompany pricing laws, including those relating to the flow of funds between our companies pursuant to, for example, purchase agreements, licensing agreements, or other arrangements. Adverse developments in these laws or regulations, or any change in position regarding the application, administration, or interpretation of these laws or regulations in any applicable jurisdiction, or our inability to comply with all applicable requirements of these laws or regulations could have a material adverse effect on our business, financial condition, and results of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addition, the tax authorities in any applicable jurisdiction may disagree with the positions we have taken or intend to take regarding the tax treatment or characterization of any of our activities or transactions, including the tax treatment or characterization of our tax residency. If any competent tax authorities were to successfully challenge the tax treatment or characterization of any of these, it could result in the disallowance of deductions, the imposition of additional or new taxation in certain jurisdictions, the imposition of withholding taxes on internal deemed transfers or in general, capital gains taxes, including on transfers that have been made and/or deemed to have been made in connection with the Transactions or otherwise, the reallocation of income, penalties, or other consequences that could have a material adverse effect on our business, financial condition, and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Our failure to comply with trade restrictions such as economic sanctions and export controls could negatively impact our reputation and results of operations.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We are subject to trade restrictions, including economic sanctions and export controls, imposed by governments around the world with jurisdiction over our operations, which prohibit or restrict transactions involving certain designated persons and certain designated countries or territories, including Russia, Cuba, Iran, North Korea, and the Crimea Region of Ukraine. Our failure to successfully comply with any such laws and regulations may expose us to reputational harm as well as significant sanctions, including criminal fines, imprisonment, civil penalties, disgorgement of profits, injunctions, debarment from government contracts, and other remedial measures. Investigations of alleged violations can be costly and disruptive. We maintain policies and procedures designed to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comply with these laws and regulations. As part of our business, we may, from time to time, engage in limited sales and transactions involving certain countries that are targets of economic sanctions, provided that such sales and transactions are authorized pursuant to applicable economic sanctions laws and regulations. However, we cannot predict the nature, scope, or effect of future regulatory requirements, including changes that may affect existing regulatory authorizations, and we cannot predict the manner in which existing laws and regulations might be administered or interpreted. Any changes in economic sanctions laws in the future could adversely impact our business.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addition, any perceived or actual breach of compliance by us with respect to applicable laws, rules, and regulations could have a significant impact on our reputation and could cause us to lose existing customers; prevent us from obtaining new customers; negatively impact investor sentiment about our company; require us to expend significant funds to remedy problems caused by violations and to avert further violations; and expose us to legal risk and potential liability — all of which may have a material adverse effect on our reputation, business, financial condition, and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are or will be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are or will be subject to anti-corruption, anti-bribery, anti-money laundering, financial and economic sanctions and similar laws and regulations in various jurisdictions in which we conduct or in the future may conduct activities, including the U.S. Foreign Corrupt Practices Act (“FCPA”), European anti-bribery and corruption laws, and other anti-corruption laws and regulations. The FCPA and European anti- bribery and corruption laws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may be adversely affected by changes in legislation and regulation, which may impact how we provide products and services.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are subject to extensive laws, regulations, and industry standards in the various jurisdictions where we operate, market, and distribute our products, including, inter alia, environmental, occupational health and safety, product regulatory and liability, patent and trademark, competition, financial, accounting, and tax laws and regulations, which vary from jurisdiction to jurisdiction. Legislative and regulatory changes that impact us and our customers’ industries may impact how we provide products and services to our customers. It is difficult to predict in what form laws and regulations will be adopted or how they will be construed by the relevant courts, or the extent to which any changes might adversely affect us. Delays in adapting our products and services to legislative and regulatory changes could harm our reputation. Also, we may not be as well-equipped to respond to changes in legislation or regulation as some of our competitors or we may become subject to new legislation or regulation with regard to the products and services we offer which could cause us to be prohibited from providing certain services or make provision of affected services more costly.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Although we have implemented policies and procedures that are designed to ensure compliance with applicable laws, rules, and regulations, there is no guarantee that we will remain in compliance. Any noncompliance could result in civil, criminal and administrative fees, fines, penalties, taxes, interruptions in our operations, and reputational harm for the company, which may have a material adverse effect on our business, financial condition, and results of operations.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operate in a litigious environment, which may adversely affect our business, financial condition, and results of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may become involved in legal actions and claims arising in the ordinary course of business, including litigation regarding employment matters, breach of contract, and other commercial matters. Due to the inherent uncertainty in the litigation process, the resolution of any particular legal proceeding could result in changes to our products and business practices and/or substantial payment obligations or costs to be borne by us, which could have a material adverse effect on our business, financial condition, and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may be liable for damages based on product liability claims brought against our customers in our end-markets or from our customers and their employees, and any successful claim for damages could have a material adverse effect on our business, financial condition, and results of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addition, many of our products provide critical performance attributes to our customers’ products that are sold to consumers who could potentially bring product liability suits related to such products. Our sale of these products therefore involves the risk of product liability claims, including class action lawsuits that claim liability for death, injury, or property damage caused by products that we manufacture or that contain our components. If a person were to bring a product liability suit against one of our customers, this customer may attempt to seek contribution from us. A person may also bring a product liability claim directly against us. A successful product liability claim or series of claims against us in excess of our insurance coverage for payments, for which we are not otherwise indemnified, could have a material adverse effect on our business, financial condition, and results of operations. While we endeavor to protect ourselves from such claims and exposures in our contractual negotiations, we can provide no assurance that our efforts in this regard will ultimately protect us from any such claims.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If we fail to comply with environmental, health and safety laws and regulations, we could become subject to fines or penalties or incur costs that could have a material adverse effect on our business.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and any contract manufacturers and suppliers we engage are subject to numerous federal, state, and local environmental, health, and safety laws, regulations, and permitting requirements, including those governing generation, handling, use, storage, treatment, and disposal of hazardous and regulated materials and waste; the emission and discharge of hazardous materials into the ground, air, and water; and employee health and safety.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Compliance with applicable environmental laws and regulations may be costly, and current or future environmental laws and regulations may impair our research, product development and manufacturing efforts. In addition, we cannot entirely eliminate the risk of accidental injury or contamination from these materials or waste. Although we maintain workers’ compensation insurance to cover us for costs and expenses we may incur due to injuries to our employees resulting from the use of hazardous materials, this insurance may not provide adequate coverage against potential liabilities. We do not currently maintain insurance for environmental liability or toxic tort claims that may be asserted against us in connection with storage or disposal of hazardous and flammable materials, including chemicals and biological materials. Accordingly, in the event of contamination or injury, we could be held liable for damages or be penalized with fines in an amount exceeding our resources, and our clinical trials or regulatory approvals could be suspended, which could have a material adverse effect on business, financial condition, results of operations and growth prospects.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addition, we may incur substantial costs in order to comply with current or future environmental, health and safety laws and regulations. These current or future laws and regulations may impair research, development or commercialization efforts. Failure to comply with these laws and regulations also may result in substantial fines, penalties or other sanctions that could have a material adverse effect on our business, reputation and growth prospects.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Global climate change legislation could negatively impact our results of operations or limit our ability to operate our business.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We operate production facilities in several countries. In many of the countries in which we operate, legislation has been passed or proposed, or legislation is being considered, to limit greenhouse gases through various means, including the capping and trading of emissions credits. Greenhouse gas regulation in the jurisdictions in which we operate could negatively impact our future results from operations through increased costs of production. We may be unable to pass such increased costs on to our customers, which may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decrease our revenues and net income and have a material adverse effect on our business, financial condition, and results of operations. In addition, the potential impact of climate change regulation on our customers is highly uncertain and may also materially adversely affect our business, financial condition, and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Failure of information security and privacy concerns could subject us to penalties, damage our reputation and brand, and harm our business and results of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must comply with increasingly complex and rigorous regulatory standards enacted to protect business and personal data in the United States, Europe and elsewhere. For example, the European Union adopted the General Data Protection Regulation (“</w:t>
      </w:r>
      <w:r>
        <w:rPr>
          <w:rFonts w:ascii="Times New Roman;Times;serif" w:hAnsi="Times New Roman;Times;serif"/>
          <w:b/>
          <w:sz w:val="20"/>
        </w:rPr>
        <w:t>GDPR</w:t>
      </w:r>
      <w:r>
        <w:rPr>
          <w:rFonts w:ascii="Times New Roman;Times;serif" w:hAnsi="Times New Roman;Times;serif"/>
          <w:sz w:val="20"/>
        </w:rPr>
        <w:t>”), which became effective in 2018, and the State of California adopted the California Consumer Privacy Act of 2018 (“</w:t>
      </w:r>
      <w:r>
        <w:rPr>
          <w:rFonts w:ascii="Times New Roman;Times;serif" w:hAnsi="Times New Roman;Times;serif"/>
          <w:b/>
          <w:sz w:val="20"/>
        </w:rPr>
        <w:t>CCPA</w:t>
      </w:r>
      <w:r>
        <w:rPr>
          <w:rFonts w:ascii="Times New Roman;Times;serif" w:hAnsi="Times New Roman;Times;serif"/>
          <w:sz w:val="20"/>
        </w:rPr>
        <w:t>”); additional U.S. states are likely to adopt measures similar to the CCPA in the near term. Both the GDPR and the CCPA impose additional obligations on companies regarding the handling of personal data and provides certain individual privacy rights to persons whose data is stored. Compliance with existing, proposed and recently enacted laws (including implementation of the privacy and process enhancements called for under the GDPR) and regulations can be costly; any failure to comply with these regulatory standards could subject us to legal and reputational risks.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Compliance with any additional laws and regulations may incur significant costs and may place restrictions on the conduct of our business and the manner in which we interact with our customers. Any failure to comply with applicable regulations could also result in regulatory enforcement actions against us, and misuse of or failure to secure personal information could also result in violation of data privacy laws and regulations, proceedings against us by governmental entities or others, and damage to our reputation and credibility, and could have a negative impact on revenues and profits.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Significant capital and other resources may be required to protect against information security breaches or to alleviate problems caused by such breaches or to comply with our privacy policies or privacy- related legal obligations. The resources required may increase over time as the methods used by hackers and others engaged in online criminal activities are increasingly sophisticated and constantly evolving. Any failure or perceived failure by us to prevent information security breaches or to comply with privacy policies or privacy-related legal obligations, or any compromise of security that results in the unauthorized release or transfer of personally identifiable information or other customer data, could cause our customers to lose trust in us and could expose us to legal claims. Any perception by the public that online transactions or the privacy of user information are becoming increasingly unsafe or vulnerable to attacks could inhibit the growth of online retail and other online services generally, which may reduce the number of orders we receive.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Risks Related to Employee Matters, Managing Growth, and Relationships with Suppliers and Other Third Parties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If we do not continue to attract, motivate, and retain members of our senior management team and qualified employees, we may not be able to support our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completion and execution of our strategies depend on the continued service and performance of our senior management team. If we lose key members of our senior management team, we may not be able to effectively manage our transition to a public company or our current and future operations. The loss or incapacity of existing members of our senior management team or key sales personnel, scientists and engineers could adversely affect our operations, particularly if we experience difficulties hiring qualified successors.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addition, our business depends on our ability to continue to attract, motivate, and retain many skilled employees across all of our operations. There is a limited pool of employees who have the requisite skills, training, and education. We compete with many businesses and organizations that are seeking skilled individuals, particularly those with experience in technology and the sciences fields. Competition for professionals across our entire business can be intense, as other companies seek to enhance their positions in the markets we serve. In addition, competition for experienced talent and employees can intensify globally, requiring us to increase our focus on attracting and developing highly skilled employees. We also face additional challenges in terms of recruiting a requisite number of skilled and qualified workers due to regional or global trends such as labor supply issues in connection with an aging workforce. As competition for experienced talent grows, we may be forced to increase spending on employee salaries which could have a material adverse effect on our business, financial condition, and results of operations.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Future organizational changes and the implementation of our cost savings initiatives could also cause our employee attrition rate to increase and may result in significant costs to us in connection with implementing such initiatives. If we are unable to continue to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identify or be successful in attracting, motivating, and retaining appropriately qualified personnel, there could be a material adverse effect on our business, financial condition, and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may acquire other businesses which could require significant management attention, disrupt our business, dilute shareholder value, and adversely affect our results of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part of our business strategy, we may acquire or make investments in complementary companies, products, or technologies. The identification of suitable acquisition candidates is difficult, and we may not be able to complete such acquisitions on favorable terms, if at all. If we do complete future acquisitions, we may not ultimately strengthen our competitive position or achieve our goals and business strategy; we may be subject to claims or liabilities assumed from an acquired company, product, or technology; and any acquisitions we complete could be viewed negatively by our customers, investors, and securities analysts. In addition, if we are unsuccessful at integrating future acquisitions, or the technologies associated with such acquisitions, into our company, the revenue and results of operations of the combined company could be adversely affected. Any integration process may require significant time and resources, which may disrupt our ongoing business and divert management’s attention, and we may not be able to manage the integration process successfully. We may not successfully evaluate or utilize the acquired technology or personnel, realize anticipated synergies from the acquisition, or accurately forecast the financial impact of an acquisition transaction and integration of such acquisition, including accounting charges. We may have to pay cash, incur debt, or issue equity or equity-linked securities to pay for any future acquisitions, each of which could adversely affect our financial condition or the market price of our common shares. The issuance of equity or equity-linked debt to finance any future acquisitions could result in dilution to our shareholders. The incurrence of indebtedness would result in increased liabilities and could also include covenants or other restrictions that would impede our ability to manage our operations. The occurrence of any of these risks could harm our business, results of operations, and financial condition.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may be unable to successfully execute on our growth initiatives, business strategies, or operating plans.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are continually executing on several growth initiatives, strategies, and operating plans designed to enhance our business. In addition to these growth strategies, our business plan incorporates certain transformational initiatives, including our enhanced senior leadership team, globalized management structure, renewed focus on customers, optimized R&amp;D, cost management initiatives, and a new incentive structure and may include potential acquisitions.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anticipated benefits from these strategies and initiatives are based on several assumptions that may prove to be inaccurate, including assumptions as to the key trends that will drive growth in our business. Moreover, we may not be able to successfully complete these growth initiatives, strategies, and operating plans without making additional expenditures or at all. If we are unable to complete these initiatives, strategies, and operating plans, we may not realize all the benefits we currently anticipate, including the growth targets and cost savings we expect to achieve. The anticipated cost savings disclosed elsewhere in this registration statement are presented on a gross basis and do not reflect any expenses that may be required to achieve such cost savings.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 variety of risks could cause us not to realize some or all the expected benefits. These risks include, among others, delays in the anticipated timing of activities related to such growth initiatives, strategies, and operating plans; the secular trends on which many of our strategies and initiatives are based not materializing or not materializing to the degree expected; increased difficulty and cost in implementing our growth efforts; and the incurrence of other unexpected costs associated with operating the business. Moreover, our continued implementation of these programs may disrupt our operations and performance. Similarly, we may not realize the benefits we currently expect from our comprehensive systems and solutions approach.</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any of the assumptions underlying our growth initiatives prove to be inaccurate or any of the foregoing risks materialize, we may not realize the expected benefits of our initiatives and we may be adversely affected, including as the result of the costs associated with these initiatives. If, for any reason, the benefits we realize are less than our estimates or the implementation of these growth initiatives, strategies, and operating plans adversely affects our operations or cost more or take longer to effectuate than we expect, or if our assumptions, including our assumptions with respect to growth of our end-markets, prove inaccurate, our business, financial condition, and results of operations may be materially adversely affected.</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Our employees may engage in misconduct or other improper activities, including noncompliance with regulatory standards and requirements, internal codes of conduct, and insider trading prohibition.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are exposed to the risk of employee fraud or other misconduct. Misconduct by employees could include intentional failures to comply with applicable regulations, to provide accurate information to the German, Chinese, United States or other regulators, to comply with manufacturing standards we have established, to comply with federal and state fraud and abuse laws and regulations in Germany, the United States and other countries or jurisdictions, to report financial information or data accurately, or to disclose unauthorized activities to us.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including applicable environmental laws and regulations. If any such misconduct occurs or any related actions are instituted against us (and we are not successful in defending ourselves or asserting our rights) such misconduct or actions could have a material adverse effect on our business, financial condition, and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If any of our suppliers become economically distressed or declare bankruptcy, we may be required to provide substantial financial support or take other measures to ensure supplies of components or materials, which could increase our costs, affect our liquidity or cause production disruptions.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procure various types of materials and components from our suppliers. We have historically obtained a significant proportion of the materials we require to manufacture our products from a limited number of suppliers, for example in connection with sensor and control technology and pumps and filters.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these suppliers experience substantial financial difficulties, cease operations, or otherwise face business disruptions, we may be required to provide substantial financial support to ensure supply continuity or would have to take other measures to ensure components and materials remain available. Any disruption could affect our ability to deliver orders to our clients and could increase our costs and negatively affect our liquidity and financial performance.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Increases in costs or reductions in the supplies of our specialty and commodity raw materials required for our manufacturing, testing, and operations processes could materially and adversely affect our business, financial condition, and results of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use a variety of specialty and commodity raw materials, including precious metals and specialty plastic materials, in our manufacturing processes, and our most significant raw material input by value is plastics. Our manufacturing operations depend upon obtaining adequate supplies of raw materials on a timely basis. We purchase our major raw materials on a contract or as-needed basis from outside sources. The availability and prices of raw materials may be subject to curtailment or change due to, among other things, the financial stability of our suppliers, suppliers’ allocations to other purchasers, interruptions in production by suppliers, new laws or regulations, changes in foreign currency exchange rates, and worldwide price levels. In addition, many of our raw materials and intermediate products are available in the quantities we require from a limited number of suppliers, which makes it more difficult to replace suppliers in the event of any supply disruption. Further, in some cases, we are limited in our ability to purchase certain raw materials from other suppliers by supply agreements that contain certain minimum purchase requirements. Additionally, we can provide no assurance that, as our supply contracts expire, we will be able to renew them or, if they are terminated, that we will be able to obtain replacement supply agreements on terms favorable to us.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particular, we may face difficulties or delays in finding a new supplier should a critical supplier stop supplying us with components or software. In particular, while we may find a new supplier quickly, we will need to make sure that this new supplier meets our performance standards and that the component, materials and software can be integrated into our machinery without an impact on delivery timelines or the quality of our products. Our business, financial condition, and results of operations could be materially adversely affected if we are unable to obtain adequate supplies of raw materials in a timely manner or if the costs of raw materials increase significantly.</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From time to time, suppliers may extend lead times, limit supplies, or increase prices due to capacity constraints, environmental limitations, or other factors. We may not always be able to pass on these price increases, and price increases by our other suppliers, to our customers due to competitive pricing pressure, and, even when we are able to do so, there may be a time delay between increased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raw material prices and our ability to increase the prices of our products. Any limitation on, or delay in, our ability to pass on any price increases could have a material adverse effect on our business, financial condition, and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depend upon our information technology systems, which are subject to interruption and failure.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business operations could be disrupted if our information technology systems fail to perform adequately. The efficient operation of our business depends on our information technology systems, some of which are managed by third-party service providers. We rely on our information technology systems to effectively manage our business data, communications, supply chain, order entry and fulfillment, and other business processes. The failure of our information technology systems to perform as we anticipate could disrupt our business and could result in transaction errors, processing inefficiencies, and the loss of sales and customers, causing our business and results of operations to suffer. In addition, our information technology systems may be vulnerable to damage or interruption from circumstances beyond our control, including fire, natural disasters, power outages, systems failures and security breaches. Further, our information technology systems, including those managed by third-party service providers, may be subject to computer viruses, malicious software, attacks by hackers, and other forms of cyber intrusions or unauthorized access, any of which can create system disruptions, shutdowns, or unauthorized disclosure of sensitive data. Any such damage or interruption could have a material adverse effect on our business, financial condition, and results of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addition, a security breach that leads to disclosure of information protected by privacy laws could compel us to comply with breach notification requirements under state, national, and federal laws and regulations, potentially resulting in litigation or regulatory action, or otherwise subjecting us to liability under laws that protect personal data.</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deliver and service our machines,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these systems do not operate as we expect them to, we may be required to expend significant resources to make corrections or find alternative sources for performing these functions.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attempt to mitigate the above risks by employing several measures, including monitoring and testing of our security controls, employee training, maintenance of protective systems and contingency plans, and contracting with service providers to address third-party cybersecurity risks. Nonetheless, it is impossible to eliminate all cybersecurity risk and thus we remain potentially vulnerable to known or unknown threats. Information security risks have generally increased in recent years because of the increased proliferation, sophistication, and availability of complex malware and hacking tools to carry out cyber-attacks. As cyber threats continue to evolve, we may be required to expend additional resources to mitigate new and emerging threats while continuing to enhance our information security capabilities or to investigate and remediate security vulnerabilities.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Risks Related to SCHMID’s Intellectual Property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Our know-how and innovations may not be adequately protected.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believe that our product development, brand recognition and reputation, and the technological and innovative skills of our personnel are essential to establishing and maintaining our leadership position. We rely on a combination of patent, copyright, trademark, trade secrets, confidentiality procedures, technical measures, and contractual agreements with our customers, suppliers, and employees to establish and protect our know-how and innovations according to our products and services. If we fail to protect our know-how and innovations, our competitive position could suffer, which could adversely affect our business, financial condition, and results of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may be forced to initiate litigation or other enforcement actions against third parties to protect our know-how and innovations as well as defend and enforce our intellectual property rights. Litigating claims related to the enforcement of intellectual property rights is very costly and can be burdensome in terms of management time and resources, which could adversely affect our business, financial condition, and results of operations. Moreover, the scope of our intellectual property rights may not prevent competitors from designing around such rights.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some cases, we rely upon unpatented proprietary manufacturing expertise, continuing technological innovation, and other trade secrets to develop and maintain our competitive position. While we generally will enter into confidentiality agreements with our employees and third parties to protect our intellectual property, our confidentiality agreements could be breached and may not provide meaningful protection for our trade secrets or proprietary manufacturing expertise. In addition, adequate remedies may not be available in the event of unauthorized use or disclosure of our trade secrets or manufacturing expertise. Violations by others of our confidentiality agreements and the loss of employees who have specialized knowledge and expertise could harm our competitive position and cause our sales and operating results to decline as a result of increased competition.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addition, we rely on both registered and unregistered trademarks to protect our name and brand. We can provide no assurance that our pending trademark applications will be approved. Failure by us to adequately maintain the quality of our products and services associated with our trademarks or any loss to the distinctiveness of our trademarks may cause us to lose certain trademark protection, which could result in the loss of goodwill and brand recognition in relation to our name and products. In addition, successful third-party challenges to the use of any of our trademarks may require us to rebrand our business or certain products or services associated therewith.</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failure of our patents, applicable intellectual property law, or our confidentiality agreements to protect our intellectual property and other proprietary information, including our know-how and innovations relating to processes, apparatuses, technology, trade secrets, trade names and proprietary manufacturing expertise, methods, and compounds, or if we are unsuccessful in our judicial enforcement proceedings, could have a material adverse effect on our competitive advantages, business, financial condition, and results of operations, and could require us to devote resources to advertising and marketing these new brands. Further, we can provide no assurance that competitors will not infringe our trademarks or patents, or that we will have adequate resources to enforce our trademarks or patents.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From time to time, competitors challenge the validity of our patents and trademarks, and we challenge the validity of their patents and trademarks. Further, our competitors may circumvent our patents or our patents may not be of sufficient scope or strength to provide us with meaningful protection or commercial advantage. We cannot be certain either of successfully defending the validity of our patents and trademarks or of invalidating patents and trademarks of our competitors. Additionally, our patents will all eventually expire, after which we will not be able to prevent our competitors from using our previously patented technologies, which could materially adversely affect any competitive advantage we have stemming from those products and technologies. We also cannot assure that competitors will not infringe our patents, or that we will have adequate resources to enforce our patents.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Our efforts to protect our intellectual property may be less effective in some countries where intellectual property rights are not as well protected as in Germany or the United States and changes in patent laws or their interpretations could diminish the value of patents in general, thereby impairing our ability to protect our products.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laws of some countries regarding trademark, patent, copyright, and other intellectual property rights also do not protect proprietary rights to the same degree as the laws of Germany or the United States and there is a risk that our ability to protect our proprietary rights may not be adequate in these countries. Many companies have encountered significant problems in protecting their proprietary rights against copying or infringement in such countries, some of which are countries in which we intend to operate or to sell our products. In particular, the application of laws governing intellectual property rights in China, where we operate, has historically been less effective than those in other jurisdictions, mainly due to the lack of procedural rules for discovery of evidence, low damage awards, and low rates of criminal penalties against intellectual rights infringements. Accordingly, protection of intellectual property rights in China may not be as effective as other countries. Furthermore, the policing of unauthorized use of proprietary technology is difficult and costly, and we may need to commence and become involved in costly and lengthy proceedings to enforce or defend patents issued to us or determine the enforceability, scope, and validity of our proprietary rights or those of others. The experience and capabilities of different courts in handling intellectual property related matters vary, and outcomes are unpredictable. Therefore, it could involve substantial risks to us. If we are unable to adequately protect our intellectual property rights in China or elsewhere, our business, financial condition, and results of operations could be materially adversely affected.</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In addition, our competitors in China and these other countries may independently develop similar technology or duplicate our products, even if unauthorized, which could potentially reduce our sales in these countries and have a material adverse effect on our business, financial condition, and results of operations. While we generally consider applying for patents in those countries where we intend to make, have made, use, or sell patented products, we may not accurately assess all the countries where patent protection will ultimately be desirable. If we fail to timely file a patent application in any such country, we may be precluded from doing so at a later date. Furthermore, our pending patent applications may be challenged by third parties and may not be issued by the applicable patent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offices as patents. We also cannot assure you that the patents issued as a result of our foreign patent applications will have the same scope of coverage as our German, European or U.S. patents. It is possible that only a limited number of the pending patent applications will result in issued patents, which may have a material adverse effect on our business, financial condition, and results of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may not be able to prevent others from unauthorized use of our intellectual property, which could harm our business and competitive position. We rely on a combination of patents, trade secrets (including know-how), employee and third-party nondisclosure agreements, copyrights, trademarks, intellectual property licenses, and other contractual rights to establish and protect our rights in our technology. Despite our efforts to protect our proprietary rights, third parties may attempt to copy or otherwise obtain and use our intellectual property or seek court declarations that they do not infringe upon our intellectual property rights or those rights are not enforceable. Monitoring unauthorized use of our intellectual property is difficult and costly, and the steps we have taken or will take are aimed to prevent misappropriation. From time to time, we may have to resort to litigation to enforce our intellectual property rights, which could result in substantial costs and diversion of our resources, including significant amounts of time from our key executives and management, and may not have the desired outcome.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Filing, prosecuting, and defending patents covering our products throughout the world would be prohibitively expensive. Competitors may use our technologies in jurisdictions where we have not obtained patent or other intellectual property protection to develop their own products and, further, may export otherwise infringing products to territories where we may have or obtain patent or other intellectual property protection, but where patent or other intellectual property enforcement is not as strong as that in Germany or the United States. These unauthorized products may compete with our products in such jurisdictions and take away our market share where we do not have any issued or licensed patents or other intellectual property protection and any future patent claims or other intellectual property rights may not be effective or sufficient to prevent them from so competing.</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ability to protect and enforce our intellectual property rights may be further adversely affected by unforeseen changes in intellectual property laws. In general, changes in patent laws or their interpretations, including in the United States, Germany or other countries where available protections are generally stronger, could diminish the value of our patents, thereby impairing our ability to protect our products. This could have a material adverse impact on our business, financial condition and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may be subject to claims that our employees, consultants or independent contractors have infringed, misappropriated or otherwise violated the intellectual property of a third party, including trade secrets or know-how of their former employers or other third parties.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may be subject to claims that our employees or consultants have wrongfully used for our benefit or disclosed to us confidential information of third parties. We employ individuals who were previously employed at other companies, or at research institutions. Some of these employees, consultants and contractors may have executed proprietary rights, non-disclosure and non-competition agreements in connection with such previous employment. Although we try to ensure that our employees and consultants do not use the intellectual property rights, proprietary information, know-how or trade secrets of others in their work for us and seek to protect our ownership of intellectual property rights by ensuring that our agreements with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To the extent that our employees, consultants or contractors use intellectual property rights or proprietary information owned by others in their work for us, disputes may arise as to the rights in any related or resulting know-how and inventions. We may also be subject to claims that former employers or other third parties have an ownership interest in our patents or other intellectual property or proprietary rights. Litigation may be necessary to defend against any of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Even if we are successful, litigation could result in substantial cost and be a distraction to our management and other employees.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If we fail to validly execute invention assignment agreements with our employees and contractors involved in the development of intellectual property, the value of our products, business and competitive position may be harmed. Our patent rights and other intellectual property may also be subject to priority, ownership or inventorship disputes, interferences, and similar proceedings.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To maintain the confidentiality of our trade secrets, proprietary information and other intellectual property rights, we have certain confidentiality and invention assignment provisions in place with our employees, consultants, suppliers, contract manufacturers, collaborators and others. However, we may not enter into such agreements with each party that may have or have had access to our trade secrets or proprietary technology and processes or who conceives or develops intellectual property rights that we regard as our own. Moreover, even when we obtain agreements assigning intellectual property to us, the assignment of intellectual property rights may not be self-executing, and we may be forced to bring claims against third parties or defend claims that they may bring against us to determine the ownership of what we regard as our intellectual property. There can be no assurance that such agreements and provisions are in place in all instances that may be needed or that where they are in place they will be upheld in the face of a potential challenge, that other parties will not breach their agreements with us or that we will have adequate remedies to address any breach.</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We may also be subject to claims that former employees, collaborators, or other third parties have an interest in our current or future patents and patent applications or other intellectual property rights, including as an inventor or co-inventor. If we are unable to obtain an exclusive license to any such third-party co-owners’ interest in such patents and patent applications, such co-owners rights may be subject, or in the future subject, to assignment or license to other third parties, including competitors. In addition, we may need the cooperation of any such co-owners to enforce any such patents and any patents issuing from such patent applications against third parties, and such cooperation may not be provided. Additionally, we may be subject to claims from third parties challenging our ownership interest in or inventorship of intellectual property we regard as our own, for example, based on claims that our agreements with employees or consultants obligating them to assign intellectual property rights to us are ineffective or in conflict with prior or competing contractual obligations to assign inventions to another employer, to a former employer, or to another person or entity, despite the inclusion of valid, present-tense intellectual property assignment obligations. Litigation may be necessary to defend against claims, and it may be necessary or we may desire to enter into a license to settle any such claim.</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If we or our licensors are unsuccessful in any priority, validity (including any patent oppositions), ownership or inventorship disputes to which we or they are subject, we may lose valuable intellectual property rights through the loss of one or more of our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products we may develop. An inability to incorporate technologies, features or other intellectual property that are important or essential to our products could have a material adverse effect on our business and competitive position. The loss of exclusivity or the narrowing of our patent claims could limit our ability to stop others from using or commercializing similar or identical technology and products. Even if we are successful in priority, inventorship or ownership disputes, such disputes could result in substantial costs and be a distraction to management and other employees. Any litigation or the threat thereof may adversely affect our ability to hire employees or contract with independent sales representatives. Any of the foregoing could result in a material adverse effect on our business, financial condition, results of operations or prospects.</w:t>
      </w:r>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Our patent applications may not be successful, which may have a material adverse effect on our ability to prevent others from commercially exploiting products similar to ours.</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We are currently in the process of patenting the technology for embedded traces (“</w:t>
      </w:r>
      <w:r>
        <w:rPr>
          <w:rFonts w:ascii="Times New Roman;Times;serif" w:hAnsi="Times New Roman;Times;serif"/>
          <w:b/>
          <w:sz w:val="20"/>
        </w:rPr>
        <w:t>ET</w:t>
      </w:r>
      <w:r>
        <w:rPr>
          <w:rFonts w:ascii="Times New Roman;Times;serif" w:hAnsi="Times New Roman;Times;serif"/>
          <w:sz w:val="20"/>
        </w:rPr>
        <w:t>”), which is the next generation of technology for high-end PCBs &amp; Substrates. We hold patents for ET technology in two countries, with patents pending or in the process of registration in eight additional jurisdictions. We believe we are the only participant in the market that is currently able to supply equipment for ET production.</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For this technology or for any other technology for which we have filed, or in the future may file, a particular patent application, we cannot be certain that we are the first inventor of the subject matter. Moreover, we cannot be certain if we are the first party to file such a patent application or that our application will ultimately be successful. If another party has filed a patent application for the same subject matter as we have, or similar subject matter is otherwise publicly disclosed, we may not be entitled to the protection sought by the patent application. Further, the scope of protection of issued patent claims is often difficult to determine. As a result, we cannot be certain that a patent, for which an application was filed, will actually be issued, or that our issued patents will afford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200" w:right="200" w:hanging="0"/>
        <w:jc w:val="left"/>
        <w:rPr>
          <w:rFonts w:ascii="Times New Roman;Times;serif" w:hAnsi="Times New Roman;Times;serif"/>
          <w:sz w:val="20"/>
        </w:rPr>
      </w:pPr>
      <w:r>
        <w:rPr>
          <w:rFonts w:ascii="Times New Roman;Times;serif" w:hAnsi="Times New Roman;Times;serif"/>
          <w:sz w:val="20"/>
        </w:rPr>
        <w:t>protection against competitors with similar technology or will cover certain aspects of our products. In addition, our competitors may design around our issued patents, which may adversely affect our business, prospects, financial condition or operating results.</w:t>
      </w:r>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As our patents may expire and may not be extended, our patent applications may not be granted and our patent rights may be contested, circumvented, invalidated or limited in scope, our patent rights may not protect us effectively. In particular, we may not be able to prevent others from developing or exploiting competing technologies.</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We cannot assure you that we will be granted patents pursuant to our pending applications or those we plan to file in the future. Even if our patent applications succeed and we are issued patents in accordance with them, these patents could be contested, circumvented or invalidated in the future. In addition, the rights granted under any issued patents may not provide us with meaningful protection or competitive advantages. The claims under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applications. Numerous patents and pending patent applications owned by others exist in the fields in which we have developed and are developing our technology. These patents and patent applications might have priority over our patent applications and could result in refusal or invalidation of our patent applications. Finally, in addition to those who may claim priority, any of our existing or pending patents may also be challenged by others on the basis that they are otherwise invalid or unenforceable.</w:t>
      </w:r>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We may need to defend ourselves against patent or trademark infringement claims, which may be time- consuming and would cause us to incur substantial costs.</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Companies, organizations, or individuals, including our competitors, may hold or obtain patents, trademarks or other proprietary rights that would prevent, limit or interfere with our ability to make, use, develop, sell, leasing or market our products, which could make it more difficult for us to operate our business. As the number of products and services in our markets increases and the functionality of these products and services further overlaps, we may become increasingly subject to claims by a third party that our products and services infringe such party’s intellectual property rights.</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From time to time, we may receive communications from holders of patents (including non-practicing entities or other patent licensing organizations), trademarks or other intellectual property regarding their proprietary rights. Companies holding patents or other intellectual property rights may bring suits alleging infringement of such rights or otherwise assert their rights and urge us to take licenses. In addition, there is a growing occurrence of patent suits being brought by organizations that use patents to generate revenues without manufacturing, promoting or marketing products, or investing in R&amp;D in bringing products to markets. These organizations continue to be active and target whole industries as defendants. We may not prevail in any such litigation given the complex technical issues and inherent uncertainties in intellectual property litigation.</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In the event of a successful claim of infringement against us and our failure or inability to obtain a license to the infringed technology or other intellectual property right, our business, prospects, operating results and financial condition could be materially and adversely affected. In addition, any litigation or claims, whether or not valid, could result in substantial costs, negative publicity and diversion of resources and management attention. Further, we may be required to compensate the third-party bringing the suit either by paying a lump sum or ongoing license fees to be able to continue selling a particular product or service. This type of compensation could be significant. We might also be prevented or enjoined by a court from continuing to provide the affected product or service and may be forced to significantly increase our development efforts and resources to redesign such product or service. We may also be required to defend or indemnify any customers who have been sued for allegedly infringing a third-party’s patent in connection with using one of our products or services. Responding to intellectual property claims, regardless of the validity, can be time-consuming for our personnel and management, result in costly litigation, cause product shipment delays, and harm our reputation, any of which could have a material adverse effect on our business, financial condition, and results of operations.</w:t>
      </w:r>
    </w:p>
    <w:p>
      <w:pPr>
        <w:pStyle w:val="TextBody"/>
        <w:bidi w:val="0"/>
        <w:spacing w:before="0" w:after="200"/>
        <w:ind w:left="200" w:right="200" w:hanging="0"/>
        <w:jc w:val="left"/>
        <w:rPr>
          <w:rFonts w:ascii="Times New Roman;Times;serif" w:hAnsi="Times New Roman;Times;serif"/>
          <w:b/>
          <w:sz w:val="20"/>
        </w:rPr>
      </w:pPr>
      <w:r>
        <w:rPr>
          <w:rFonts w:ascii="Times New Roman;Times;serif" w:hAnsi="Times New Roman;Times;serif"/>
          <w:b/>
          <w:sz w:val="20"/>
        </w:rPr>
        <w:t>Being a Public Company listed on a U.S. Stock Exchange</w:t>
      </w:r>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We may need to improve our operational and financial systems to support our growth goals, increasingly complex business arrangements, and rules governing revenue and expense recognition and any inability to do so will adversely affect our billing and reporting.</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To manage growth goals of our operations and increasing complexity, we may need to improve our operational and financial systems, procedures, and controls and continue to increase systems automation to reduce reliance on manual operations. Any inability to do so will affect our manufacturing operations, customer billing and reporting. Our current and planned systems, procedures and controls may not be adequate to support our complex arrangements and the rules governing revenue and expense recognition for our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200" w:right="200" w:hanging="0"/>
        <w:jc w:val="left"/>
        <w:rPr>
          <w:rFonts w:ascii="Times New Roman;Times;serif" w:hAnsi="Times New Roman;Times;serif"/>
          <w:sz w:val="20"/>
        </w:rPr>
      </w:pPr>
      <w:r>
        <w:rPr>
          <w:rFonts w:ascii="Times New Roman;Times;serif" w:hAnsi="Times New Roman;Times;serif"/>
          <w:sz w:val="20"/>
        </w:rPr>
        <w:t>future operations and expected growth. Delays or problems associated with any improvement or expansion of our operational and financial systems and controls could adversely affect our relationships with our customers, cause harm to our reputation and brand and could also result in errors in our financial and other reporting. We expect that complying with more extensive rules and regulations could substantially increase our legal and financial compliance costs and may make some activities more time-consuming and costly. The increased costs may increase our net loss. We cannot predict or estimate the amount or timing of additional costs we may incur to respond to these requirements.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If SCHMID is unable to maintain an effective system of internal control over financial reporting, it may, again, be unable to accurately report its financial results in a timely manner, which may adversely affect investor confidence in the company and materially and adversely affect its business and operating results.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SCHMID’s management is responsible for establishing and maintaining adequate internal control over financial reporting, as defined in the Exchange Act Rule 13a-15(f). SCHMID’s internal control over financial reporting is designed to provide reasonable assurance to its management and board of directors regarding the preparation and fair presentation of published financial statements.</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A material weakness is a deficiency, or a combination of deficiencies, in internal control over financial reporting such that there is a reasonable possibility that a material misstatement of SCHMID’s annual or interim financial statements will not be prevented, or detected and corrected on a timely basis. SCHMID’s annual report for the year ended December 31, 2023, identified two material weaknesses as of December 31, 2023. Despite remediation efforts undertaken, these same weaknesses were identified again for the years ended December 31, 2024 and December 31, 2025. One related to the fact that SCHMID did not have an adequate number of individuals within its accounting and financial reporting function with sufficient training and experience in IFRS and SEC reporting standards, including revenue recognition, accounting for financial instruments, income taxes, leases, and the consolidated statement of cash flows. A second weakness was identified because SCHMID did not design and implement effective controls over certain general information technology controls for IT systems that are relevant to the preparation of the financial statements. As a result, a reasonable possibility exists that the Company’s business process controls that depend on the completeness and accuracy of financial information generated by these IT systems will not prevent or detect a material misstatement on a timely basis.</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In spring of 2025 the Company failed to finalize its financial reporting for 2024 or publish its annual report on Form 20-F in a timely manner due to delays in resolving accounting issues, as well as liquidity issues facing the Company.</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There can be no guarantee that such material weaknesses will not persist or new weaknesses occur. It can also not be guaranteed that material weaknesses will be identified and addressed in time through current internal controls and procedures. Negative effects could include SCHMID’s inability to maintain compliance with securities law requirements regarding timely filing of periodic reports in addition to applicable stock exchange listing requirements, and/ or investors may lose confidence in SCHMID’s financial reporting and its stock price may decline as a result.</w:t>
      </w:r>
    </w:p>
    <w:p>
      <w:pPr>
        <w:pStyle w:val="TextBody"/>
        <w:bidi w:val="0"/>
        <w:spacing w:before="0" w:after="180"/>
        <w:ind w:left="200" w:right="200" w:hanging="0"/>
        <w:jc w:val="left"/>
        <w:rPr>
          <w:rFonts w:ascii="Times New Roman;Times;serif" w:hAnsi="Times New Roman;Times;serif"/>
          <w:b/>
          <w:i/>
          <w:sz w:val="20"/>
        </w:rPr>
      </w:pPr>
      <w:r>
        <w:rPr>
          <w:rFonts w:ascii="Times New Roman;Times;serif" w:hAnsi="Times New Roman;Times;serif"/>
          <w:b/>
          <w:i/>
          <w:sz w:val="20"/>
        </w:rPr>
        <w:t>We are a “foreign private issuer” and a “controlled company” within the meaning of the NASDAQ rules and, as a result, expect to continue qualifying for, and intend to continue relying on, exemptions from certain corporate governance requirements. You will not have the same protections afforded to shareholders of companies that are subject to such requirements.</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The NASDAQ corporate governance rules require listed companies to have, among other things, a majority of independent board members and independent director oversight of executive compensation, nomination of directors and corporate governance matters. While we expect to abide by the rules applicable to independent directors, by continuing to have a board of directors consisting of a majority of independent directors, as a foreign private issuer, we are permitted to, and we may, follow home country practice in lieu of the above requirements, subject to certain exceptions. As long as we would rely on the foreign private issuer exemption for certain of these corporate governance standards, a majority of our Board are not required to be independent directors and our Compensation Committee and Nominating and Corporate Governance Committee are not required to be composed entirely of independent directors. In that case, management oversight may be more limited than if we were subject to all the corporate governance standards of the stock exchange on which we intend to list our common shares.</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Anette Schmid and Christian Schmid currently control a majority of the voting power of our outstanding common shares. As a result, we are and expect to continue to be a “controlled company” within the meaning of the NASDAQ corporate governance standards. Under these rules, a company of which more than 50% of the voting power is held by an individual, group or another company is a “controlled company” and may elect not to comply with certain corporate governance requirements, including:</w:t>
      </w:r>
    </w:p>
    <w:tbl>
      <w:tblPr>
        <w:tblW w:w="6786" w:type="dxa"/>
        <w:jc w:val="left"/>
        <w:tblInd w:w="20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a majority of the Board consist of independent directors;</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we have a nominating and corporate governance committee that is composed entirely of independent directors with a written charter addressing the committee’s purpose and responsibilities;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we have a compensation committee that is composed entirely of independent directors with a written charter addressing the committee’s purpose and responsibilities;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for an annual performance evaluation of the nominating and corporate governance committee and compensation committee.</w:t>
            </w:r>
          </w:p>
        </w:tc>
      </w:tr>
    </w:tbl>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In the event we no longer qualify as a foreign private issuer, we may utilize these exemptions if we continue to qualify as a “controlled company.” If we were to utilize the controlled company exemption, we might not have a majority of independent directors and our Nominating and Corporate Governance and Compensation Committees might not consist entirely of independent directors and such committees might not be subject to annual performance evaluations. Accordingly, you would not have the same protections afforded to shareholders of companies that are subject to all the corporate governance requirements of the stock exchange on which we list our common shares.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Anette Schmid and Christian Schmid jointly have the power to control the outcome of shareholder actions in our company.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of the date of this registration statement, Anette Schmid and Christian Schmid jointly held 50.86% of our outstanding Ordinary Shares not taking into account 5 million non-vested earn-out shares held by them which are contractually restricted from voting (54.60% if the non-vested earnout shares are taken into account). Furthermore, Anette Schmid is a non-executive member of the board and Christian Schmid is an executive member of the board as chief executive officer. Their combined voting power gives them the power to control certain actions that require shareholder approval under Dutch corporate law, our articles of association and the NASDAQ Stock Market requirements.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Anette Schmid and Christian Schmid joint voting power and control may cause transactions to occur that might not be beneficial to you as a holder of SCHMID securities and may prevent transactions that could have been beneficial to you. For example, they may prevent a transaction involving a change of control of the Company, including transactions in which you as a holder of our securities might otherwise receive a premium for your securities over the then-current market price. In addition, Anette Schmid and Christian Schmid are not prohibited from selling a controlling interest in the Company to a third party and may do so without your approval and without providing for a purchase of your securities. In addition, the significant concentration of share ownership may adversely affect the trading price of our securities due to investors’ perception that conflicts of interest may exist or arise.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market price and trading volume of our Ordinary Shares and Public Warrants may be volatile and could decline significantly.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Stock markets, including NASDAQ, on which our Shares and Warrants are listed, have from time to time experienced significant price and volume fluctuations. Even if an active, liquid and orderly trading market develops and is sustained for our Shares and Warrants, the market price of our Shares and Warrants may be volatile and could decline significantly. In addition, the trading volume in our Shares and Warrants may fluctuate and cause significant price variations to occur. If the market price of our Shares and Warrants declines significantly, you may be unable to resell your securities at or above the price you purchased them for. We cannot assure you that the market price of our Shares and Warrants will not fluctuate widely or decline significantly in the future in response to a number of factors.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Our failure to meet continued listing requirements could result in a delisting of our shares.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NASDAQ requires companies to fulfill specific requirements in order for their shares to continue to be listed. In spring of 2025 the Company failed to finalize its financial reporting for 2024 or publish its annual report on Form 20-F in a timely manner due to delays in resolving accounting issues as well as financing processes with financial and/or strategic investors to address liquidity issues. The Company received delinquency and delisting notices from NASDAQ in May 2025 and November 2025 regarding this filing delinquency, related to which the Company submitted compliance plans to NASDAQ on which basis NASDAQ staff and a hearing panel granted the Company extensions to file the 2024 annual report within an exception period, without any trading halt or delisting of its securities. In February 2026, the Company regained compliance with NASDAQ rules by filing its Form 20-F for the financial year 2024 and NASDAQ in a letter dated February 19, 2026 confirmed that the Company regained compliance. In application of NASDAQ Listing Rule 5815(d)(4)(B), the Company is currently subject to a mandatory panel monitoring period of one year from the date of the letter.</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the Company were unable to comply with NASDAQ rules and regulations in the future, its Shares and/or the Warrants could be delisted from NASDAQ and its shareholders could find it difficult to sell any Company securities they held. In addition, if our Shares are delisted at some later date, we may have our Shares quoted on the Bulletin Board or in the “pink sheets” maintained by the National Quotation Bureau, Inc. The Bulletin Board and the “pink sheets” are generally considered to be less efficient markets than the NASDAQ. In addition, if our Shares are not so listed or are delisted at some later date, our Shares may be subject to the “penny stock” regulations. These rules impose additional sales practice requirements on broker-dealers that sell low-priced securities to persons other than established customers and institutional accredited investors and require the delivery of a disclosure schedule explaining the nature and risks of the penny stock market. As a result, the ability or willingness of broker-dealers to sell or make a market in our Shares might decline. If our Shares are delisted at some later date or become subject to the penny stock regulations, it is likely that the price of our Shares would decline and that our shareholders would find it difficult to sell their shares.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If securities or industry analysts do not publish research or reports about our business or publish negative reports about our business, our share price and trading volume could decline.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trading market for our Shares may depend on the research and reports that securities or industry analysts publish about us or our business. Currently, we do not have any analyst coverage and may not obtain analyst coverage in the future. In the event we obtain analyst coverage, we will not have any control over such analysts. If one or more of the analysts who will cover SCHMID downgrade our shares or change their opinion of our shares, our share price would likely decline. If one or more of these analysts cease coverage of SCHMID or fail to regularly publish reports on SCHMID we could lose visibility in the financial markets, which could cause our share price or trading volume to decline.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are an “emerging growth company,” and our reduced SEC reporting requirements may make our shares less attractive to investors.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are an “emerging growth company” as defined in the Jumpstart Our Business Startups Act of 2012 (“JOBS Act”). We will remain an “emerging growth company” until the earliest to occur of (i) the last day of the fiscal year (a) following the fifth anniversary of the Closing of the Business Combination, (b) in which we have total annual gross revenue of at least $1.235 billion or (c) in which we are deemed to be a large accelerated filer, which means the market value of Schmid shares held by non-affiliates exceeds $700 million as of the last business day of our prior second fiscal quarter, and (ii) the date on which we issued more than $1.0 billion in non-convertible debt during the prior three-year period. We intend to take advantage of exemptions from various reporting requirements that are applicable to most other public companies, such as an exemption from the provisions of Section 404(b) of the Sarbanes-Oxley Act requiring our independent registered public accounting firm provide an attestation report on the effectiveness of our internal control over financial reporting and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predict if investors will find our shares less attractive because we intend to rely on certain of these exemptions and benefits under the JOBS Act. If some investors find our shares less attractive as a result, there may be a less active, liquid and/or orderly trading market for our shares and the market price and trading volume of our shares may be more volatile and decline significantly.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As a “controlled company” under the rules of The Nasdaq Capital Market, we may choose to exempt our Company from certain corporate governance requirements that could have an adverse effect on our public shareholders.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directors and officers beneficially own a majority of the voting power of our issued and outstanding ordinary shares. Under the Rule 4350(c) of The Nasdaq Capital Market,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The Nasdaq Capital Market Rules, and the requirement that our compensation and nominating and corporate governance committees consist entirely of independent directors. Although we do not intend to rely on the “controlled company” exemption under the Nasdaq listing rules, we could elect to rely on this exemption in the future. If we elect to rely on the “controlled company” exemption, a majority of the members of our Board might not be independent directors and our nominating and corporate governance and compensation committees might not consist entirely of independent directors. Accordingly, during any time while we remain a controlled company relying on the exemption and during any transition period following a time when we are no longer a controlled company, you would not have the same protections afforded to shareholders of companies that are subject to all of The Nasdaq Capital Market corporate governance requirements. Our status as a controlled company could cause our ordinary shares to be less attractive to certain investors or otherwise harm our trading price.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Compliance obligations under the Sarbanes-Oxley Act may require substantial financial and management resources and shareholders may have fewer advantages until we cease to be an emerging growth company.</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As indicated above, prior to the Business Combination, we were not a publicly reporting company required to comply with Section 404 of the Sarbanes-Oxley Act (“Section 404”). Our management may not be able to effectively and timely implement controls and procedures that adequately respond to the increased regulatory compliance and reporting obligations that are applicable to us as a NASDAQ listed company, including the requirement to document and test our internal control over financial reporting so that our management can certify as to the effectiveness of its internal control over financial reporting. These regulatory compliance and reporting obligations as a public company are likely to place a considerable strain on our financial and management systems, processes and controls, as well as on its personnel. If we are not able to implement the requirements of Section 404, including any additional requirements when we are no longer an emerging growth company, in a timely manner or with adequate compliance, we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may not be able to assess whether its internal control over financial reporting is effective, which may subject us to adverse regulatory consequences and could harm investor confidence and the market price of our securities.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As a foreign private issuer, we will continue to be exempt from a number of rules under the U.S. securities laws and will be permitted to file less information with the SEC than a U.S. domestic public company, which may limit the information available to our shareholders.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are a foreign private issuer, as such term is defined in Rule 405 under the Securities Act. As a foreign private issuer, we will not be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As long as we are a foreign private issuer, we will not be required to obtain shareholder approval for certain dilutive events, such as the establishment or material amendment of certain equity-based compensation plans, we will not be required to provide detailed executive compensation disclosure in our periodic reports, and we will be exempt from the requirements of holding a nonbinding advisory vote on executive compensation and shareholder approval of any golden parachute payments not previously approved. In addition, our officers and directors will be exempt from the reporting and “short-swing” profit recovery provisions of Section 16 of the Exchange Act and related rules with respect to their purchases and sales of its securities.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Also, as a foreign private issuer, we will continue to be permitted to follow home country practice in lieu of certain NASDAQ corporate governance rules, including those that require listed companies to have a majority of independent directors (although all of the members of the audit committee must be independent under the Exchange Act) and independent director oversight of executive compensation, nomination of directors and corporate governance matters; have regularly scheduled executive sessions with only independent directors; and adopt and disclose a code of ethics for directors, officers and employee. Accordingly, our shareholders may not have the same protections afforded to shareholders of listed companies that are subject to all of the applicable corporate governance requirements.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rights of shareholders in companies subject to Dutch corporate law differ in material respects from the rights of shareholders of corporations incorporated in the United States.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are a Dutch public company with limited liability (</w:t>
      </w:r>
      <w:r>
        <w:rPr>
          <w:rFonts w:ascii="Times New Roman;Times;serif" w:hAnsi="Times New Roman;Times;serif"/>
          <w:i/>
          <w:sz w:val="20"/>
        </w:rPr>
        <w:t>naamloze vennootschap</w:t>
      </w:r>
      <w:r>
        <w:rPr>
          <w:rFonts w:ascii="Times New Roman;Times;serif" w:hAnsi="Times New Roman;Times;serif"/>
          <w:sz w:val="20"/>
        </w:rPr>
        <w:t>). Our corporate affairs are governed by our articles of association, our internal rules and policies and by the laws governing companies incorporated in the Netherlands. The rights of shareholders may be different from the rights and obligations of shareholders in companies governed by the laws of U.S. jurisdictions. The role of the management board in a Dutch company is also materially different, and cannot be compared to, the role of a board of directors in a corporation incorporated in the United States. In the performance of their duties, our management board is required by Dutch law to consider the interests of our company and the sustainable success of its business, with an aim to creating sustainable long-term value, taking into account the interests of its shareholders, its employees and other stakeholders of the company, in all cases with due observation of the principles of reasonableness and fairness. It is possible that some of these parties will have interests that are different from, or in addition to, your interests as a shareholder.</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are not obligated to, and do not, comply with all best practice provisions of the Dutch Corporate Governance Code.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are subject to the Dutch Corporate Governance Code (the “</w:t>
      </w:r>
      <w:r>
        <w:rPr>
          <w:rFonts w:ascii="Times New Roman;Times;serif" w:hAnsi="Times New Roman;Times;serif"/>
          <w:b/>
          <w:sz w:val="20"/>
        </w:rPr>
        <w:t>DCGC</w:t>
      </w:r>
      <w:r>
        <w:rPr>
          <w:rFonts w:ascii="Times New Roman;Times;serif" w:hAnsi="Times New Roman;Times;serif"/>
          <w:sz w:val="20"/>
        </w:rPr>
        <w:t>”). The DCGC contains both principles and best practice provisions on corporate governance that regulate relations between the management board and the general meeting of the shareholder of SCHMID and matters in respect of financial reporting, auditors, disclosure, compliance and enforcement standards. The DCGC is based on a “comply or explain” principle. Accordingly, companies are required to disclose in their annual reports (which are filed in the Netherlands) whether they comply with the provisions of the DCGC. If they do not comply with those provisions (for example, because of a conflicting NASDAQ requirement, we are required to give the reasons for such noncompliance. The DCGC applies to Dutch companies listed on a government-recognized stock exchange, whether in the Netherlands or elsewhere, including the NASDAQ.</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We acknowledge the importance of good corporate governance. However, we do not comply with all the provisions of the DCGC, to a large extent because such provisions conflict with or are inconsistent with the corporate governance rules of the NASDAQ and U.S. securities laws, or because we believe such provisions do not reflect customary practices of global companies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listed on the NASDAQ. Any such non-compliance may affect your rights as a shareholder, and you may not have the same level of protection as a shareholder in a Dutch company that fully complies with the DCGC.</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Shareholders may not be able to exercise pre-emptive rights and, as a result, may experience substantial dilution upon future issuances of shares.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Shareholders may be restricted or excluded by a resolution proposed by the management and adopted by the Extraordinary General Meeting of shareholders to exercise preemptive rights in case of further issuances of shares. Shareholders may be restricted or excluded by a resolution proposed by the management and adopted by the General Meeting to exercise pre-emptive rights in case of further issuances of shares. Such risk of dilution to shareholders exists for future resolutions passed by the Company’s Board or its shareholders and specifically recently shareholders have been diluted by the issuance of shares to the holders of the senior convertible notes of the Company. In several conversions under the note of $2 million in each case a total of 3,330,351 shares have been issued to date under the convertible note. Shareholders may continue to be diluted if the holders chose to convert further notes in the future. Currently $12 million remains outstanding under the 2028 Convertible Notes and $20 million remains outstanding under the 2029 Convertible Notes. In addition to any further conversions by the accounts managed by Linden of the 2028 Convertible Notes and the 2029 Convertible Notes, the Company has 21,000,000 Warrants outstanding and an additional 3,744,150 warrants held by the accounts managed by Linden, which would dilute shareholders’ shareholding if exercised. The Company has also signed a SEPA with Yorkville on May 12, 2026 under which it has access to equity financing of up to USD 30.0 million. As of the date of this registration statement, the Company has issued 1,490,000 Ordinary Shares, and may continue to issue Ordinary Shares under the SEPA. The share issuances under this SEPA also dilute shareholders’ shareholding.</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Restrictions under Dutch law and our Articles of Association may limit dividends and other distributions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Under Dutch law, we may only pay dividends to the extent our shareholders’ equity (</w:t>
      </w:r>
      <w:r>
        <w:rPr>
          <w:rFonts w:ascii="Times New Roman;Times;serif" w:hAnsi="Times New Roman;Times;serif"/>
          <w:i/>
          <w:sz w:val="20"/>
        </w:rPr>
        <w:t>eigen vermogen</w:t>
      </w:r>
      <w:r>
        <w:rPr>
          <w:rFonts w:ascii="Times New Roman;Times;serif" w:hAnsi="Times New Roman;Times;serif"/>
          <w:sz w:val="20"/>
        </w:rPr>
        <w:t>) exceeds the sum of the issued share capital plus the reserves which must be maintained by Dutch law or by our articles of association and (if it concerns a distribution of profits) after adoption of the annual accounts by our General Meeting from which it appears that such distribution is allowed. Subject to such restrictions, any future determination to pay dividends will be at the discretion of our Board and will depend on a number of factors, including our results of operations, earnings, cash flow, financial condition, future prospects, contractual restrictions, capital investment requirements, restrictions imposed by applicable law and other factors considered relevant by our Board.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Board may decide that all or part of our remaining profits shall be added to our reserves. After such reservation, any remaining profit will be at the disposal of the General Meeting at the proposal of our Board, subject to the applicable restrictions of Dutch law. Our Board is permitted, subject to certain requirements, to declare interim dividends without the approval of the General Meeting. Unless our Board sets another date for payment, dividends and other distributions will be made payable pursuant to a resolution of our Board within four (4) weeks after adoption. Claims for payment of dividends and other distributions not made within five years from the date that such dividends or distributions became due for payment will lapse, and any such amounts will be considered to have been forfeited to SCHMID (</w:t>
      </w:r>
      <w:r>
        <w:rPr>
          <w:rFonts w:ascii="Times New Roman;Times;serif" w:hAnsi="Times New Roman;Times;serif"/>
          <w:i/>
          <w:sz w:val="20"/>
        </w:rPr>
        <w:t>verjaring</w:t>
      </w:r>
      <w:r>
        <w:rPr>
          <w:rFonts w:ascii="Times New Roman;Times;serif" w:hAnsi="Times New Roman;Times;serif"/>
          <w:sz w:val="20"/>
        </w:rPr>
        <w: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Investors may have difficulty enforcing civil liabilities against us or the members of our management and our board.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SCHMID is incorporated in the Netherlands, and we expect to continue to conduct most of our operations in Germany or outside of the United States through our subsidiaries. A majority of our management and our directors are not United States residents and do not have significant assets in the United States, and the majority of our assets are located outside the United States. As a result, it may not be possible, or may be very difficult, to serve process on company representatives or the company in the United States, or to enforce judgments obtained in U.S. courts against our representatives or SCHMID based on civil liability provisions of the securities laws of the United States. There is no treaty between the United States and the Netherlands for the mutual recognition and enforcement of judgments (other than arbitration awards) in civil and commercial matters. Therefore, a final judgment for the payment of money rendered by any federal or state court in the United States based on civil liability, whether or not predicated solely upon the U.S. federal securities laws, would not be enforceable in the Netherlands unless the underlying claim is re-litigated before a Dutch court of competent jurisdiction. U.S. investors will be unable to enforce any judgments obtained in U.S. courts in civil and commercial matters, including judgments under the U.S. federal securities laws, against us, members of our management and our directors. In addition, there is doubt as to whether a Dutch court would impose civil liability on us or the members of our management or our directors in an original action predicated solely upon the U.S. federal securities laws brought in a court of competent jurisdiction in the Netherlands against us or our management or directors.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Dutch, German and European insolvency laws are substantially different from U.S. insolvency laws and may offer our shareholders less protection than they would have under U.S. insolvency laws.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a Dutch public limited liability company and as a company with its ‘center of main interest’ in Germany, we are subject to Dutch and German insolvency laws in the event any insolvency proceedings are initiated against us including, among other things, Regulation (EU) 2015/848 of the European Parliament and of the Council of May 20, 2015 on insolvency proceedings, as amended. Should courts in another European country determine that the insolvency laws of that country apply to us in accordance with and subject to such EU regulations, the courts in that country could have jurisdiction over the insolvency proceedings initiated against us. Insolvency laws in Germany, the Netherlands or the relevant other European country, if any, may offer our shareholders less protection than they would have under U.S. insolvency laws and make it more difficult for our shareholders to recover the amount they could expect to recover in a liquidation under U.S. insolvency laws.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Shareholders may be subject to limitations on transfers of their shares.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shares are transferable on the transfer agent’s books. However, the transfer agent may close its transfer books at any time or from time to time when it deems expedient in connection with the performance of its duties. In addition, the transfer agent may refuse to deliver, transfer or register transfers of shares generally when our books or the transfer agent’s books are closed, or at any time if we or the transfer agent deem it advisable to do so because of any requirement of law or of any government or governmental body, or under any provision of the deposit agreement, or for any other reason.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Our Articles of Association include sole and exclusive forum provisions.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sole and exclusive forum for any action, proceeding or claim against us under the Securities Act, the Exchange Act or any claim for which the federal district courts of the United States of America are the sole and exclusive forum, relating to our Articles of Association, shall be the federal district courts of the United States of America. This forum selection provision in our Articles of Association may limit our stockholders’ ability to obtain a favorable judicial forum for disputes with us. It is also possible that, notwithstanding the forum selection clause included in our Articles of Association, a court could rule that such a provision is inapplicable or unenforceable. We further note that investors cannot waive compliance with US federal securities laws and rules or regulations thereunder.</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Risks Related to Taxes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Our tax residency, including for purposes of the German-Dutch tax treaty, could be challenged, which could result in additional tax liabilities, compliance burdens, and adverse financial consequences.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are a public limited liabaility company (</w:t>
      </w:r>
      <w:r>
        <w:rPr>
          <w:rFonts w:ascii="Times New Roman;Times;serif" w:hAnsi="Times New Roman;Times;serif"/>
          <w:i/>
          <w:sz w:val="20"/>
        </w:rPr>
        <w:t>naamloze vennootschap</w:t>
      </w:r>
      <w:r>
        <w:rPr>
          <w:rFonts w:ascii="Times New Roman;Times;serif" w:hAnsi="Times New Roman;Times;serif"/>
          <w:sz w:val="20"/>
        </w:rPr>
        <w:t>) incorporated under the laws of the Netherlands. As a result, we could be regarded as a tax resident of the Netherlands under Dutch domestic law. At the same time, because our operative seat and key management and commercial decisions may be exercised in Germany, German tax authorities could take the position that we are tax resident in Germany under German domestic principles. If both states were to treat us as resident, we could be exposed to increased tax costs, administrative burdens, uncertainty regarding the allocation of taxing rights, and potential double taxation until the matter is resolved under applicable law and the procedures available under the relevant tax treaty.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tax residency in Germany for purposes of the convention between Germany and the Netherlands for the avoidance of double taxation and the prevention of fiscal evasion with respect to taxes on income (the “German-Dutch tax treaty”) is subject to the application of the provisions on tax residency as stipulated in the German-Dutch tax treaty as effective as of the date of this registration statement. Our tax residence is determined under the residence and “tie breaker” provisions of that treaty as in force and applicable as of the date of this prospectus.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addition, Germany and the Netherlands have signed the Multilateral Convention to Implement Tax Treaty Related Measures to Prevent Base Erosion and Profit Shifting (the “MLI”). The MLI can modify bilateral tax treaties between participating jurisdictions only where the treaty is designated as a “covered tax agreement” and both jurisdictions’. While the MLI has been in force for Germany since 1 April 2021, Germany’s current domestic framework for giving effect to MLI modifications does not include the German-Dutch tax treaty. Accordingly, as of the date of this registration statement, the MLI does not modify the German-Dutch tax treaty, and the treaty’s existing corporate residence tie breaker continues to apply.</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in the future, Germany and the Netherlands were to designate the German-Dutch tax treaty as a covered tax agreement for purposes of the MLI and complete any domestic procedures and notifications required for the MLI to take effect for that treaty, the treaty’s corporate residence tie breaker could be modified. Such a change could increase uncertainty as to our treaty residence position and could adversely affect our tax profile, cash flows, effective tax rate, and/or financial results.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Our ability to utilize our net operating loss and tax credit carryforwards to offset future taxable income may be subject to certain limitations, including losses as a result of the Business Combination.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have incurred significant tax losses in the past, which may be limited in their usability under German and other tax laws, in particular following significant shareholder changes. Although we do not expect the Business Combination to result in a forfeiture of our German tax loss attributes, the realization of future tax savings from such tax loss attributes depends on the tax authorities’ continued willingness to accept them and our ability to generate future taxable income in Germany against which such losses can be offset.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Future changes to tax laws could materially and adversely affect us and reduce net returns to our shareholders.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tax treatment is subject to changes in tax laws, regulations, and treaties, or the interpretation thereof, tax policy initiatives and reforms under consideration, and the practices of tax authorities in jurisdictions in which we operate. The income and other tax rules in the jurisdictions in which we operate are constantly under review by taxing authorities and other governmental bodies. Changes to tax laws (which may have retroactive application) could adversely affect us or our shareholders. The new Global Minimum Tax regime, which has already been implemented in Germany with effect from December 31, 2023, may lead to an increase of our overall tax burden.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are unable to predict what tax proposals may be proposed or enacted in the future or what effect such changes would have on our business, but such changes, to the extent they are brought into tax legislation, regulations, policies or practices, could affect our financial position overall or our effective tax rates in the future in countries where we have operations and where we are organized or deemed a resident for tax purposes, and increase the complexity, burden, and cost of tax compliance.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may be or become a PFIC, which could result in adverse U.S. federal income tax consequences to U.S. holders of Ordinary Shares or Public Warrants.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general, a non-U.S. corporation, such as us, will be a passive foreign investment company (“PFIC”) for U.S. federal income tax purposes in any taxable year in which, after applying relevant look-through rules with respect to the income and assets of its subsidiaries, (i) 75% or more of its gross income is passive income, and/or (ii) 50% or more of the value of its assets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Based on the expected composition of our gross assets and income and the manner in which we operated our business in 2024 and expect to operate our business in future years, we do not believe we were classified as a PFIC for U.S. federal income tax purposes for our 2024 taxable year nor do we expect to be classified as a PFIC in the foreseeable future. However, whether we are a PFIC is a factual determination made annually, and our status could change depending, among other things, upon changes in the composition and relative value of our gross receipts and assets. Accordingly, there can be no assurances that we will not be a PFIC for our 2025 or our 2026 taxable year or any future taxable years.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If we are a PFIC for any taxable year during which a U.S. holder owns Ordinary Shares, the U.S. holder generally will be subject to adverse U.S. federal income tax consequences and additional reporting requirements. U.S. holders of Ordinary Shares and Public Warrants should consult their tax advisors regarding the application of the PFIC rules to us and the risks of investing in a company that may be a PFIC.</w:t>
      </w:r>
    </w:p>
    <w:p>
      <w:pPr>
        <w:pStyle w:val="TextBody"/>
        <w:bidi w:val="0"/>
        <w:spacing w:before="0" w:after="0"/>
        <w:ind w:left="200" w:right="200" w:firstLine="36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33" w:name="USEOFPROCEEDS_25574"/>
      <w:bookmarkStart w:id="34" w:name="_98e442f3_9796_4b82_ba6b_5573abbf5d80"/>
      <w:bookmarkEnd w:id="33"/>
      <w:bookmarkEnd w:id="34"/>
      <w:r>
        <w:rPr>
          <w:rFonts w:ascii="Times New Roman;Times;serif" w:hAnsi="Times New Roman;Times;serif"/>
          <w:b/>
          <w:sz w:val="20"/>
        </w:rPr>
        <w:t>USE OF PROCEEDS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All of the Ordinary Shares offered by the selling securityholders pursuant to this prospectus will be sold by the selling securityholders for their respective accounts. We will not receive any of the proceeds from such sales. We will pay certain expenses associated with the registration of the securities covered by this prospectus, as described in the section titled “</w:t>
      </w:r>
      <w:r>
        <w:rPr>
          <w:rFonts w:ascii="Times New Roman;Times;serif" w:hAnsi="Times New Roman;Times;serif"/>
          <w:i/>
          <w:sz w:val="20"/>
        </w:rPr>
        <w:t>Plan of Distribution</w:t>
      </w:r>
      <w:r>
        <w:rPr>
          <w:rFonts w:ascii="Times New Roman;Times;serif" w:hAnsi="Times New Roman;Times;serif"/>
          <w:sz w:val="20"/>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35" w:name="DETERMINATIONOFOFFERINGPRICE_710016"/>
      <w:bookmarkStart w:id="36" w:name="_ba142446_af09_4941_8130_2e5d8dc87407"/>
      <w:bookmarkEnd w:id="35"/>
      <w:bookmarkEnd w:id="36"/>
      <w:r>
        <w:rPr>
          <w:rFonts w:ascii="Times New Roman;Times;serif" w:hAnsi="Times New Roman;Times;serif"/>
          <w:b/>
          <w:sz w:val="20"/>
        </w:rPr>
        <w:t>DETERMINATION OF OFFERING PRICE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offering price of the Ordinary Shares underlying the 2029 Convertible Notes is determined by the conversion price mechanism in the indenture, which provides for a floor conversion price of $1.93 and a maximum conversion price of $10.50 per Ordinary Share.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Selling Securityholders may sell the Ordinary Shares offered by this prospectus at prevailing market prices, at prices related to prevailing market prices, at varying prices determined at the time of sale, at negotiated prices, or at fixed prices. We will not determine the prices at which the Selling Securityholders may sell the Ordinary Shares. See “</w:t>
      </w:r>
      <w:r>
        <w:rPr>
          <w:rFonts w:ascii="Times New Roman;Times;serif" w:hAnsi="Times New Roman;Times;serif"/>
          <w:i/>
          <w:sz w:val="20"/>
        </w:rPr>
        <w:t>Plan of Distribution</w:t>
      </w:r>
      <w:r>
        <w:rPr>
          <w:rFonts w:ascii="Times New Roman;Times;serif" w:hAnsi="Times New Roman;Times;serif"/>
          <w:sz w:val="20"/>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37" w:name="MARKETINFORMATIONFORORDINARYSHARESANDDIV"/>
      <w:bookmarkStart w:id="38" w:name="_5747748f_0cb7_4218_8f0a_94560def8e38"/>
      <w:bookmarkEnd w:id="37"/>
      <w:bookmarkEnd w:id="38"/>
      <w:r>
        <w:rPr>
          <w:rFonts w:ascii="Times New Roman;Times;serif" w:hAnsi="Times New Roman;Times;serif"/>
          <w:b/>
          <w:sz w:val="20"/>
        </w:rPr>
        <w:t>MARKET INFORMATION FOR ORDINARY SHARES AND DIVIDEND POLICY</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Market Information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Ordinary shares and Private Warrants are currently listed on the Nasdaq Global Select Market under the symbols “SHMD” and “SHMD.W,” respectively. We currently do not intend to list the Private Warrants offered hereby on any stock exchange or stock market.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Dividend Policy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have never declared or paid any cash dividends on our ordinary shares and we do not anticipate paying any dividends on our ordinary shares for the foreseeable future. We currently intend to retain any earnings for future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Under Dutch law, we may only pay dividends to the extent our shareholders’ equity (</w:t>
      </w:r>
      <w:r>
        <w:rPr>
          <w:rFonts w:ascii="Times New Roman;Times;serif" w:hAnsi="Times New Roman;Times;serif"/>
          <w:i/>
          <w:sz w:val="20"/>
        </w:rPr>
        <w:t>eigen vermogen</w:t>
      </w:r>
      <w:r>
        <w:rPr>
          <w:rFonts w:ascii="Times New Roman;Times;serif" w:hAnsi="Times New Roman;Times;serif"/>
          <w:sz w:val="20"/>
        </w:rPr>
        <w:t>) exceeds the sum of the paid-up and called-up share capital plus the reserves required to be maintained by Dutch law or by our articles of association and (if it concerns a distribution of profits) after adoption of the annual accounts by our General Meeting from which it appears that such distribution is allowed. Subject to such restrictions, any future determination to pay dividends will be at the discretion of the Board and will depend on a number of factors, including our results of operations, earnings, cash flow, financial condition, future prospects, contractual restrictions, capital investment requirements, restrictions imposed by applicable law and other factors considered relevant by the Board.</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Our Board may decide that all or part of our remaining profits shall be added to our reserves. After such reservation, any remaining profit will be at the disposal of the General Meeting at the proposal of our Board, subject to the applicable restrictions of Dutch law. Our Board is permitted, subject to certain requirements, to declare interim dividends without the approval of the General Meeting. Dividends and other distributions shall be made payable not later than the date determined by the corporate body that declares the (interim) dividend. Claims to dividends and other distributions not made within five years from the date that such dividends or distributions became payable will lapse and any such amounts will be considered to have been forfeited to us (</w:t>
      </w:r>
      <w:r>
        <w:rPr>
          <w:rFonts w:ascii="Times New Roman;Times;serif" w:hAnsi="Times New Roman;Times;serif"/>
          <w:i/>
          <w:sz w:val="20"/>
        </w:rPr>
        <w:t>verjaring</w:t>
      </w:r>
      <w:r>
        <w:rPr>
          <w:rFonts w:ascii="Times New Roman;Times;serif" w:hAnsi="Times New Roman;Times;serif"/>
          <w:sz w:val="20"/>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39" w:name="CAPITALIZATION_844910"/>
      <w:bookmarkStart w:id="40" w:name="_3fa76a5b_88cf_4823_932c_3e999747047a"/>
      <w:bookmarkEnd w:id="39"/>
      <w:bookmarkEnd w:id="40"/>
      <w:r>
        <w:rPr>
          <w:rFonts w:ascii="Times New Roman;Times;serif" w:hAnsi="Times New Roman;Times;serif"/>
          <w:b/>
          <w:sz w:val="20"/>
        </w:rPr>
        <w:t>CAPITALIZATION</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The following table sets forth our capitalization as of December 31, 2025. The information in this table should be read in conjunction with the financial statements and notes thereto and other financial information included in this prospectus and any prospectus supplement and the information under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The following table also sets out an “as adjusted” column showing the effects of certain material transactions completed in 2026 as follows: (a) the issuance of shares to XJ Harbour HK Limited completed on January 16, 2026 and the related set-off of financial liabilities to XJ Harbour HK Limited; (b) the issuance of the 2028 Convertible Notes and the 2029 Convertible Notes; (c) the issuance of Ordinary Shares including the new Ordinary Shares, the Ordinary Shares issued to directors, employees, officers of the Company and Yorkville as well as the Ordinary Shares issued upon the conversion of the 2028 Convertible Notes; (d) issuance of which 4,958,481 Ordinary Shares against set-off of indebtedness in an aggregate amount of EUR 30.75 million owed to Anette Schmid, Christian Schmid, Schmid Grundstücke GmbH &amp; Co KG and Christine Schmid. The “as adjusted” column does not show the effects of certain other smaller transactions such as issuances of certain shares to several managers and board directors or to Yorkville under the SEPA.</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Our historical results do not necessarily indicate our expected results for any future periods.</w:t>
      </w:r>
    </w:p>
    <w:p>
      <w:pPr>
        <w:pStyle w:val="Normal"/>
        <w:bidi w:val="0"/>
        <w:spacing w:before="200" w:after="200"/>
        <w:ind w:left="200" w:right="200" w:hanging="0"/>
        <w:jc w:val="left"/>
        <w:rPr>
          <w:sz w:val="4"/>
          <w:szCs w:val="4"/>
        </w:rPr>
      </w:pPr>
      <w:r>
        <w:rPr>
          <w:sz w:val="4"/>
          <w:szCs w:val="4"/>
        </w:rPr>
      </w:r>
      <w:bookmarkStart w:id="41" w:name="_Hlk221547345"/>
      <w:bookmarkStart w:id="42" w:name="_Hlk221547345"/>
      <w:bookmarkEnd w:id="42"/>
    </w:p>
    <w:tbl>
      <w:tblPr>
        <w:tblW w:w="6980" w:type="dxa"/>
        <w:jc w:val="left"/>
        <w:tblInd w:w="200" w:type="dxa"/>
        <w:tblLayout w:type="fixed"/>
        <w:tblCellMar>
          <w:top w:w="0" w:type="dxa"/>
          <w:left w:w="0" w:type="dxa"/>
          <w:bottom w:w="0" w:type="dxa"/>
          <w:right w:w="0" w:type="dxa"/>
        </w:tblCellMar>
      </w:tblPr>
      <w:tblGrid>
        <w:gridCol w:w="4276"/>
        <w:gridCol w:w="346"/>
        <w:gridCol w:w="901"/>
        <w:gridCol w:w="346"/>
        <w:gridCol w:w="1111"/>
      </w:tblGrid>
      <w:tr>
        <w:trPr/>
        <w:tc>
          <w:tcPr>
            <w:tcW w:w="4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ind w:left="0" w:right="0" w:hanging="0"/>
              <w:jc w:val="left"/>
              <w:rPr>
                <w:sz w:val="4"/>
                <w:szCs w:val="4"/>
              </w:rPr>
            </w:pPr>
            <w:r>
              <w:rPr>
                <w:sz w:val="4"/>
                <w:szCs w:val="4"/>
              </w:rPr>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2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0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(Actual)</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adjusted)</w:t>
            </w:r>
          </w:p>
        </w:tc>
      </w:tr>
      <w:tr>
        <w:trPr/>
        <w:tc>
          <w:tcPr>
            <w:tcW w:w="4276" w:type="dxa"/>
            <w:tcBorders>
              <w:top w:val="single" w:sz="2" w:space="0" w:color="000000"/>
            </w:tcBorders>
            <w:shd w:fill="CCEEFF" w:val="clear"/>
            <w:tcMar>
              <w:top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Cash and cash equivalents</w:t>
            </w:r>
            <w:r>
              <w:rPr>
                <w:rFonts w:ascii="Times New Roman;Times;serif" w:hAnsi="Times New Roman;Times;serif"/>
                <w:b/>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1,574</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42,501</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liabilities:</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2028 Convertible Notes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10,494</w:t>
            </w:r>
          </w:p>
        </w:tc>
      </w:tr>
      <w:tr>
        <w:trPr/>
        <w:tc>
          <w:tcPr>
            <w:tcW w:w="4276"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2029 Convertible Notes</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17,490</w:t>
            </w:r>
          </w:p>
        </w:tc>
      </w:tr>
      <w:tr>
        <w:trPr/>
        <w:tc>
          <w:tcPr>
            <w:tcW w:w="4276"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XJ Harbour set-off of liabilities</w:t>
            </w:r>
            <w:r>
              <w:rPr>
                <w:rFonts w:ascii="Times New Roman;Times;serif" w:hAnsi="Times New Roman;Times;serif"/>
                <w:sz w:val="15"/>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(64,267)</w:t>
            </w:r>
          </w:p>
        </w:tc>
      </w:tr>
      <w:tr>
        <w:trPr/>
        <w:tc>
          <w:tcPr>
            <w:tcW w:w="4276"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current and non-current financial liabilities</w:t>
            </w:r>
            <w:r>
              <w:rPr>
                <w:rFonts w:ascii="Times New Roman;Times;serif" w:hAnsi="Times New Roman;Times;serif"/>
                <w:sz w:val="15"/>
              </w:rPr>
              <w:t>(5)</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158,666</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158,666</w:t>
            </w:r>
          </w:p>
        </w:tc>
      </w:tr>
      <w:tr>
        <w:trPr/>
        <w:tc>
          <w:tcPr>
            <w:tcW w:w="42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Set-off of liabilities on May 23, 2026</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(30,750)</w:t>
            </w:r>
          </w:p>
        </w:tc>
      </w:tr>
      <w:tr>
        <w:trPr/>
        <w:tc>
          <w:tcPr>
            <w:tcW w:w="4276"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Total financial liabilities</w:t>
            </w:r>
            <w:r>
              <w:rPr>
                <w:rFonts w:ascii="Times New Roman;Times;serif" w:hAnsi="Times New Roman;Times;serif"/>
                <w:b/>
                <w:sz w:val="15"/>
              </w:rPr>
              <w:t>(6)</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158,666</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91,633</w:t>
            </w:r>
          </w:p>
        </w:tc>
      </w:tr>
      <w:tr>
        <w:trPr/>
        <w:tc>
          <w:tcPr>
            <w:tcW w:w="42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attributable to owners of SCHMID</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(132,744)</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(132,744)</w:t>
            </w:r>
          </w:p>
        </w:tc>
      </w:tr>
      <w:tr>
        <w:trPr/>
        <w:tc>
          <w:tcPr>
            <w:tcW w:w="4276"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XJ Harbour share issue</w:t>
            </w:r>
            <w:r>
              <w:rPr>
                <w:rFonts w:ascii="Times New Roman;Times;serif" w:hAnsi="Times New Roman;Times;serif"/>
                <w:sz w:val="15"/>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64,267</w:t>
            </w:r>
          </w:p>
        </w:tc>
      </w:tr>
      <w:tr>
        <w:trPr/>
        <w:tc>
          <w:tcPr>
            <w:tcW w:w="4276"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2028 Convertible Notes converted</w:t>
            </w:r>
            <w:r>
              <w:rPr>
                <w:rFonts w:ascii="Times New Roman;Times;serif" w:hAnsi="Times New Roman;Times;serif"/>
                <w:sz w:val="15"/>
              </w:rPr>
              <w:t>(7)</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15,741</w:t>
            </w:r>
          </w:p>
        </w:tc>
      </w:tr>
      <w:tr>
        <w:trPr/>
        <w:tc>
          <w:tcPr>
            <w:tcW w:w="42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new Ordinary Shares on May 23, 2026</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30,750</w:t>
            </w:r>
          </w:p>
        </w:tc>
      </w:tr>
      <w:tr>
        <w:trPr/>
        <w:tc>
          <w:tcPr>
            <w:tcW w:w="42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r>
      <w:tr>
        <w:trPr/>
        <w:tc>
          <w:tcPr>
            <w:tcW w:w="42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Equity</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(132,165)</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(21,407)</w:t>
            </w:r>
          </w:p>
        </w:tc>
      </w:tr>
    </w:tbl>
    <w:tbl>
      <w:tblPr>
        <w:tblW w:w="9805" w:type="dxa"/>
        <w:jc w:val="left"/>
        <w:tblInd w:w="200" w:type="dxa"/>
        <w:tblLayout w:type="fixed"/>
        <w:tblCellMar>
          <w:top w:w="0" w:type="dxa"/>
          <w:left w:w="0" w:type="dxa"/>
          <w:bottom w:w="0" w:type="dxa"/>
          <w:right w:w="0" w:type="dxa"/>
        </w:tblCellMar>
      </w:tblPr>
      <w:tblGrid>
        <w:gridCol w:w="300"/>
        <w:gridCol w:w="9505"/>
      </w:tblGrid>
      <w:tr>
        <w:trPr/>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(as adjusted) includes the net proceeds from: (i) the 2028 Convertible Notes with an initial principal amount of $30 million with an original issuance discount of 2%, $1.5 million in fees, shown at an exchange rate of €1 to $1.1591 and (ii) the 2029 Convertible Notes with an initial principal amount of $20 million, with an original issuance discount of 1%, $1 million fees, shown at an exchange rate of €1 to $1.1435.</w:t>
            </w:r>
          </w:p>
        </w:tc>
      </w:tr>
    </w:tbl>
    <w:tbl>
      <w:tblPr>
        <w:tblW w:w="9805" w:type="dxa"/>
        <w:jc w:val="left"/>
        <w:tblInd w:w="200" w:type="dxa"/>
        <w:tblLayout w:type="fixed"/>
        <w:tblCellMar>
          <w:top w:w="0" w:type="dxa"/>
          <w:left w:w="0" w:type="dxa"/>
          <w:bottom w:w="0" w:type="dxa"/>
          <w:right w:w="0" w:type="dxa"/>
        </w:tblCellMar>
      </w:tblPr>
      <w:tblGrid>
        <w:gridCol w:w="320"/>
        <w:gridCol w:w="9485"/>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Relates to the outstanding 2028 Convertible Notes with a principal amount of $12 million (outstanding as of date of this registration statement), shown at an exchange rate of €1 to $1.1435.</w:t>
            </w:r>
          </w:p>
        </w:tc>
      </w:tr>
    </w:tbl>
    <w:tbl>
      <w:tblPr>
        <w:tblW w:w="9805" w:type="dxa"/>
        <w:jc w:val="left"/>
        <w:tblInd w:w="200" w:type="dxa"/>
        <w:tblLayout w:type="fixed"/>
        <w:tblCellMar>
          <w:top w:w="0" w:type="dxa"/>
          <w:left w:w="0" w:type="dxa"/>
          <w:bottom w:w="0" w:type="dxa"/>
          <w:right w:w="0" w:type="dxa"/>
        </w:tblCellMar>
      </w:tblPr>
      <w:tblGrid>
        <w:gridCol w:w="320"/>
        <w:gridCol w:w="9485"/>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Relates to the outstanding 2029 Convertible Notes with a principal amount of $20 million (outstanding as of date of this registration statement), shown at an exchange rate of €1 to $1.1435.</w:t>
            </w:r>
          </w:p>
        </w:tc>
      </w:tr>
    </w:tbl>
    <w:tbl>
      <w:tblPr>
        <w:tblW w:w="9805" w:type="dxa"/>
        <w:jc w:val="left"/>
        <w:tblInd w:w="200" w:type="dxa"/>
        <w:tblLayout w:type="fixed"/>
        <w:tblCellMar>
          <w:top w:w="0" w:type="dxa"/>
          <w:left w:w="0" w:type="dxa"/>
          <w:bottom w:w="0" w:type="dxa"/>
          <w:right w:w="0" w:type="dxa"/>
        </w:tblCellMar>
      </w:tblPr>
      <w:tblGrid>
        <w:gridCol w:w="319"/>
        <w:gridCol w:w="9486"/>
      </w:tblGrid>
      <w:tr>
        <w:trPr/>
        <w:tc>
          <w:tcPr>
            <w:tcW w:w="3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4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amount relates to the XJ Harbour HK Limited share liability as of December 31, 2025 which was reclassified as equity upon the issuance of shares to XJ Harbour HK Limited on January 16, 2026.</w:t>
            </w:r>
          </w:p>
        </w:tc>
      </w:tr>
    </w:tbl>
    <w:tbl>
      <w:tblPr>
        <w:tblW w:w="7322" w:type="dxa"/>
        <w:jc w:val="left"/>
        <w:tblInd w:w="200" w:type="dxa"/>
        <w:tblLayout w:type="fixed"/>
        <w:tblCellMar>
          <w:top w:w="0" w:type="dxa"/>
          <w:left w:w="0" w:type="dxa"/>
          <w:bottom w:w="0" w:type="dxa"/>
          <w:right w:w="0" w:type="dxa"/>
        </w:tblCellMar>
      </w:tblPr>
      <w:tblGrid>
        <w:gridCol w:w="346"/>
        <w:gridCol w:w="697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9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financial liabilities includes other current and non-current financial liabilities.</w:t>
            </w:r>
          </w:p>
        </w:tc>
      </w:tr>
    </w:tbl>
    <w:tbl>
      <w:tblPr>
        <w:tblW w:w="9805" w:type="dxa"/>
        <w:jc w:val="left"/>
        <w:tblInd w:w="200" w:type="dxa"/>
        <w:tblLayout w:type="fixed"/>
        <w:tblCellMar>
          <w:top w:w="0" w:type="dxa"/>
          <w:left w:w="0" w:type="dxa"/>
          <w:bottom w:w="0" w:type="dxa"/>
          <w:right w:w="0" w:type="dxa"/>
        </w:tblCellMar>
      </w:tblPr>
      <w:tblGrid>
        <w:gridCol w:w="319"/>
        <w:gridCol w:w="9486"/>
      </w:tblGrid>
      <w:tr>
        <w:trPr/>
        <w:tc>
          <w:tcPr>
            <w:tcW w:w="3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4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financial liabilities do not include EUR 8.6 million in lease liabilities as of December 31, 2025. In addition, they also do not include certain other liabilities which are not financial liabilities.</w:t>
            </w:r>
          </w:p>
        </w:tc>
      </w:tr>
    </w:tbl>
    <w:tbl>
      <w:tblPr>
        <w:tblW w:w="9805" w:type="dxa"/>
        <w:jc w:val="left"/>
        <w:tblInd w:w="200" w:type="dxa"/>
        <w:tblLayout w:type="fixed"/>
        <w:tblCellMar>
          <w:top w:w="0" w:type="dxa"/>
          <w:left w:w="0" w:type="dxa"/>
          <w:bottom w:w="0" w:type="dxa"/>
          <w:right w:w="0" w:type="dxa"/>
        </w:tblCellMar>
      </w:tblPr>
      <w:tblGrid>
        <w:gridCol w:w="319"/>
        <w:gridCol w:w="9486"/>
      </w:tblGrid>
      <w:tr>
        <w:trPr/>
        <w:tc>
          <w:tcPr>
            <w:tcW w:w="3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4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Relates to the $18 million of the $30 million of 2028 Convertible Notes that have been converted into shares as of the date of this registration statement shown at an exchange rate of €1 to $1.1435.</w:t>
            </w:r>
            <w:r>
              <w:rPr>
                <w:caps w:val="false"/>
                <w:smallCaps w:val="false"/>
                <w:spacing w:val="-3"/>
              </w:rPr>
              <w:t xml:space="preserve">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43" w:name="BUSINESSOFSCHMIDANDCERTAININFORMATIONABO"/>
      <w:bookmarkStart w:id="44" w:name="_76c4f898_e1c9_4e99_96b1_74fbb9432065"/>
      <w:bookmarkEnd w:id="43"/>
      <w:bookmarkEnd w:id="44"/>
      <w:r>
        <w:rPr>
          <w:rFonts w:ascii="Times New Roman;Times;serif" w:hAnsi="Times New Roman;Times;serif"/>
          <w:b/>
          <w:sz w:val="20"/>
        </w:rPr>
        <w:t>BUSINESS OF SCHMID AND CERTAIN INFORMATION ABOUT SCHMID</w:t>
      </w:r>
    </w:p>
    <w:p>
      <w:pPr>
        <w:pStyle w:val="TextBody"/>
        <w:bidi w:val="0"/>
        <w:spacing w:before="0" w:after="240"/>
        <w:ind w:left="200" w:right="200" w:firstLine="360"/>
        <w:jc w:val="left"/>
        <w:rPr>
          <w:rFonts w:ascii="Times New Roman;Times;serif" w:hAnsi="Times New Roman;Times;serif"/>
          <w:i/>
          <w:sz w:val="20"/>
        </w:rPr>
      </w:pPr>
      <w:r>
        <w:rPr>
          <w:rFonts w:ascii="Times New Roman;Times;serif" w:hAnsi="Times New Roman;Times;serif"/>
          <w:i/>
          <w:sz w:val="20"/>
        </w:rPr>
        <w:t>Unless the context indicates otherwise, the terms “Company”, “SCHMID,” “we,” “our” or “us” as used herein refers to Gebr. Schmid GmbH and its subsidiaries.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Introduction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are a global supplier of equipment, software and services for various industries such as printed circuit board (“</w:t>
      </w:r>
      <w:r>
        <w:rPr>
          <w:rFonts w:ascii="Times New Roman;Times;serif" w:hAnsi="Times New Roman;Times;serif"/>
          <w:b/>
          <w:sz w:val="20"/>
        </w:rPr>
        <w:t>PCB</w:t>
      </w:r>
      <w:r>
        <w:rPr>
          <w:rFonts w:ascii="Times New Roman;Times;serif" w:hAnsi="Times New Roman;Times;serif"/>
          <w:sz w:val="20"/>
        </w:rPr>
        <w:t>”), substrate manufacturing, glass and photovoltaics with a focus on the highest end of these markets in terms of technology and performance. We are a long-established, fifth- generation family-controlled business that was founded in 1864 in Freudenstadt, Germany as an iron foundry and has a tradition of being at the forefront of technology. Throughout the more than 160 years of our operations, we have maintained sustainable operations by developing our products following trends on the market. We have been developing machines for the electronics industry since the 1960s and photovoltaics solutions since the early 2000s. We focus on a modular product portfolio of machinery to use in the manufacturing of high-end PCB equipment and semiconductor packaging devices which includes common flexible circuit fabrication techniques such as subtractive, semi-additive processes (“</w:t>
      </w:r>
      <w:r>
        <w:rPr>
          <w:rFonts w:ascii="Times New Roman;Times;serif" w:hAnsi="Times New Roman;Times;serif"/>
          <w:b/>
          <w:sz w:val="20"/>
        </w:rPr>
        <w:t>SAP</w:t>
      </w:r>
      <w:r>
        <w:rPr>
          <w:rFonts w:ascii="Times New Roman;Times;serif" w:hAnsi="Times New Roman;Times;serif"/>
          <w:sz w:val="20"/>
        </w:rPr>
        <w:t>”) and modified semi additive processes (“</w:t>
      </w:r>
      <w:r>
        <w:rPr>
          <w:rFonts w:ascii="Times New Roman;Times;serif" w:hAnsi="Times New Roman;Times;serif"/>
          <w:b/>
          <w:sz w:val="20"/>
        </w:rPr>
        <w:t>mSAP</w:t>
      </w:r>
      <w:r>
        <w:rPr>
          <w:rFonts w:ascii="Times New Roman;Times;serif" w:hAnsi="Times New Roman;Times;serif"/>
          <w:sz w:val="20"/>
        </w:rPr>
        <w:t>”). We are a global supplier of capital equipment, software and services for the PCB and substrate manufacturing industry. We focus on the highest end of the market in terms of technology and performance. We do not only develop production techniques and build machines ourselves; we are also extensively working with our customers on joint research &amp; development projects for the next generation of electronics products. We produce our products in two manufacturing sites, one in Germany and one in China. In addition, we have built an extensive service and sales network in six centers in the US, Europe, and Asia. In addition to our sale and service centers and two manufacturing sites, in South Korea we also work with our partners in SCHMID Avaco Korea, Co. Ltd. which we account for using the equity method. We also provide customer service through which we assist our customers with machinery and software upgrades, spare parts, logistics, customer training in multiple languages, on-site management, maintenance contracts, and project management.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have developed and applied for patents for the embedded traces (“</w:t>
      </w:r>
      <w:r>
        <w:rPr>
          <w:rFonts w:ascii="Times New Roman;Times;serif" w:hAnsi="Times New Roman;Times;serif"/>
          <w:b/>
          <w:sz w:val="20"/>
        </w:rPr>
        <w:t>ET</w:t>
      </w:r>
      <w:r>
        <w:rPr>
          <w:rFonts w:ascii="Times New Roman;Times;serif" w:hAnsi="Times New Roman;Times;serif"/>
          <w:sz w:val="20"/>
        </w:rPr>
        <w:t>”), PCB and substrate production processes that allow a significant increase in manufacturing precision as well as enhanced design features while also achieving cost savings compared to traditional processes and reduce the CO2 emissions of the overall production processes. We believe that our ET technology will gain a significant share of the high- end PCB and substrate market as it has substantial advantages in technology capabilities, cost and to reduce emissions as well as water consumption for production processes (greener production processes). We believe these innovative production processes create a sustainable competitive advantage that helps us reach new customers and allows us to continue to grow our market share and capitalize on the overall positive market growth trends.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customers include large, global original equipment manufacturer (“</w:t>
      </w:r>
      <w:r>
        <w:rPr>
          <w:rFonts w:ascii="Times New Roman;Times;serif" w:hAnsi="Times New Roman;Times;serif"/>
          <w:b/>
          <w:sz w:val="20"/>
        </w:rPr>
        <w:t>OEM</w:t>
      </w:r>
      <w:r>
        <w:rPr>
          <w:rFonts w:ascii="Times New Roman;Times;serif" w:hAnsi="Times New Roman;Times;serif"/>
          <w:sz w:val="20"/>
        </w:rPr>
        <w:t>”) from the semiconductor, consumer electronics industry, space and defense electronics and companies that are part of the supply chain of such global companies.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have a research and development focused business model. We develop and build innovative machines and systems for wet &amp; vacuum processing in various industries spanning high-end electronics such as PCB and organic packaging, photovoltaics and special glass applications as well as other high-tech industries. We employ more than 150 scientists, engineers and development personnel to focus on new technologies and processes out of a total of approximately 734 employees (by headcount) globally. As a result, we consistently invest a significant amount in R&amp;D. Our science, engineering and development staff work in close collaboration with our customers to jointly develop high-value solutions. Such collaboration may reduce commercial risk, given that solutions are specifically developed for customers. The remainder of our R&amp;D investment is focused on developing next-generation technologies, often as part of a collaborative process with our customers. In addition, we work with universities and leading research institutes such as the Fraunhofer Institute for Solar Energy Systems.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expect to continue to invest in the future focusing on three primary areas: (i) growth for ET and glass substrate projects, which have higher working capital needs compared to other technologies; and (ii) strategic investments in automation solutions, such as the next generation of fully automatic factories.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Our Business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operate our business by providing machines for industries, including, but not limited to, consumer electronics and space and defense electronics, and we provide after-sale services to customers across all industries. For all relevant industries which we see as our customer markets, we offer our core products, such as our machines, as well as technology and customer service support to our customers. Although these industries each have varied end-markets and customers, our expertise, high-quality standards and global scale are essential in both areas. Our equipment covers a wide range of production steps.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leverage our research and development investment and cooperate with our research and development partners (universities and institutes) and our clients as we seek to benefit from technologies, innovations, best practices, and other key learnings across our product portfolio. These efforts often result in innovative strength, allowing us to be at the forefront of technology, with high-quality standards for long-lasting and reliable products to meet customer needs, such as understanding the needs of global electronics OEMs for efficient continuous production of higher spec devices with a reduced environmental footprint. We believe we have a track record of delivering disruptive technology solutions and that our strong, long-lasting relationships with key technology OEMs and other customers in their supply chain will remain the key drivers of demand for our electronics products and services in the future.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shows our revenue by country (based on customer location) for the fiscal year 2025:</w:t>
      </w:r>
    </w:p>
    <w:tbl>
      <w:tblPr>
        <w:tblW w:w="4130" w:type="dxa"/>
        <w:jc w:val="left"/>
        <w:tblInd w:w="200" w:type="dxa"/>
        <w:tblLayout w:type="fixed"/>
        <w:tblCellMar>
          <w:top w:w="0" w:type="dxa"/>
          <w:left w:w="0" w:type="dxa"/>
          <w:bottom w:w="0" w:type="dxa"/>
          <w:right w:w="0" w:type="dxa"/>
        </w:tblCellMar>
      </w:tblPr>
      <w:tblGrid>
        <w:gridCol w:w="1981"/>
        <w:gridCol w:w="346"/>
        <w:gridCol w:w="676"/>
        <w:gridCol w:w="346"/>
        <w:gridCol w:w="781"/>
      </w:tblGrid>
      <w:tr>
        <w:trPr/>
        <w:tc>
          <w:tcPr>
            <w:tcW w:w="19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ind w:left="0" w:right="0" w:hanging="0"/>
              <w:jc w:val="left"/>
              <w:rPr>
                <w:sz w:val="4"/>
                <w:szCs w:val="4"/>
              </w:rPr>
            </w:pPr>
            <w:r>
              <w:rPr>
                <w:sz w:val="4"/>
                <w:szCs w:val="4"/>
              </w:rPr>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257935" cy="175260"/>
                      <wp:effectExtent l="0" t="0" r="0" b="0"/>
                      <wp:wrapNone/>
                      <wp:docPr id="17" name="Frame17"/>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95935" cy="175260"/>
                      <wp:effectExtent l="0" t="0" r="0" b="0"/>
                      <wp:wrapNone/>
                      <wp:docPr id="19" name="Frame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981"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China</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25,702</w:t>
            </w:r>
          </w:p>
        </w:tc>
        <w:tc>
          <w:tcPr>
            <w:tcW w:w="346" w:type="dxa"/>
            <w:tcBorders/>
            <w:shd w:fill="CCEEFF" w:val="clear"/>
            <w:vAlign w:val="center"/>
          </w:tcPr>
          <w:p>
            <w:pPr>
              <w:pStyle w:val="TableContents"/>
              <w:bidi w:val="0"/>
              <w:spacing w:before="0" w:after="0"/>
              <w:ind w:left="0" w:right="0" w:hanging="0"/>
              <w:jc w:val="right"/>
              <w:rPr/>
            </w:pPr>
            <w:r>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16,480</w:t>
            </w:r>
          </w:p>
        </w:tc>
      </w:tr>
      <w:tr>
        <w:trPr/>
        <w:tc>
          <w:tcPr>
            <w:tcW w:w="19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USA</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19,770</w:t>
            </w:r>
          </w:p>
        </w:tc>
        <w:tc>
          <w:tcPr>
            <w:tcW w:w="34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22,207</w:t>
            </w:r>
          </w:p>
        </w:tc>
      </w:tr>
      <w:tr>
        <w:trPr/>
        <w:tc>
          <w:tcPr>
            <w:tcW w:w="19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4,154</w:t>
            </w:r>
          </w:p>
        </w:tc>
        <w:tc>
          <w:tcPr>
            <w:tcW w:w="346"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3,819</w:t>
            </w:r>
          </w:p>
        </w:tc>
      </w:tr>
      <w:tr>
        <w:trPr/>
        <w:tc>
          <w:tcPr>
            <w:tcW w:w="19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EMEA w/o Germany</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9,841</w:t>
            </w:r>
          </w:p>
        </w:tc>
        <w:tc>
          <w:tcPr>
            <w:tcW w:w="346" w:type="dxa"/>
            <w:tcBorders/>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12,728</w:t>
            </w:r>
          </w:p>
        </w:tc>
      </w:tr>
      <w:tr>
        <w:trPr/>
        <w:tc>
          <w:tcPr>
            <w:tcW w:w="19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 of Asia w/o China</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7,477</w:t>
            </w:r>
          </w:p>
        </w:tc>
        <w:tc>
          <w:tcPr>
            <w:tcW w:w="346" w:type="dxa"/>
            <w:tcBorders/>
            <w:shd w:fill="CCEEFF" w:val="clear"/>
            <w:vAlign w:val="center"/>
          </w:tcPr>
          <w:p>
            <w:pPr>
              <w:pStyle w:val="TableContents"/>
              <w:bidi w:val="0"/>
              <w:spacing w:before="0" w:after="0"/>
              <w:ind w:left="0" w:right="0" w:hanging="0"/>
              <w:jc w:val="right"/>
              <w:rPr/>
            </w:pPr>
            <w:r>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5,551</w:t>
            </w:r>
          </w:p>
        </w:tc>
      </w:tr>
      <w:tr>
        <w:trPr/>
        <w:tc>
          <w:tcPr>
            <w:tcW w:w="19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 of the World</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19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66,945</w:t>
            </w:r>
          </w:p>
        </w:tc>
        <w:tc>
          <w:tcPr>
            <w:tcW w:w="346" w:type="dxa"/>
            <w:tcBorders/>
            <w:shd w:fill="CCEEFF" w:val="clear"/>
            <w:vAlign w:val="center"/>
          </w:tcPr>
          <w:p>
            <w:pPr>
              <w:pStyle w:val="TableContents"/>
              <w:bidi w:val="0"/>
              <w:spacing w:before="0" w:after="0"/>
              <w:ind w:left="0" w:right="0" w:hanging="0"/>
              <w:jc w:val="right"/>
              <w:rPr/>
            </w:pPr>
            <w:r>
              <w:rPr/>
              <w:t>​</w:t>
            </w:r>
          </w:p>
        </w:tc>
        <w:tc>
          <w:tcPr>
            <w:tcW w:w="78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60,836</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Electronics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generate by far the largest part of our revenues and profits in the electronics market. In this market we sell our machines globally and have a wide regional presence that allows us to serve both large OEM as well as the global electronics supply chain, as demonstrated by our longstanding relationships with our key customers that are leaders in their industry.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product portfolio of our electronics business is focused on what we have identified as attractive growth areas of the electronics market that involve technologically advanced production processes. Our modular equipment kit includes equipment for processes such as automation, wet processes (horizontal, vertical and single panel) and vacuum processes. This modular approach to design and manufacturing means that we are using the building kit concept that creates flexibility by using proven components that guarantee high-quality and enable industrial-scale production. Our modular approach to design and manufacturing is also a key advantage in relation to lead times and being able to optimize our cost structure, while maintaining a high level of customization for our customers. Our modular approach supports an increase in the useful life of our equipment by creating a path to upgrades to meet any changes in the needs of our customers after a machine has already been installed and used for several years.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graphic provides an overview of our key product lines and the processes where our machines are used (our machines are used in the process steps marked dark blue):</w:t>
      </w:r>
    </w:p>
    <w:p>
      <w:pPr>
        <w:pStyle w:val="TextBody"/>
        <w:bidi w:val="0"/>
        <w:spacing w:before="0" w:after="240"/>
        <w:ind w:left="200" w:right="200" w:hanging="0"/>
        <w:jc w:val="center"/>
        <w:rPr/>
      </w:pPr>
      <w:r>
        <w:rPr/>
        <w:drawing>
          <wp:inline distT="0" distB="0" distL="0" distR="0">
            <wp:extent cx="5212080" cy="3095625"/>
            <wp:effectExtent l="0" t="0" r="0" b="0"/>
            <wp:docPr id="2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 descr=""/>
                    <pic:cNvPicPr>
                      <a:picLocks noChangeAspect="1" noChangeArrowheads="1"/>
                    </pic:cNvPicPr>
                  </pic:nvPicPr>
                  <pic:blipFill>
                    <a:blip r:embed="rId2"/>
                    <a:stretch>
                      <a:fillRect/>
                    </a:stretch>
                  </pic:blipFill>
                  <pic:spPr bwMode="auto">
                    <a:xfrm>
                      <a:off x="0" y="0"/>
                      <a:ext cx="5212080" cy="3095625"/>
                    </a:xfrm>
                    <a:prstGeom prst="rect">
                      <a:avLst/>
                    </a:prstGeom>
                  </pic:spPr>
                </pic:pic>
              </a:graphicData>
            </a:graphic>
          </wp:inline>
        </w:drawing>
      </w:r>
    </w:p>
    <w:tbl>
      <w:tblPr>
        <w:tblW w:w="9231" w:type="dxa"/>
        <w:jc w:val="left"/>
        <w:tblInd w:w="200" w:type="dxa"/>
        <w:tblLayout w:type="fixed"/>
        <w:tblCellMar>
          <w:top w:w="28" w:type="dxa"/>
          <w:left w:w="28" w:type="dxa"/>
          <w:bottom w:w="28" w:type="dxa"/>
          <w:right w:w="28" w:type="dxa"/>
        </w:tblCellMar>
      </w:tblPr>
      <w:tblGrid>
        <w:gridCol w:w="124"/>
        <w:gridCol w:w="256"/>
        <w:gridCol w:w="8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Infinity C+ Line are vertical spin-process machines for developing, flash-etching and surface treatment.</w:t>
            </w:r>
          </w:p>
        </w:tc>
      </w:tr>
    </w:tbl>
    <w:tbl>
      <w:tblPr>
        <w:tblW w:w="9711" w:type="dxa"/>
        <w:jc w:val="left"/>
        <w:tblInd w:w="200" w:type="dxa"/>
        <w:tblLayout w:type="fixed"/>
        <w:tblCellMar>
          <w:top w:w="28" w:type="dxa"/>
          <w:left w:w="28" w:type="dxa"/>
          <w:bottom w:w="28" w:type="dxa"/>
          <w:right w:w="28" w:type="dxa"/>
        </w:tblCellMar>
      </w:tblPr>
      <w:tblGrid>
        <w:gridCol w:w="124"/>
        <w:gridCol w:w="256"/>
        <w:gridCol w:w="9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Infinity V+ Line are machines for a vertical inline process for developing, etching and stripping applications.</w:t>
            </w:r>
          </w:p>
        </w:tc>
      </w:tr>
    </w:tbl>
    <w:tbl>
      <w:tblPr>
        <w:tblW w:w="7041" w:type="dxa"/>
        <w:jc w:val="left"/>
        <w:tblInd w:w="200" w:type="dxa"/>
        <w:tblLayout w:type="fixed"/>
        <w:tblCellMar>
          <w:top w:w="28" w:type="dxa"/>
          <w:left w:w="28" w:type="dxa"/>
          <w:bottom w:w="28" w:type="dxa"/>
          <w:right w:w="28" w:type="dxa"/>
        </w:tblCellMar>
      </w:tblPr>
      <w:tblGrid>
        <w:gridCol w:w="124"/>
        <w:gridCol w:w="256"/>
        <w:gridCol w:w="6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Infinity P+ Line are machines for high-end single panel electroplating tools.</w:t>
            </w:r>
          </w:p>
        </w:tc>
      </w:tr>
    </w:tbl>
    <w:tbl>
      <w:tblPr>
        <w:tblW w:w="7296" w:type="dxa"/>
        <w:jc w:val="left"/>
        <w:tblInd w:w="20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CMP is a full format chemical mechanical polishing equipment for leveling copper.</w:t>
            </w:r>
          </w:p>
        </w:tc>
      </w:tr>
    </w:tbl>
    <w:tbl>
      <w:tblPr>
        <w:tblW w:w="7581" w:type="dxa"/>
        <w:jc w:val="left"/>
        <w:tblInd w:w="20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PlasmaLine are vertical inline and cluster plasma etching and sputtering machines.</w:t>
            </w:r>
          </w:p>
        </w:tc>
      </w:tr>
    </w:tbl>
    <w:tbl>
      <w:tblPr>
        <w:tblW w:w="9291" w:type="dxa"/>
        <w:jc w:val="left"/>
        <w:tblInd w:w="200" w:type="dxa"/>
        <w:tblLayout w:type="fixed"/>
        <w:tblCellMar>
          <w:top w:w="28" w:type="dxa"/>
          <w:left w:w="28" w:type="dxa"/>
          <w:bottom w:w="28" w:type="dxa"/>
          <w:right w:w="28" w:type="dxa"/>
        </w:tblCellMar>
      </w:tblPr>
      <w:tblGrid>
        <w:gridCol w:w="124"/>
        <w:gridCol w:w="256"/>
        <w:gridCol w:w="8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InfinityLine A+ is used for automation of process equipment for fully automatic loading and unloading.</w:t>
            </w:r>
          </w:p>
        </w:tc>
      </w:tr>
    </w:tbl>
    <w:tbl>
      <w:tblPr>
        <w:tblW w:w="9291" w:type="dxa"/>
        <w:jc w:val="left"/>
        <w:tblInd w:w="200" w:type="dxa"/>
        <w:tblLayout w:type="fixed"/>
        <w:tblCellMar>
          <w:top w:w="28" w:type="dxa"/>
          <w:left w:w="28" w:type="dxa"/>
          <w:bottom w:w="28" w:type="dxa"/>
          <w:right w:w="28" w:type="dxa"/>
        </w:tblCellMar>
      </w:tblPr>
      <w:tblGrid>
        <w:gridCol w:w="124"/>
        <w:gridCol w:w="256"/>
        <w:gridCol w:w="8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Infinity H+ Line are machines for a horizontal inline processing for multiple processes and applications.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equipment includes various special equipment for horizontal inline processing and software solutions for such equipment.</w:t>
            </w:r>
          </w:p>
        </w:tc>
      </w:tr>
    </w:tbl>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Customers in Electronics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work directly with many of the leading global technology companies and are able to satisfy their strict quality requirements. In the electronics market, our customers include well-known manufacturers of computers, mobile phones and tablets as well as the manufacturers of PCB boards and the suppliers of such manufacturers.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We partner with them during their product development processes and closely collaborate to have our products delivered to meet customer specifications as well as customer acceptance tests. We believe our quality commitment and technical competence have helped us establish a strong reputation in the industry, as well as our commitment to innovation and R&amp;D. Through a combination of high-quality solutions and customized on-site management we have demonstrated a successful track record of consistently meeting the needs of our customers which has resulted in long-standing and trusting relationships. We serve some of the largest OEM and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PCB/substrate manufacturers in the world and have historical or ongoing joint development projects for future technologies and products.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Over the past year, we worked out a partnership between SCHMID and TRUMPF, a high-tech company offering manufacturing solutions in the fields of machine tools and laser technology. TRUMPF and SCHMID announced that they are developing an innovative manufacturing process for the latest microchip generation for the global chip industry. This will enable manufacturers to increase the performance of high-end electronic components for smartphones, smart watches and AI applications. In the process known as advanced packaging, manufacturers combine individual chips on silicon components known as interposers. With the process from TRUMPF and SCHMID, these interposers can be made of glass in the future. To create connections on the interposer, manufacturers have to drill holes through the glass, so-called through-glass vias (TGV). Manufacturers often have to create millions of holes in a panel to make the desired connections. The combination of TRUMPF’s laser technology and SCHMID’s expertise in etching processes for microchip production enables efficient production. This special approach shortens process times by a factor of ten. After establishing the technology we have now started to accelerate and improve cost performance of the technology. According to the Boston Consulting Group, the market for advanced microchip packaging is expected to grow to more than 96 billion dollars by 2030. TRUMPF and SCHMID, advanced packaging with the help of glass could also develop into an important future market. Currently, applications in consumer electronics such as smartphones dominate the advanced packaging sector. In the future, applications in the field of artificial intelligence are likely to be the growth drivers.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are continuing to refine and further develop our ET process which is a new way to produce substrates and HDI+ boards. We provide a specialized equipment portfolio that allows our customers to produce ETs.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ET Process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ET process is a relatively new way to produce substrates and HDI+ boards. We are currently the only company to offer a full solution, including key equipment and processes to customers in the electronics market for the ET process. In contrast to the standard conventional method of production which uses laser drilling, the ET process uses parallel plasma processing. Traces in ET boards are first embedded in the isolator material and then filled with copper in the already etched embedded structure using a proprietary and highly protected process. This new technology is a fully additive process, allows for flexibility in designing completely new types of 3D structures and can upgrade existing mSAP and SAP deployments. The ET process can also be combined with glass cores allowing for an extension of its use for such products. We are now focusing on miniaturization and sizes below 2</w:t>
      </w:r>
      <w:r>
        <w:rPr>
          <w:rFonts w:ascii="Times New Roman;Times;serif" w:hAnsi="Times New Roman;Times;serif"/>
          <w:spacing w:val="4"/>
          <w:sz w:val="20"/>
        </w:rPr>
        <w:t xml:space="preserve"> μm</w:t>
      </w:r>
      <w:r>
        <w:rPr>
          <w:rFonts w:ascii="Times New Roman;Times;serif" w:hAnsi="Times New Roman;Times;serif"/>
          <w:sz w:val="20"/>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ET technology we have developed allows us to meet customers’ demands that could not be met by traditional PCB manufacturing techniques. For example, ET technology allows us to further miniaturize, increase complexity and incorporate advanced properties by producing better performing PCBs and/or substrates, with narrower line widths, increasing numbers of input and output devices, higher aspect ratios or using new materials, while maintaining acceptable manufacturing efficiency, meeting our customers’ environmental, social and government (“</w:t>
      </w:r>
      <w:r>
        <w:rPr>
          <w:rFonts w:ascii="Times New Roman;Times;serif" w:hAnsi="Times New Roman;Times;serif"/>
          <w:b/>
          <w:sz w:val="20"/>
        </w:rPr>
        <w:t>ESG</w:t>
      </w:r>
      <w:r>
        <w:rPr>
          <w:rFonts w:ascii="Times New Roman;Times;serif" w:hAnsi="Times New Roman;Times;serif"/>
          <w:sz w:val="20"/>
        </w:rPr>
        <w:t>”) goals and maintaining a resilient supply chain.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provide a specialized equipment portfolio that allows our customers to produce embedded traces.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The use of ET technology can (i) increase production yields with reduced facility requirements, (ii) enable new 3D packaging solutions that cover ratification intelligence and photonic applications, and (iii) improve the return on customers’ investment by allowing the manufacture of boards from HDI+ to substrate on the same equipment. Unlike with conventional production, ET technology replaces round holes with square holes, allows for 3D connections, increases the amount of copper for better thermal management, has full 3D, coreless and core, and single- and double-sided build up for substrates, optimizes glass substrates and replaces laser drilling with parallel plasma etching processes. The optimized process reduces the roughness and increases the adhesion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between layer stacks and is compatible with future high- performance materials. The embedding concepts allow for implementation of chips directly inside the substrates. These advantages allow higher performance final applications such as those being demanded in AI, high-end consumer electronics, and certain autonomous driving applications.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management expects that the further penetration of the ET technology in the overall market will lead to a significant increase of the share of capital expenditure spending for a new factory from 20% of equipment spending for a traditional fabrication methods factory to 50% in an ET technology factory. This estimate is an internal management estimate based on the understanding of technical processes required for factory fabrication methods.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After Sales Services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Through our five service centers located around the world, we focus on offering worldwide customer-oriented services, including on-site management, remote maintenance and diagnosis, customer training and project management at our customers’ facilities.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also provide customer support services through the provision of spare parts, upgrades, maintenance contracts and ancillary services allowing our customers to benefit from our service network in multiple jurisdictions globally and more than 100 service engineers capable of providing comprehensive on-site service.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Business Strategies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aim to continue our technological leadership by investing in product development on an ongoing basis. Our key growth strategy is to drive our revenues in the electronics market as a result of ET adoption in the PCB and substrate market over the next years, thus complementing and selectively displacing conventional SAP and mSAP technologies in applications where sustainability, cost efficiency, process robustness, and total cost of ownership are decisive factors. In addition, we aim to grow organically by focusing on an expansion of our product portfolio and increasing the penetration of the high-end PCB and organic substrate market. An additional growth field is equipment and processes for glass substrate manufacturing, currently focused on R&amp;D, pilot lines, and early OEM engagements, with volume adoption expected in the mid- to long-term. As part of our customer service business, we aim to benefit from economies of scale as the installed base of machinery increases and we as a result can grow revenues for services for our machinery proportionally to the installed base.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Overall, we believe our revenue growth will be supported by a number of key trends that should increase the demand for our products such as substrates with higher density, higher frequencies and introduction of new materials all of which will require new production technologies, including:</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use of artificial intelligence expands, it will become more sophisticated. We believe that the expected broad and rapid adoption of AI will accelerate growth in required computing power. The growth of artificial intelligence technology may lead to an increase in the demand for novel semiconductor packaging solutions that can keep pace with rapid AI growth such as driven by the biggest Foundries (e.g. TSMC, Intel and Samsung) driving demand for advanced interconnect, power delivery, signal integrity and thermal management solutions. While concepts such as chiplet-based architectures and advanced packaging (e.g., CoWoS) continue to evolve, SCHMID primarily benefits from upstream PCB and substrate manufacturing technologies required to support these architectures.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connectivity and the internet of things (IoT) including personal devices and continuous miniaturization can increase the volume of data that needs to be transmitted, processed and stored and drive further demand for our customers’ products and thus for orders for our machines and services.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Additionally, as investors become more focused on ESG and environmental pressures, the interest in carbon neutrality, green products and processes will increase. Customers and producers will strive to reduce the eco footprint of manufacturing processes and reduce energy and water consumption and our green production, urban fabrication facilities that meet international environmental standards and facilitate manufacturing in the US, Europe and South East Asia and our R&amp;D efforts provide our customers with products which help them achieve their CO2 reduction targets. Our ET technology is important for this trend. Based on internal assessments and customer data, the ET process can reduce energy consumption by up to 30%, water usage by up to 70%, chemical consumption by up to 40%, and CO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 xml:space="preserve">emissions by up to 30%, depending on application and configuration. Not only does this ET process decrease the total costs of ownership, but it also lowers the carbon footprint of production which can further help customers achieve their ESG goals. In addition to that, our newly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109"/>
        <w:gridCol w:w="95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launched TGV etching system maximizes efficiency and fosters sustainable manufacturing practices. It leads to a 35% reduction in power consumption and is a more cost-effective etching solution.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expansion in electric vehicles and autonomous driving technologies will lead to a greater demand for high power applications, as well as a greater need for highly reliable radar and sensor applications. As cars continue to include a larger number of semiconductors, new PCB technologies are critical to ensuring the comfort, durability and safety of autonomous driving. Additionally, as countries continue to incentivize drivers to switch to electric vehicles, we expect the market for PCBs to continue to grow as PCBs are used in the production of charging stations and audio and visuals display systems.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applications for end products produced by our machines include AI servers, solar cells and modules for charging stations. We produce other machines that enable production of high-quality parts for cars, such as radar systems for autonomous driving, metal etching for interior design, anti-glare display technology, packaging and HDI+ for 5G communication, packaging for processors and etching thick copper for LED lighting and High- Power solutions.</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Geographically, we aim to further expand into new geographies and regions, in particular in Asia outside of China and in North America. In 2025, we generated the first significant revenues from our new subsidiary in Malaysia, which acts as a spare parts and service hub for the entire Asian region (excluding China and Taiwan). For 2026, we plan to enlarge our business there and continue with the growth. We assume that selected Asian countries that have not been in the spotlight to date will develop strongly in the coming years. Furthermore, we continue to believe in very strong economic development in North America. Recently, we have noticed weaker economic development in Europe. However, the latest political developments and the efforts of European countries to become less dependent on the USA and China could accelerate investments driven by strategic autonomy, supply chain resilience, and sustainability objectives, from which SCHMID expects to benefit selectively.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have recently entered the glass substrate machining market and have offered specific machines in this sector to customers. We consider this technology to be suitable to be implemented at various original equipment manufacturers. Furthermore, it can be used in combination with ET layers.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Sales and Procurement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Through our sales, engineering, research and development and procurement teams, we combine deep product expertise of our engineering/R&amp;D and procurement experts with our front-line customer-oriented sales staff. Our local presence in key markets ensures proximity to global customers. Our engineering team drives the technical specifications and can also decide on procurement deals with commercial terms. The procurement process is an important element in our overall sales strategy in which technical qualification and quotation are crucial factors for selection. We are present in all our key target markets when it comes to sales and services. While our global central organization for sales and services is located in Germany, our employees located in the countries in which we operate maintain their relationships with key customers. This includes lifecycle services, retrofit and upgrade solutions, and software-enabled service offerings that enhance equipment performance and long-term customer value.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purchase local and imported parts, but also commodities. We have long-standing relationships with our most trusted suppliers and employ specified and diligent processes for qualifying new suppliers. Additionally, we have in-house product development and strict quality control standards that are expected to be followed during production as part of our efforts to ensure our high-quality standards are maintained. While we centrally monitor our purchasing activities, both factories can also make decisions locally in terms of decision making for sourced materials and components.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research and development (“</w:t>
      </w:r>
      <w:r>
        <w:rPr>
          <w:rFonts w:ascii="Times New Roman;Times;serif" w:hAnsi="Times New Roman;Times;serif"/>
          <w:b/>
          <w:sz w:val="20"/>
        </w:rPr>
        <w:t>R&amp;D</w:t>
      </w:r>
      <w:r>
        <w:rPr>
          <w:rFonts w:ascii="Times New Roman;Times;serif" w:hAnsi="Times New Roman;Times;serif"/>
          <w:sz w:val="20"/>
        </w:rPr>
        <w:t>”) efforts are focused on expanding the market position in all our target markets and providing high-tech technology solutions for our customers. As a technology-oriented business, we develop our products in great part in our own 32,000 square foot technology center in Freudenstadt, which includes a laboratory and prototyping facilities.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part of our basic research activities, we collaborate with customers, strategic partners and leading research institutions worldwide in the electronics, photovoltaics and energy storage sectors.</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Electronics.</w:t>
            </w:r>
            <w:r>
              <w:rPr>
                <w:caps w:val="false"/>
                <w:smallCaps w:val="false"/>
              </w:rPr>
              <w:t xml:space="preserve"> </w:t>
            </w:r>
            <w:r>
              <w:rPr>
                <w:rFonts w:ascii="Times New Roman;Times;serif" w:hAnsi="Times New Roman;Times;serif"/>
                <w:b w:val="false"/>
                <w:i w:val="false"/>
                <w:caps w:val="false"/>
                <w:smallCaps w:val="false"/>
                <w:sz w:val="20"/>
              </w:rPr>
              <w:t>Our R&amp;D efforts in the electronics market focus on advancing applications for the new ET process, conducting customer sampling, and supporting product optimization. We also continue to enhance equipment capabilities to meet next</w:t>
            </w:r>
            <w:r>
              <w:rPr>
                <w:caps w:val="false"/>
                <w:smallCaps w:val="false"/>
              </w:rPr>
              <w:noBreakHyphen/>
            </w:r>
            <w:r>
              <w:rPr>
                <w:rFonts w:ascii="Times New Roman;Times;serif" w:hAnsi="Times New Roman;Times;serif"/>
                <w:b w:val="false"/>
                <w:i w:val="false"/>
                <w:caps w:val="false"/>
                <w:smallCaps w:val="false"/>
                <w:sz w:val="20"/>
              </w:rPr>
              <w:t>generation OEM requirements, with an emphasis on glass substrates. In addition, we are actively engaged in the processing and structuring of glass as a core material, particularly in the context of TGV (Through Glass Via) technology. This involves etching processes followed by metallization using galvanic deposition, representing a key capability in advanced electronic applications. Furthermore, within the electronics segment, the development of our L+ system should be highlighted. This system enables panel-level CMP (Chemical Mechanical Planarization) processes, which are critical as the final process step in the ET production chain and therefore of high strategic importance.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Photovoltaics.</w:t>
            </w:r>
            <w:r>
              <w:rPr>
                <w:caps w:val="false"/>
                <w:smallCaps w:val="false"/>
              </w:rPr>
              <w:t xml:space="preserve"> </w:t>
            </w:r>
            <w:r>
              <w:rPr>
                <w:rFonts w:ascii="Times New Roman;Times;serif" w:hAnsi="Times New Roman;Times;serif"/>
                <w:b w:val="false"/>
                <w:i w:val="false"/>
                <w:caps w:val="false"/>
                <w:smallCaps w:val="false"/>
                <w:sz w:val="20"/>
              </w:rPr>
              <w:t>In photovoltaics, our R&amp;D activities relate primarily to the enhancement and expansion of the next generation of our InfinityLine systems for alkaline structuring and polishing.</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employ more than 150 scientists, researchers and engineers globally, working across multiple laboratories equipped with advanced technologies and research infrastructure, more than 30 of which wok at our technology center in Freudenstadt. We routinely submit new patent applications and, as of December 31, 2025, held more than 100 patents and industrial property rights. We additionally maintain various global trade names and trademark registrations and applications, which we consider valuable for product identification and market presence.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benefit from a network of cooperative partnerships with industry leading institutions, including Fraunhofer Institute for Reliability and Microintegration, the University of Konstanz, Fraunhofer-ISE Freiburg and Helmholtz-Zentrum Berlin. We also cooperate on development in the area of Through Glass Via with the company Trumpf. A core priority of our operations is the efficient transfer of research and development outcomes into industrial applications and high volume manufacturing. Our technology center provides full prototyping capabilities for electronics, photovoltaics and glass applications, as well as lamination, LDI, developing, etching, stripping and other processing capabilities. It also includes comprehensive physical and chemical laboratories for basic research and statistical data analysis.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have also developed additional revenue opportunities through paid R&amp;D engagements. We expect licensing revenue to increase over time as our installed base expands.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believe we are well-positioned to compete in our target markets. In PCB high-end equipment, our market is generally consolidated with only a limited number of other major suppliers globally. Among our key competitors are several multinational competitors such as MKS Instruments, Inc., a NASDAQ listed company, but also more regionally operating companies, such as local manufacturers in Italy, China, Taiwan and Asia Pacific. In the photovoltaics market, we also compete with multinational active companies such as Shenzhen SC New Energy Technology Corp, and depending on the specific applications also several other smaller companies. In other areas, such as machines for the energy sector and other specialty areas, we face a diverse set of competitors who specialize in such specific markets.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Employees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of December 31, 2025, we had 734 employees. The biggest departments are production, engineering, sales and procurement. We have not experienced any work stoppages, slowdowns or other serious labor problems that have materially impeded our business operations.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Health, Safety and Environmental</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We are subject to numerous laws and regulations relating to the environmental protection and the health and safety of our employees in multiple jurisdictions in which we operate. We are committed to maintaining compliance with all such applicable legal requirements. We have a strong record of safety and internal controls surrounding the manufacture and implementation of our products and systems and the health of our employees. While we are not subject to the German Supply Chain Due Diligence Act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i/>
          <w:sz w:val="20"/>
        </w:rPr>
        <w:t>(Lieferkettensorgfaltspflichtengesetz</w:t>
      </w:r>
      <w:r>
        <w:rPr>
          <w:rFonts w:ascii="Times New Roman;Times;serif" w:hAnsi="Times New Roman;Times;serif"/>
          <w:sz w:val="20"/>
        </w:rPr>
        <w:t>), we have nevertheless implemented a Code of Conduct for our employees and suppliers that aims to ensure that working conditions in our supply chain are safe and suitable.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the general course of business, we sometimes face legal proceedings and claims against us.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subsidiary SCHMID China Ltd. (“</w:t>
      </w:r>
      <w:r>
        <w:rPr>
          <w:rFonts w:ascii="Times New Roman;Times;serif" w:hAnsi="Times New Roman;Times;serif"/>
          <w:b/>
          <w:sz w:val="20"/>
        </w:rPr>
        <w:t>SCL</w:t>
      </w:r>
      <w:r>
        <w:rPr>
          <w:rFonts w:ascii="Times New Roman;Times;serif" w:hAnsi="Times New Roman;Times;serif"/>
          <w:sz w:val="20"/>
        </w:rPr>
        <w:t>”) filed a claim against Beyond Force Company Limited for an outstanding payment due to our subsidiary of RMB 53 million (approximately $7.6 million as of February 2026) plus interest amounting to approximately RMB 21 million (approximately $3.0 million as of February 2026). Beyond Force Company Limited has filed a counterclaim valued at approximately RMB 123 million (approximately $17.6 million as of February 2026). Both claims were dismissed by the courts in the first as well as in the second instance and forwarded by the appeal court for retrial to the first instance. The subject matter is now for review for retrial and SCHMID is preparing the required documentation. As of January 16, 2026 the court has made the following first instance decision inter alia that the payment of RMB 53 million is justified under the condition that SCL shall pay the outstanding debt amounting to approximately over RMB 10,000,000 (approximately $1.4 million as of February 2026) to the Company. Beyond Force Company Limited and SCL have appealed the decision of the first instance.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February 13, 2025, Gebr. SCHMID GmbH announced that it has filed a lawsuit against Shenzhen China Science &amp; Technology Co., Ltd. (“</w:t>
      </w:r>
      <w:r>
        <w:rPr>
          <w:rFonts w:ascii="Times New Roman;Times;serif" w:hAnsi="Times New Roman;Times;serif"/>
          <w:b/>
          <w:sz w:val="20"/>
        </w:rPr>
        <w:t>China SC</w:t>
      </w:r>
      <w:r>
        <w:rPr>
          <w:rFonts w:ascii="Times New Roman;Times;serif" w:hAnsi="Times New Roman;Times;serif"/>
          <w:sz w:val="20"/>
        </w:rPr>
        <w:t>”) over allegations of trademark infringement and unauthorized copying of proprietary technology. The lawsuit involves, in particular, a claim for injunctive relieve against China SC for use of the SCHMID Group’s intellectual property and for compensation.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July 17, 2025, Validus Broker Dealer Investment Management Company LLC (“</w:t>
      </w:r>
      <w:r>
        <w:rPr>
          <w:rFonts w:ascii="Times New Roman;Times;serif" w:hAnsi="Times New Roman;Times;serif"/>
          <w:b/>
          <w:sz w:val="20"/>
        </w:rPr>
        <w:t>Validus Broker Dealer</w:t>
      </w:r>
      <w:r>
        <w:rPr>
          <w:rFonts w:ascii="Times New Roman;Times;serif" w:hAnsi="Times New Roman;Times;serif"/>
          <w:sz w:val="20"/>
        </w:rPr>
        <w:t>”) filed a civil action against SCHMID in the United States District Court for the Southern District of New York, arising from a promissory note dated June 13, 2024, with a principal amount of $2,350,000. Validus alleges that the Company failed to pay the principal balance upon maturity on June 13, 2025, an alleged breach. The parties entered into negotiations and mutually agreed to request an extension of the response deadline of the Company to the lawsuit until November 12, 2025. The parties could not resolve the dispute before the response deadline and the Company filed its response timely with the New York court. Both parties made subsequent filings and motions and the lawsuit remains pending. No trial date has been set, and the Company intends to continue to evaluate and pursue all available defenses including any relevant countersuits for breach of contract by Validus Broker Dealer and its affiliate Validus/StratCap, LLC under a warranty agreement dated April 29, 2024 between the Company and Validus/StratCap, LLC. The Company has not recorded any liability related to this matter, as the outcome cannot be predicted at this stage.</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Organizational Structure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diagram depicts our organizational structure as of the date of this annual report (including the material subsidiaries):</w:t>
      </w:r>
    </w:p>
    <w:p>
      <w:pPr>
        <w:pStyle w:val="TextBody"/>
        <w:bidi w:val="0"/>
        <w:spacing w:before="0" w:after="0"/>
        <w:ind w:left="200" w:right="200" w:hanging="0"/>
        <w:jc w:val="center"/>
        <w:rPr/>
      </w:pPr>
      <w:r>
        <w:rPr/>
        <w:drawing>
          <wp:inline distT="0" distB="0" distL="0" distR="0">
            <wp:extent cx="4626610" cy="4544695"/>
            <wp:effectExtent l="0" t="0" r="0" b="0"/>
            <wp:docPr id="2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 descr=""/>
                    <pic:cNvPicPr>
                      <a:picLocks noChangeAspect="1" noChangeArrowheads="1"/>
                    </pic:cNvPicPr>
                  </pic:nvPicPr>
                  <pic:blipFill>
                    <a:blip r:embed="rId3"/>
                    <a:stretch>
                      <a:fillRect/>
                    </a:stretch>
                  </pic:blipFill>
                  <pic:spPr bwMode="auto">
                    <a:xfrm>
                      <a:off x="0" y="0"/>
                      <a:ext cx="4626610" cy="4544695"/>
                    </a:xfrm>
                    <a:prstGeom prst="rect">
                      <a:avLst/>
                    </a:prstGeom>
                  </pic:spPr>
                </pic:pic>
              </a:graphicData>
            </a:graphic>
          </wp:inline>
        </w:drawing>
      </w:r>
    </w:p>
    <w:p>
      <w:pPr>
        <w:pStyle w:val="TextBody"/>
        <w:bidi w:val="0"/>
        <w:spacing w:before="0" w:after="0"/>
        <w:ind w:left="200" w:right="200" w:hanging="0"/>
        <w:jc w:val="center"/>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For a list of SCHMID’s subsidiaries see Exhibit 8.1 “</w:t>
      </w:r>
      <w:r>
        <w:rPr>
          <w:rFonts w:ascii="Times New Roman;Times;serif" w:hAnsi="Times New Roman;Times;serif"/>
          <w:i/>
          <w:sz w:val="20"/>
        </w:rPr>
        <w:t>List of Subsidiaries of SCHMID N.V.</w:t>
      </w:r>
      <w:r>
        <w:rPr>
          <w:rFonts w:ascii="Times New Roman;Times;serif" w:hAnsi="Times New Roman;Times;serif"/>
          <w:sz w:val="20"/>
        </w:rPr>
        <w: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Property, Plant and Equipment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headquarters is located in Freudenstadt, Germany and includes one of our two production facilities with our Freudenstadt location focused on the production of machines and equipment and global customer supply. We also have a production facility in Zhongshan in China in which we produce machines and equipment with a particular focus on the Chinese market. The production facilities have comparable capacity. We can dynamically shift production between them based on requirements and capacity constraints. However our high-end equipment production and our core R&amp;D activities are done in Freudenstadt.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also maintain further facilities in the United States, Malaysia, South Korea and Taiwan, which are used primarily for customer service. Further facilities include those with our partners in South Korea which mainly serve as distribution centers and customer service centers. Furthermore, we have distribution partners located in Italy, Benelux, Israel, India, Japan and Brazil.</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New China Manufacturing Campus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June 9, 2026, the Company announced that it has signed a preliminary manufacturing project letter of intent and investment framework agreement with local authorities in Banfu Industrial Zone, Zhongshan, Guangdong Province, China, regarding the establishment of a new manufacturing campus. The planned facility is expected to consolidate the Company’s existing manufacturing operations in China, which are currently located at two separate leased facilities, into a single company-owned production campus. The Company expects the new facility to provide nearly double the effective manufacturing capacity of its current China operations through expanded operational space, improved layout efficiency, streamlined logistics and optimized production workflows. The investment is intended to support the Company’s long-term “In China for China” strategy and address increasing demand for advanced wet-process equipment used in the manufacturing of high-end HDI boards, IC substrates, AI server boards and other advanced electronic applications.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total investment for land acquisition, construction and related infrastructure is expected to be approximately €11 million. The agreement with local authorities provides for various development incentives including land use rights for long-term use by the local authorities. SCHMID expects the majority of the project financing to be provided through local Chinese bank financing on partially subsidized financing terms with such financing anticipated to be primarily secured by the project assets and associated land-use rights.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Construction is expected to commence following completion of the final land transfer and permitting process and the conclusion of a final, binding agreement. SCHMID currently expects to begin operations at the new facility approximately mid-2027.</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45" w:name="MANAGEMENTSDISCUSSIONANDANALYSISOFFINANC"/>
      <w:bookmarkStart w:id="46" w:name="_83d2f9f1_8a53_4c12_9389_05befaa87282"/>
      <w:bookmarkEnd w:id="45"/>
      <w:bookmarkEnd w:id="46"/>
      <w:r>
        <w:rPr>
          <w:rFonts w:ascii="Times New Roman;Times;serif" w:hAnsi="Times New Roman;Times;serif"/>
          <w:b/>
          <w:sz w:val="20"/>
        </w:rPr>
        <w:t>MANAGEMENT’S DISCUSSION AND ANALYSIS OF FINANCIAL CONDITION AND RESULTS OF OPERATIONS</w:t>
      </w:r>
    </w:p>
    <w:p>
      <w:pPr>
        <w:pStyle w:val="TextBody"/>
        <w:bidi w:val="0"/>
        <w:spacing w:before="0" w:after="240"/>
        <w:ind w:left="200" w:right="200" w:firstLine="360"/>
        <w:jc w:val="left"/>
        <w:rPr>
          <w:rFonts w:ascii="Times New Roman;Times;serif" w:hAnsi="Times New Roman;Times;serif"/>
          <w:i/>
          <w:sz w:val="20"/>
        </w:rPr>
      </w:pPr>
      <w:r>
        <w:rPr>
          <w:rFonts w:ascii="Times New Roman;Times;serif" w:hAnsi="Times New Roman;Times;serif"/>
          <w:i/>
          <w:sz w:val="20"/>
        </w:rPr>
        <w:t>You should read the following discussion and analysis of Schmid’s financial condition and results of operations together with its consolidated financial statements and the related notes thereto included elsewhere in this prospectus. The following discussion is based on Schmid’s financial information prepared in accordance with the International Financial Reporting Standards (“IFRS”) as issued by the International Accounting Standards Board (“IASB”) and related interpretations issued by the IFRS Interpretations Committee. Some of the information contained in this discussion and analysis or set forth elsewhere in this prospectus, including information with respect to Schmid’s plans and strategy for its business, includes forward-looking statements that involve risks and uncertainties. You should review the sections titled “Risk Factors” and “Cautionary Note Regarding Forward-Looking Statements” for a discussion of important factors that could cause actual results to differ materially from the results described in or implied by the forward- looking statements contained in the following discussion and analysis. Schmid’s historical results are not necessarily indicative of the results that may be expected for any period in the future.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are a global supplier of equipment, software and services for various industries such as PCB, substrate manufacturing, photovoltaics, and glass and energy storage with a focus on the highest end of these markets in terms of technology and performance. We are a long-established, fifth-generation family- controlled business that was founded in 1864 as an iron foundry located in Freudenstadt, Germany and has a tradition of being at the forefront of technology. Throughout the more than 160 years of our operations, we have maintained our operations by developing our products according to trends in the market. We have been developing machines for the electronics industry since the 1960s, and photovoltaic solutions since the early 2000s. We focus on a modular product portfolio of machinery used in the manufacturing of high-end PCB equipment and semiconductor packaging devices which includes common flexible circuit fabrication techniques such as subtractive, SAP, and mSAP. We are a global supplier of capital equipment, software and services for the PCB and substrate manufacturing industries. We focus on the highest end of the market in terms of technology and performance. We not only develop production techniques and build machines ourselves, we are also extensively working with our customers on joint research &amp; development projects for the next generation of electronics and photovoltaics products. We produce our products in two manufacturing sites: one in Germany and one in China. In addition, we have built up an extensive service and sales network in six centers in the US, Europe, and Asia. In addition to our sales and service centers and two manufacturing sites, we also work with partners – such as AVACO - in South Korea. We also provide customer service through which we assist our customers with machinery and software upgrades, spare parts, logistics, customer training in multiple languages, on-site management, maintenance contracts and project management.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Key Factors Affecting Our Results of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believe that our performance and future success depend on several factors which have affected our previous performance in the periods for which financial information is presented in this registration statement. These factors include: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Market growth in our key PCB market and Advanced Packaging Solutions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management expects that the further penetration of the ET technology in the overall market will lead to a significant increase of the share of capital expenditure spending for a new factory from 20% of equipment spending for a traditional fabrication methods factory to 50% in an ET technology factory. This estimate is an internal management estimate based on the understanding of technical processes required for factory fabrication methods. The PCB market is expected to significantly expand in the next three years with ET technology gaining a significant market share as new factories are expected to switch to ET technology machinery. In 2024, we already realized revenue with ET technology and expect this market to increase in the upcoming years. In addition to that, we are convinced that our new TGV Etching system, which is suitable for labs as well as for high-volume manufacturing, will show a positive development with an increased customer base and new applications. Due to positive feedback from our customers, we expect to receive orders for our ET technology as well as for our TGV Etching system in 2025.</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Developments in Orders from our Core Customers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fiscal year 2025, approximately 19% of our revenues were generated from sales to our two largest customers and our ten largest customers represented approximately 60% of our revenues. If we fail to retain these key customers our results could be materially adversely impacted. Our core customers were also the key drivers of our revenues from fiscal year 2023 to the fiscal year 2024.</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Trends affecting the Demand for our Customers’ End Products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sell our machines to large original equipment manufacturers and to companies in their global supply chain in various sectors such as the electronics and semiconductor industries, but also the photovoltaics and energy systems industries. The demand for our products and our revenues is influenced by several larger trends impacting this diverse set of industries:</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are impacted by technological advancements in the electronics industry, including the rollout of 5G, digital infrastructure that includes increasing adoption and continued miniaturization of personal devices and Internet-of-Things connected devices, cloud computing and artificial intelligence. The strong digital infrastructure has resulted in increases in data volume that need to be transmitted, stored, and processed. All these changes drive demand for our customers’ products and in turn also the demand for our machines and equipment.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have an increasing preference for green manufacturing processes that result in fewer greenhouse gas emissions and are efficient in the use of other resources such as water. Our ET technology, which is one of our key machine technologies, uses less energy and water compared to traditional manufacturing technologies.</w:t>
            </w:r>
          </w:p>
        </w:tc>
      </w:tr>
    </w:tbl>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Macroeconomic and Geopolitical Factors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operate across a wide range of countries. Not all these countries are subject to the same economic and political forces at the same time, which usually provides us with a natural degree of macroeconomic and geopolitical diversification. There are, however, likely to be periods of time in which many, or even most, or all of the countries in which we operate will be subject to similar or identical forces that may impact our business negatively. One example of this is the geopolitical and macroeconomic turmoil triggered by the ongoing war in Ukraine, which led to increased volatility on the financial markets and disruption in various sectors. Military conflicts in the Middle East and the changing political and economic relations between the US and other countries also appear to be having a major impact on global economies and financial markets. In general, geopolitical changes, such as trade wars and the implementation of tariffs or significant changes in energy prices can have a negative impact on our business in one or more markets.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Segment Reporting</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SCHMID has prepared IFRS financial statements and segment reporting. See note 6 of the Consolidated Financial Statements.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Key Components of Operating Results: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discussion sets forth certain components of our consolidated statements of profit and loss and certain factors that impact those items: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generate revenues from contracts with customers across all major geographic areas from two operational segments: (i) technical equipment and processes, which includes mainly the sale of machines including installation, long-term development and extended warranties; and (ii) spare parts and services, which includes the sale of spare parts as well as services including repairs, modifications of machines and inspections.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Cost of sales: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cost of sales includes personnel expenses, material expenses, depreciation and amortization, and certain other expenses such as costs for outward freight, production-related short-term leases, and facility costs.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Selling:</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Selling expenses principally consist of personnel expenses, legal and consulting fees, sales commission, distribution related external administration, advertisement, and other expenses. Personnel expenses mainly include salary and salary-related expenses. Distribution-related external administration comprises administration costs including utilities, insurances, travel expenses and expenses for short-term leases. Other expenses include mainly depreciation and amortization.</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General Administration Expenses: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General and administration expenses consist principally of expenditures incurred in connection with the personnel expenses, legal and consulting fees, external administrative expenses and other administrative expenses. External administrative expenses comprise cost like utilities, insurance, travel expenses and expenses for short-term leases. Other administrative expenses include mainly depreciation and amortization.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Research and development is an important factor for our sustainable and long-term success. Research and development expenses principally consist of personnel expenses, depreciation and amortization, legal and consulting fees, research and development-related external administration and certain other research and development related expenses. Research and development-related external administration comprises administration costs such as utilities, insurance, travel expenses and expenses for short-term leases.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Other income: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Other income principally consists of foreign currency gains and other miscellaneous income such as government grants.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Other expenses: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Other expenses include foreign currency losses, other taxes, disposal of assets, and miscellaneous other items. Miscellaneous other items mainly include banking fees and other service charges.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Operating Results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sets forth results of operations for the year ended December 31, 2025 and 2024.</w:t>
      </w:r>
    </w:p>
    <w:tbl>
      <w:tblPr>
        <w:tblW w:w="5939" w:type="dxa"/>
        <w:jc w:val="left"/>
        <w:tblInd w:w="200" w:type="dxa"/>
        <w:tblLayout w:type="fixed"/>
        <w:tblCellMar>
          <w:top w:w="0" w:type="dxa"/>
          <w:left w:w="0" w:type="dxa"/>
          <w:bottom w:w="0" w:type="dxa"/>
          <w:right w:w="0" w:type="dxa"/>
        </w:tblCellMar>
      </w:tblPr>
      <w:tblGrid>
        <w:gridCol w:w="3586"/>
        <w:gridCol w:w="346"/>
        <w:gridCol w:w="796"/>
        <w:gridCol w:w="370"/>
        <w:gridCol w:w="841"/>
      </w:tblGrid>
      <w:tr>
        <w:trPr/>
        <w:tc>
          <w:tcPr>
            <w:tcW w:w="3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ind w:left="0" w:right="0" w:hanging="0"/>
              <w:jc w:val="left"/>
              <w:rPr>
                <w:sz w:val="4"/>
                <w:szCs w:val="4"/>
              </w:rPr>
            </w:pPr>
            <w:r>
              <w:rPr>
                <w:sz w:val="4"/>
                <w:szCs w:val="4"/>
              </w:rPr>
            </w:r>
          </w:p>
        </w:tc>
      </w:tr>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277110" cy="175260"/>
                      <wp:effectExtent l="0" t="0" r="0" b="0"/>
                      <wp:wrapNone/>
                      <wp:docPr id="22" name="Frame20"/>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3"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05460" cy="175260"/>
                      <wp:effectExtent l="0" t="0" r="0" b="0"/>
                      <wp:wrapNone/>
                      <wp:docPr id="24" name="Frame2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34950" cy="175260"/>
                      <wp:effectExtent l="0" t="0" r="0" b="0"/>
                      <wp:wrapNone/>
                      <wp:docPr id="25" name="Frame23"/>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34035" cy="175260"/>
                      <wp:effectExtent l="0" t="0" r="0" b="0"/>
                      <wp:wrapNone/>
                      <wp:docPr id="26" name="Frame2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0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5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0" w:type="dxa"/>
            <w:tcBorders/>
            <w:vAlign w:val="center"/>
          </w:tcPr>
          <w:p>
            <w:pPr>
              <w:pStyle w:val="TableContents"/>
              <w:bidi w:val="0"/>
              <w:spacing w:before="0" w:after="0"/>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58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66,945</w:t>
            </w:r>
          </w:p>
        </w:tc>
        <w:tc>
          <w:tcPr>
            <w:tcW w:w="370" w:type="dxa"/>
            <w:tcBorders/>
            <w:shd w:fill="CCEEFF" w:val="clear"/>
            <w:vAlign w:val="center"/>
          </w:tcPr>
          <w:p>
            <w:pPr>
              <w:pStyle w:val="TableContents"/>
              <w:bidi w:val="0"/>
              <w:spacing w:before="0" w:after="0"/>
              <w:ind w:left="0" w:right="0" w:hanging="0"/>
              <w:jc w:val="left"/>
              <w:rPr/>
            </w:pPr>
            <w:r>
              <w:rPr/>
              <w:t> </w:t>
            </w:r>
          </w:p>
        </w:tc>
        <w:tc>
          <w:tcPr>
            <w:tcW w:w="84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60,836</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(50,928)</w:t>
            </w:r>
          </w:p>
        </w:tc>
        <w:tc>
          <w:tcPr>
            <w:tcW w:w="370"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(48,791)</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16,017</w:t>
            </w:r>
          </w:p>
        </w:tc>
        <w:tc>
          <w:tcPr>
            <w:tcW w:w="370" w:type="dxa"/>
            <w:tcBorders/>
            <w:shd w:fill="CCEEFF" w:val="clear"/>
            <w:vAlign w:val="center"/>
          </w:tcPr>
          <w:p>
            <w:pPr>
              <w:pStyle w:val="TableContents"/>
              <w:bidi w:val="0"/>
              <w:spacing w:before="0" w:after="0"/>
              <w:ind w:left="0" w:right="0" w:hanging="0"/>
              <w:jc w:val="left"/>
              <w:rPr/>
            </w:pPr>
            <w:r>
              <w:rPr/>
              <w:t> </w:t>
            </w:r>
          </w:p>
        </w:tc>
        <w:tc>
          <w:tcPr>
            <w:tcW w:w="84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12,044</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expenses</w:t>
            </w:r>
          </w:p>
        </w:tc>
        <w:tc>
          <w:tcPr>
            <w:tcW w:w="346" w:type="dxa"/>
            <w:tcBorders/>
            <w:vAlign w:val="center"/>
          </w:tcPr>
          <w:p>
            <w:pPr>
              <w:pStyle w:val="TableContents"/>
              <w:bidi w:val="0"/>
              <w:spacing w:before="0" w:after="0"/>
              <w:ind w:left="0" w:right="0" w:hanging="0"/>
              <w:jc w:val="left"/>
              <w:rPr/>
            </w:pPr>
            <w:r>
              <w:rPr/>
              <w:t> </w:t>
            </w:r>
          </w:p>
        </w:tc>
        <w:tc>
          <w:tcPr>
            <w:tcW w:w="79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(11,999)</w:t>
            </w:r>
          </w:p>
        </w:tc>
        <w:tc>
          <w:tcPr>
            <w:tcW w:w="370" w:type="dxa"/>
            <w:tcBorders/>
            <w:vAlign w:val="center"/>
          </w:tcPr>
          <w:p>
            <w:pPr>
              <w:pStyle w:val="TableContents"/>
              <w:bidi w:val="0"/>
              <w:spacing w:before="0" w:after="0"/>
              <w:ind w:left="0" w:right="0" w:hanging="0"/>
              <w:jc w:val="left"/>
              <w:rPr/>
            </w:pPr>
            <w:r>
              <w:rPr/>
              <w:t> </w:t>
            </w:r>
          </w:p>
        </w:tc>
        <w:tc>
          <w:tcPr>
            <w:tcW w:w="84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(12,895)</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administration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(11,404)</w:t>
            </w:r>
          </w:p>
        </w:tc>
        <w:tc>
          <w:tcPr>
            <w:tcW w:w="370"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(11,792)</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(2,781)</w:t>
            </w:r>
          </w:p>
        </w:tc>
        <w:tc>
          <w:tcPr>
            <w:tcW w:w="370"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(3,974)</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12,217</w:t>
            </w:r>
          </w:p>
        </w:tc>
        <w:tc>
          <w:tcPr>
            <w:tcW w:w="370"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9,018</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w:t>
            </w:r>
          </w:p>
        </w:tc>
        <w:tc>
          <w:tcPr>
            <w:tcW w:w="370"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(2,564)</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Listing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(71,630)</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Reversal on impairment on financial assets</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70"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profit (loss)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1,443</w:t>
            </w:r>
          </w:p>
        </w:tc>
        <w:tc>
          <w:tcPr>
            <w:tcW w:w="370" w:type="dxa"/>
            <w:tcBorders/>
            <w:shd w:fill="CCEEFF" w:val="clear"/>
            <w:vAlign w:val="center"/>
          </w:tcPr>
          <w:p>
            <w:pPr>
              <w:pStyle w:val="TableContents"/>
              <w:bidi w:val="0"/>
              <w:spacing w:before="0" w:after="0"/>
              <w:ind w:left="0" w:right="0" w:hanging="0"/>
              <w:jc w:val="left"/>
              <w:rPr/>
            </w:pPr>
            <w:r>
              <w:rPr/>
              <w:t> </w:t>
            </w:r>
          </w:p>
        </w:tc>
        <w:tc>
          <w:tcPr>
            <w:tcW w:w="84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(81,772)</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income</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70"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1,888</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(72,244)</w:t>
            </w:r>
          </w:p>
        </w:tc>
        <w:tc>
          <w:tcPr>
            <w:tcW w:w="370"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(5,712)</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result</w:t>
            </w:r>
          </w:p>
        </w:tc>
        <w:tc>
          <w:tcPr>
            <w:tcW w:w="346" w:type="dxa"/>
            <w:tcBorders/>
            <w:vAlign w:val="center"/>
          </w:tcPr>
          <w:p>
            <w:pPr>
              <w:pStyle w:val="TableContents"/>
              <w:bidi w:val="0"/>
              <w:spacing w:before="0" w:after="0"/>
              <w:ind w:left="0" w:right="0" w:hanging="0"/>
              <w:jc w:val="left"/>
              <w:rPr/>
            </w:pPr>
            <w:r>
              <w:rPr/>
              <w:t> </w:t>
            </w:r>
          </w:p>
        </w:tc>
        <w:tc>
          <w:tcPr>
            <w:tcW w:w="79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(72,178)</w:t>
            </w:r>
          </w:p>
        </w:tc>
        <w:tc>
          <w:tcPr>
            <w:tcW w:w="370" w:type="dxa"/>
            <w:tcBorders/>
            <w:vAlign w:val="center"/>
          </w:tcPr>
          <w:p>
            <w:pPr>
              <w:pStyle w:val="TableContents"/>
              <w:bidi w:val="0"/>
              <w:spacing w:before="0" w:after="0"/>
              <w:ind w:left="0" w:right="0" w:hanging="0"/>
              <w:jc w:val="left"/>
              <w:rPr/>
            </w:pPr>
            <w:r>
              <w:rPr/>
              <w:t> </w:t>
            </w:r>
          </w:p>
        </w:tc>
        <w:tc>
          <w:tcPr>
            <w:tcW w:w="84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(3,824)</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profit (loss) in joint ventures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c>
          <w:tcPr>
            <w:tcW w:w="370"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income tax</w:t>
            </w:r>
          </w:p>
        </w:tc>
        <w:tc>
          <w:tcPr>
            <w:tcW w:w="346" w:type="dxa"/>
            <w:tcBorders/>
            <w:vAlign w:val="center"/>
          </w:tcPr>
          <w:p>
            <w:pPr>
              <w:pStyle w:val="TableContents"/>
              <w:bidi w:val="0"/>
              <w:spacing w:before="0" w:after="0"/>
              <w:ind w:left="0" w:right="0" w:hanging="0"/>
              <w:jc w:val="left"/>
              <w:rPr/>
            </w:pPr>
            <w:r>
              <w:rPr/>
              <w:t> </w:t>
            </w:r>
          </w:p>
        </w:tc>
        <w:tc>
          <w:tcPr>
            <w:tcW w:w="79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(71,141)</w:t>
            </w:r>
          </w:p>
        </w:tc>
        <w:tc>
          <w:tcPr>
            <w:tcW w:w="370" w:type="dxa"/>
            <w:tcBorders/>
            <w:vAlign w:val="center"/>
          </w:tcPr>
          <w:p>
            <w:pPr>
              <w:pStyle w:val="TableContents"/>
              <w:bidi w:val="0"/>
              <w:spacing w:before="0" w:after="0"/>
              <w:ind w:left="0" w:right="0" w:hanging="0"/>
              <w:jc w:val="left"/>
              <w:rPr/>
            </w:pPr>
            <w:r>
              <w:rPr/>
              <w:t> </w:t>
            </w:r>
          </w:p>
        </w:tc>
        <w:tc>
          <w:tcPr>
            <w:tcW w:w="84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(85,596)</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70"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 for the period</w:t>
            </w:r>
          </w:p>
        </w:tc>
        <w:tc>
          <w:tcPr>
            <w:tcW w:w="346" w:type="dxa"/>
            <w:tcBorders/>
            <w:vAlign w:val="center"/>
          </w:tcPr>
          <w:p>
            <w:pPr>
              <w:pStyle w:val="TableContents"/>
              <w:bidi w:val="0"/>
              <w:spacing w:before="0" w:after="0"/>
              <w:ind w:left="0" w:right="0" w:hanging="0"/>
              <w:jc w:val="left"/>
              <w:rPr/>
            </w:pPr>
            <w:r>
              <w:rPr/>
              <w:t> </w:t>
            </w:r>
          </w:p>
        </w:tc>
        <w:tc>
          <w:tcPr>
            <w:tcW w:w="79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(71,100)</w:t>
            </w:r>
          </w:p>
        </w:tc>
        <w:tc>
          <w:tcPr>
            <w:tcW w:w="370" w:type="dxa"/>
            <w:tcBorders/>
            <w:vAlign w:val="center"/>
          </w:tcPr>
          <w:p>
            <w:pPr>
              <w:pStyle w:val="TableContents"/>
              <w:bidi w:val="0"/>
              <w:spacing w:before="0" w:after="0"/>
              <w:ind w:left="0" w:right="0" w:hanging="0"/>
              <w:jc w:val="left"/>
              <w:rPr/>
            </w:pPr>
            <w:r>
              <w:rPr/>
              <w:t> </w:t>
            </w:r>
          </w:p>
        </w:tc>
        <w:tc>
          <w:tcPr>
            <w:tcW w:w="84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(84,104)</w:t>
            </w:r>
          </w:p>
        </w:tc>
      </w:tr>
    </w:tbl>
    <w:p>
      <w:pPr>
        <w:pStyle w:val="TextBody"/>
        <w:bidi w:val="0"/>
        <w:spacing w:before="0" w:after="0"/>
        <w:ind w:left="200" w:right="200" w:firstLine="360"/>
        <w:jc w:val="left"/>
        <w:rPr/>
      </w:pPr>
      <w:r>
        <w:rPr/>
        <w: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Comparison of the Years Ended December 31, 2025 and 2024</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Our revenues increased from €60.8 million in the year ended December 31, 2024 to €66.9 million in the year ended December 31, 2025. The majority of our revenue was generated from the sale of our machines in the amount of €54.4 million in the year ended December 31, 2025, compared to €47.4 million in the year ended December 31, 2024. We experienced limited and delayed order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intake in particular in the first half, caused by global trade frictions and uncertainetty about tariffs. Orders started to come back strongly during Q2 of the year with revenues rebouncing in Q3 2025.</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second largest revenue stream was the sale of our spare parts. In the year ended December 31, 2025, we generated €7.8 million from the sale of spare parts, a small decrease from €9.0 million generated in 2024. The spare parts revenue stream was also negatively impacted by the economic situation in China and Taiwan.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services revenue increased from €3.9 million in the year ended December 31, 2024 to €4.1 million in the year ended December 31, 2025.</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Geographically, our revenue mix shifted across jurisdictions in 2025 compared to 2024. Revenues in several European markets declined year over year, consistent with continued weakness in industrial investment activity, while revenues in parts of Asia, particularly Greater China, increased. Revenues in the United States were lower than in the prior year, reflecting a moderation from elevated 2024 levels, but remained a significant contributor to total revenues. The following table shows the split in revenues across all our jurisdictions (we allocate revenues based on the country of the customer receiving the services or goods):</w:t>
      </w:r>
    </w:p>
    <w:p>
      <w:pPr>
        <w:pStyle w:val="TextBody"/>
        <w:bidi w:val="0"/>
        <w:spacing w:before="0" w:after="0"/>
        <w:ind w:left="200" w:right="200" w:hanging="0"/>
        <w:jc w:val="left"/>
        <w:rPr/>
      </w:pPr>
      <w:r>
        <w:rPr/>
        <w:t>​</w:t>
      </w:r>
    </w:p>
    <w:tbl>
      <w:tblPr>
        <w:tblW w:w="4130" w:type="dxa"/>
        <w:jc w:val="left"/>
        <w:tblInd w:w="200" w:type="dxa"/>
        <w:tblLayout w:type="fixed"/>
        <w:tblCellMar>
          <w:top w:w="0" w:type="dxa"/>
          <w:left w:w="0" w:type="dxa"/>
          <w:bottom w:w="0" w:type="dxa"/>
          <w:right w:w="0" w:type="dxa"/>
        </w:tblCellMar>
      </w:tblPr>
      <w:tblGrid>
        <w:gridCol w:w="1981"/>
        <w:gridCol w:w="346"/>
        <w:gridCol w:w="676"/>
        <w:gridCol w:w="346"/>
        <w:gridCol w:w="781"/>
      </w:tblGrid>
      <w:tr>
        <w:trPr/>
        <w:tc>
          <w:tcPr>
            <w:tcW w:w="19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ind w:left="0" w:right="0" w:hanging="0"/>
              <w:jc w:val="left"/>
              <w:rPr>
                <w:sz w:val="4"/>
                <w:szCs w:val="4"/>
              </w:rPr>
            </w:pPr>
            <w:r>
              <w:rPr>
                <w:sz w:val="4"/>
                <w:szCs w:val="4"/>
              </w:rPr>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257935" cy="175260"/>
                      <wp:effectExtent l="0" t="0" r="0" b="0"/>
                      <wp:wrapNone/>
                      <wp:docPr id="27" name="Frame25"/>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28"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29260" cy="175260"/>
                      <wp:effectExtent l="0" t="0" r="0" b="0"/>
                      <wp:wrapNone/>
                      <wp:docPr id="29" name="Frame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0"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95935" cy="175260"/>
                      <wp:effectExtent l="0" t="0" r="0" b="0"/>
                      <wp:wrapNone/>
                      <wp:docPr id="31" name="Frame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981"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China</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25,702</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16,480</w:t>
            </w:r>
          </w:p>
        </w:tc>
      </w:tr>
      <w:tr>
        <w:trPr/>
        <w:tc>
          <w:tcPr>
            <w:tcW w:w="19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USA</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19,770</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22,207</w:t>
            </w:r>
          </w:p>
        </w:tc>
      </w:tr>
      <w:tr>
        <w:trPr/>
        <w:tc>
          <w:tcPr>
            <w:tcW w:w="19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4,154</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3,819</w:t>
            </w:r>
          </w:p>
        </w:tc>
      </w:tr>
      <w:tr>
        <w:trPr/>
        <w:tc>
          <w:tcPr>
            <w:tcW w:w="19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EMEA w/o Germany</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9,841</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12,728</w:t>
            </w:r>
          </w:p>
        </w:tc>
      </w:tr>
      <w:tr>
        <w:trPr/>
        <w:tc>
          <w:tcPr>
            <w:tcW w:w="19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 of Asia w/o China</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5,551</w:t>
            </w:r>
          </w:p>
        </w:tc>
      </w:tr>
      <w:tr>
        <w:trPr/>
        <w:tc>
          <w:tcPr>
            <w:tcW w:w="19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 of the World</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19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66,945</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60,836</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December 31, 2025, our order backlog for machine sales amounted to €50.9 million, and the order backlog for spare parts and services amounted to €1.3 million. Order backlog is expected to be realized within 12 months.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Cost of Sales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cost of sales increased from €48.8 million in the year ended December 31, 2024 to €50.9 million in the year ended December 31, 2025. This was mainly attributable to an increase in material expenses.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Gross Profit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gross profit increased from €12.0 million in the year ended December 31, 2024 to €16.0 million in the year ended December 31, 2025. As a result, our gross profit margin increased from 19.8% in the year ended December 31, 2024 to 24.0% in the year ended December 31, 2025. This was mainly attributable to higher revenue growth than cost of sales increase.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Selling</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Selling expenses decreased from €13.0 million in the year ended December 31, 2024 to €12.0 million in the year ended December 31, 2025. This was mainly attributable to a significant decrease in the amount of sales commissions paid out.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General and Administration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General and administration expenses decreased from €11.8 million during the year ended December 31, 2024 to €11.4 million in the year ended December 31, 2025. The main driver for this were lower expenses for external legal advisors and consultants, which were higher in 2024 due to the Business Combination.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Research and development expenses decreased from €4.0 million during the year ended December 31, 2024 to €2.8 million in the year ended December 31, 2025. The personnel expenses were the most significant contributor to the decrease.</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Other Income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Other income increased from €9.0 million during the year ended December 31, 2024 to €12.2 million in the year ended December 31, 2025. The increase was primarily attributable to foreign currency gains of €6.3 million in 2025, mainly related to U.S. dollar-denominated liabilities, and miscellaneous income of €5.9 million, which included income from the derecognition of €5.0 million of liabilities waived by shareholders. In 2024, other income included €3.7 million of income from the SES transaction.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Other Expenses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Other expenses decreased to €0.6 million in 2025 from €2.6 million in 2024, primarily due to a decrease in foreign currency losses from €2.3 million in 2024 to €0.4 million in 2025.</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Listing Expenses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incurred listing expenses totaling €71.6 million during the year ended December 31, 2024 in connection with the de-SPAC transaction. The share listing expense is the difference between the fair value of the net assets contributed by Pegasus Digital Mobility Acquisition Corp. and the fair value of equity instruments provided to former Pegasus Digital Mobility Acquisition Corp. shareholders. See Note 13 of the Consolidated Financial Statements for details.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Operating Profit (Loss)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incurred an operating loss of €81.8 million in the year ended December 31, 2024 and a profit of €1.4 million in the year ended December 31, 2025. The majority of the loss in 2024 was principally due to the €71.6 million share listing expense in that year as a result of the de-SPAC.</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Financial Result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financial result increased from a net expense of €3.8 million for the year ended December 31, 2024, to a net expense of €72.2 million for the year ended December 31, 2025. The change reflects higher finance expenses recorded in 2025, including fair value changes related to warrants and options and losses recognized in connection with the modification and settlement of financial liabilities, compared with the prior year. Interest expense decreased from €5.1 million in 2024 to €3.0 million in 2025. Finance income declined to €0.1 million in 2025 from €1.9 million in 2024.</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Income Tax (Expense) Benefit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Income tax expense was €0.04 million in 2025, compared to an income tax benefit of €1.5 million in 2024. The change reflects differences in the recognition of deferred income tax effects and the absence of comparable tax benefits recognized in the prior year.</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Non-IFRS Financial Information</w:t>
      </w:r>
    </w:p>
    <w:p>
      <w:pPr>
        <w:pStyle w:val="TextBody"/>
        <w:bidi w:val="0"/>
        <w:spacing w:before="0" w:after="160"/>
        <w:ind w:left="200" w:right="200" w:firstLine="360"/>
        <w:jc w:val="left"/>
        <w:rPr>
          <w:rFonts w:ascii="Times New Roman;Times;serif" w:hAnsi="Times New Roman;Times;serif"/>
          <w:sz w:val="20"/>
        </w:rPr>
      </w:pPr>
      <w:r>
        <w:rPr>
          <w:rFonts w:ascii="Times New Roman;Times;serif" w:hAnsi="Times New Roman;Times;serif"/>
          <w:sz w:val="20"/>
        </w:rPr>
        <w:t>This registration statement includes Adjusted EBITDA, which is a non-IFRS company-specific performance measure that we use to supplement our results presented in accordance with IFRS. We present non-IFRS measures because our management uses Adjusted EBITDA in monitoring SCHMID’s business and because we believe that similar measures are frequently used by securities analysts, investors and others in evaluating companies in our industry. The presentation of this non-IFRS information is not meant to be considered in isolation or as a substitute for our consolidated financial results prepared in accordance with IFRS.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200" w:right="200" w:firstLine="360"/>
        <w:jc w:val="left"/>
        <w:rPr>
          <w:rFonts w:ascii="Times New Roman;Times;serif" w:hAnsi="Times New Roman;Times;serif"/>
          <w:sz w:val="20"/>
        </w:rPr>
      </w:pPr>
      <w:r>
        <w:rPr>
          <w:rFonts w:ascii="Times New Roman;Times;serif" w:hAnsi="Times New Roman;Times;serif"/>
          <w:sz w:val="20"/>
        </w:rPr>
        <w:t>The following table summarizes our Adjusted EBITDA reconciled to our net income (loss) for the period, the closest IFRS measure for each period presented:</w:t>
      </w:r>
    </w:p>
    <w:tbl>
      <w:tblPr>
        <w:tblW w:w="6346" w:type="dxa"/>
        <w:jc w:val="left"/>
        <w:tblInd w:w="200" w:type="dxa"/>
        <w:tblLayout w:type="fixed"/>
        <w:tblCellMar>
          <w:top w:w="0" w:type="dxa"/>
          <w:left w:w="0" w:type="dxa"/>
          <w:bottom w:w="0" w:type="dxa"/>
          <w:right w:w="0" w:type="dxa"/>
        </w:tblCellMar>
      </w:tblPr>
      <w:tblGrid>
        <w:gridCol w:w="3991"/>
        <w:gridCol w:w="346"/>
        <w:gridCol w:w="807"/>
        <w:gridCol w:w="350"/>
        <w:gridCol w:w="852"/>
      </w:tblGrid>
      <w:tr>
        <w:trPr/>
        <w:tc>
          <w:tcPr>
            <w:tcW w:w="39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ind w:left="0" w:right="0" w:hanging="0"/>
              <w:jc w:val="left"/>
              <w:rPr>
                <w:sz w:val="4"/>
                <w:szCs w:val="4"/>
              </w:rPr>
            </w:pPr>
            <w:r>
              <w:rPr>
                <w:sz w:val="4"/>
                <w:szCs w:val="4"/>
              </w:rPr>
            </w:r>
          </w:p>
        </w:tc>
      </w:tr>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534285" cy="175260"/>
                      <wp:effectExtent l="0" t="0" r="0" b="0"/>
                      <wp:wrapNone/>
                      <wp:docPr id="32" name="Frame30"/>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3"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12445" cy="175260"/>
                      <wp:effectExtent l="0" t="0" r="0" b="0"/>
                      <wp:wrapNone/>
                      <wp:docPr id="34" name="Frame32"/>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22250" cy="175260"/>
                      <wp:effectExtent l="0" t="0" r="0" b="0"/>
                      <wp:wrapNone/>
                      <wp:docPr id="35" name="Frame33"/>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41020" cy="175260"/>
                      <wp:effectExtent l="0" t="0" r="0" b="0"/>
                      <wp:wrapNone/>
                      <wp:docPr id="36" name="Frame34"/>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0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0" w:type="dxa"/>
            <w:tcBorders/>
            <w:vAlign w:val="center"/>
          </w:tcPr>
          <w:p>
            <w:pPr>
              <w:pStyle w:val="TableContents"/>
              <w:bidi w:val="0"/>
              <w:spacing w:before="0" w:after="0"/>
              <w:ind w:left="0" w:right="0" w:hanging="0"/>
              <w:jc w:val="center"/>
              <w:rPr/>
            </w:pPr>
            <w:r>
              <w:rPr/>
              <w:t>  ​ ​ ​</w:t>
            </w:r>
          </w:p>
        </w:tc>
        <w:tc>
          <w:tcPr>
            <w:tcW w:w="8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346"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09"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 thousands)</w:t>
            </w:r>
          </w:p>
        </w:tc>
      </w:tr>
      <w:tr>
        <w:trPr/>
        <w:tc>
          <w:tcPr>
            <w:tcW w:w="399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 for the period</w:t>
            </w:r>
          </w:p>
        </w:tc>
        <w:tc>
          <w:tcPr>
            <w:tcW w:w="34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(71,100)</w:t>
            </w:r>
          </w:p>
        </w:tc>
        <w:tc>
          <w:tcPr>
            <w:tcW w:w="350" w:type="dxa"/>
            <w:tcBorders/>
            <w:shd w:fill="CCEEFF" w:val="clear"/>
            <w:vAlign w:val="center"/>
          </w:tcPr>
          <w:p>
            <w:pPr>
              <w:pStyle w:val="TableContents"/>
              <w:bidi w:val="0"/>
              <w:spacing w:before="0" w:after="0"/>
              <w:ind w:left="0" w:right="0" w:hanging="0"/>
              <w:jc w:val="left"/>
              <w:rPr/>
            </w:pPr>
            <w:r>
              <w:rPr/>
              <w:t> </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(84,104)</w:t>
            </w:r>
          </w:p>
        </w:tc>
      </w:tr>
      <w:tr>
        <w:trPr/>
        <w:tc>
          <w:tcPr>
            <w:tcW w:w="39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50"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w:t>
            </w:r>
          </w:p>
        </w:tc>
      </w:tr>
      <w:tr>
        <w:trPr/>
        <w:tc>
          <w:tcPr>
            <w:tcW w:w="39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result</w:t>
            </w:r>
          </w:p>
        </w:tc>
        <w:tc>
          <w:tcPr>
            <w:tcW w:w="34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72,178</w:t>
            </w:r>
          </w:p>
        </w:tc>
        <w:tc>
          <w:tcPr>
            <w:tcW w:w="350" w:type="dxa"/>
            <w:tcBorders/>
            <w:shd w:fill="CCEEFF" w:val="clear"/>
            <w:vAlign w:val="center"/>
          </w:tcPr>
          <w:p>
            <w:pPr>
              <w:pStyle w:val="TableContents"/>
              <w:bidi w:val="0"/>
              <w:spacing w:before="0" w:after="0"/>
              <w:ind w:left="0" w:right="0" w:hanging="0"/>
              <w:jc w:val="left"/>
              <w:rPr/>
            </w:pPr>
            <w:r>
              <w:rPr/>
              <w:t> </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3,824</w:t>
            </w:r>
          </w:p>
        </w:tc>
      </w:tr>
      <w:tr>
        <w:trPr/>
        <w:tc>
          <w:tcPr>
            <w:tcW w:w="39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and depreciation</w:t>
            </w:r>
          </w:p>
        </w:tc>
        <w:tc>
          <w:tcPr>
            <w:tcW w:w="3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4,824</w:t>
            </w:r>
          </w:p>
        </w:tc>
        <w:tc>
          <w:tcPr>
            <w:tcW w:w="350"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7,315</w:t>
            </w:r>
          </w:p>
        </w:tc>
      </w:tr>
      <w:tr>
        <w:trPr/>
        <w:tc>
          <w:tcPr>
            <w:tcW w:w="39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profit (loss) in equity method investees</w:t>
            </w:r>
          </w:p>
        </w:tc>
        <w:tc>
          <w:tcPr>
            <w:tcW w:w="346" w:type="dxa"/>
            <w:tcBorders/>
            <w:shd w:fill="CCEEFF" w:val="clear"/>
            <w:vAlign w:val="center"/>
          </w:tcPr>
          <w:p>
            <w:pPr>
              <w:pStyle w:val="TableContents"/>
              <w:bidi w:val="0"/>
              <w:spacing w:before="0" w:after="0"/>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c>
          <w:tcPr>
            <w:tcW w:w="350" w:type="dxa"/>
            <w:tcBorders/>
            <w:shd w:fill="CCEEFF" w:val="clear"/>
            <w:vAlign w:val="center"/>
          </w:tcPr>
          <w:p>
            <w:pPr>
              <w:pStyle w:val="TableContents"/>
              <w:bidi w:val="0"/>
              <w:spacing w:before="0" w:after="0"/>
              <w:ind w:left="0" w:right="0" w:hanging="0"/>
              <w:jc w:val="left"/>
              <w:rPr/>
            </w:pPr>
            <w:r>
              <w:rPr/>
              <w:t> </w:t>
            </w:r>
          </w:p>
        </w:tc>
        <w:tc>
          <w:tcPr>
            <w:tcW w:w="8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99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Adjusted EBITDA</w:t>
            </w:r>
          </w:p>
        </w:tc>
        <w:tc>
          <w:tcPr>
            <w:tcW w:w="346" w:type="dxa"/>
            <w:tcBorders/>
            <w:vAlign w:val="center"/>
          </w:tcPr>
          <w:p>
            <w:pPr>
              <w:pStyle w:val="TableContents"/>
              <w:bidi w:val="0"/>
              <w:spacing w:before="0" w:after="0"/>
              <w:ind w:left="0" w:right="0" w:hanging="0"/>
              <w:jc w:val="left"/>
              <w:rPr/>
            </w:pPr>
            <w:r>
              <w:rPr/>
              <w:t> </w:t>
            </w:r>
          </w:p>
        </w:tc>
        <w:tc>
          <w:tcPr>
            <w:tcW w:w="8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6,267</w:t>
            </w:r>
          </w:p>
        </w:tc>
        <w:tc>
          <w:tcPr>
            <w:tcW w:w="350" w:type="dxa"/>
            <w:tcBorders/>
            <w:vAlign w:val="center"/>
          </w:tcPr>
          <w:p>
            <w:pPr>
              <w:pStyle w:val="TableContents"/>
              <w:bidi w:val="0"/>
              <w:spacing w:before="0" w:after="0"/>
              <w:ind w:left="0" w:right="0" w:hanging="0"/>
              <w:jc w:val="left"/>
              <w:rPr/>
            </w:pPr>
            <w:r>
              <w:rPr/>
              <w:t> </w:t>
            </w:r>
          </w:p>
        </w:tc>
        <w:tc>
          <w:tcPr>
            <w:tcW w:w="8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(74,457)</w:t>
            </w:r>
          </w:p>
        </w:tc>
      </w:tr>
    </w:tbl>
    <w:p>
      <w:pPr>
        <w:pStyle w:val="TextBody"/>
        <w:bidi w:val="0"/>
        <w:spacing w:before="0" w:after="0"/>
        <w:ind w:left="200" w:right="200" w:firstLine="36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See note 6 of our financial statements included elsewhere in this registration statement.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Sources of Liquidity and Operational and Funding Requirements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principally finance our operations through cash generated from the sale of machines, spare parts and services. We also have relied on debt and related-party financing. As of December 31, 2025, and 2024, cash and cash equivalents were €1.6 million and €3.8 million, respectively.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During 2025, order intake and sales remained below expectations, resulting in negative operating results and cash flows, particularly in the first six months of the year. In addition, during 2025 the Group was unable to generate significant cash inflows through equity or debt measures and, absent mitigating actions, may have been unable to meet certain near-term obligations, including a €23.5 million payment to XJ Harbour related to the de-SPAC transaction. As of December 31, 2025, the Group had a significant working capital deficiency, reflecting continued operating losses and constrained access to financing during the year. Subsequent to December 31, 2025, the Group implemented measures to strengthen liquidity and reduce near-term obligations, including (i) a debt-for-equity set-off with XJ Harbour that became effective on January 16, 2026 following the issuance of 12,540,539 SHMD shares to XJ Harbour; (ii) the conclusion of an Investment Agreement in January 2026 for the issuance of USD 30.0 million senior convertible notes structured in two tranches of USD 15.0 million each, with the first tranche received on January 21, 2026 and the second tranche received on March 5, 2026 and additional warrants; (iii) entry into a Standby Equity Purchase Agreement, or SEPA, with Yorkville on May 12, 2026 providing access to equity financing of up to USD 30.0 million. The Group further offset financial liabilities in an aggregate amount of EUR 30.75 million by issuing 4,958,481 Ordinary Shares to Anette Schmid, Christian Schmid, Christine Schmid and Schmid Grundstücke GmbH &amp; Co. KG on May 23, 2026 and (iv) in July 2026 issued the 2029 Convertible Notes with an aggregate principal amount of USD 20 million. See also “</w:t>
      </w:r>
      <w:r>
        <w:rPr>
          <w:rFonts w:ascii="Times New Roman;Times;serif" w:hAnsi="Times New Roman;Times;serif"/>
          <w:i/>
          <w:sz w:val="20"/>
        </w:rPr>
        <w:t>Item 10.C Material Contracts</w:t>
      </w:r>
      <w:r>
        <w:rPr>
          <w:rFonts w:ascii="Times New Roman;Times;serif" w:hAnsi="Times New Roman;Times;serif"/>
          <w:sz w:val="20"/>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Management’s forecasts assume continued execution of the operating plan, converting the significant order book of €51 million as of December 31, 2025 into revenues, continued order intake, disciplined cost management, and continued access to external financing sources, including the ability to utilize the SEPA facility as and if needed noting that the Company has started utilizing the SEPA end of May 2026 and beginning of June 2026. Management has implemented almost all of its €4 million annual cost-savings program in Germany, primarily focusing on overhead costs.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Based on the assessment described above, including the measures implemented subsequent to the reporting date and the availability of additional financing through the SEPA facility, management concluded that the Group has adequate resources to continue in operational existence for the foreseeable future. Accordingly, management concluded that there are no material uncertainties related to events or conditions that may cast significant doubt on the Group’s ability to continue as a going concern, and the going concern basis of accounting remains appropriate in the preparation of the consolidated financial statements. These consolidated financial statements do not include any adjustments that might result if the Group were unable to continue as a going concern.</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At December 31, 2025, current financial liabilities totaled €87.1 million and non-current financial liabilities totaled €71.5 million. Trade and related party payables totaled €38.1 million, and current contract liabilities were €13.6 million. Non-current financial liabilities included third-party loans of approximately €2.2 million, loans from shareholders of €21.0 million and loans from other related parties of €11.0 million, as well as warrant liabilities of €26.1 million measured at fair value. The remaining loans from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shareholders are due at the end of 2027. On May 23, 2026, the Company issued and sold in private placements an aggregate of 4,958,481 Ordinary Shares to Anette Schmid, Christian Schmid, Christine Schmid and Schmid Grundstücke GmbH &amp; Co KG to offset an aggregate amount of EUR 30.75 million owed to them thereby reducing the shareholders loans.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summarizes our cash flows for each period presented (in € thousands):</w:t>
      </w:r>
    </w:p>
    <w:p>
      <w:pPr>
        <w:pStyle w:val="TextBody"/>
        <w:bidi w:val="0"/>
        <w:spacing w:before="0" w:after="0"/>
        <w:ind w:left="200" w:right="200" w:firstLine="360"/>
        <w:jc w:val="left"/>
        <w:rPr/>
      </w:pPr>
      <w:r>
        <w:rPr/>
        <w:t>​</w:t>
      </w:r>
    </w:p>
    <w:tbl>
      <w:tblPr>
        <w:tblW w:w="6857" w:type="dxa"/>
        <w:jc w:val="left"/>
        <w:tblInd w:w="200" w:type="dxa"/>
        <w:tblLayout w:type="fixed"/>
        <w:tblCellMar>
          <w:top w:w="0" w:type="dxa"/>
          <w:left w:w="0" w:type="dxa"/>
          <w:bottom w:w="0" w:type="dxa"/>
          <w:right w:w="0" w:type="dxa"/>
        </w:tblCellMar>
      </w:tblPr>
      <w:tblGrid>
        <w:gridCol w:w="4471"/>
        <w:gridCol w:w="346"/>
        <w:gridCol w:w="778"/>
        <w:gridCol w:w="426"/>
        <w:gridCol w:w="836"/>
      </w:tblGrid>
      <w:tr>
        <w:trPr/>
        <w:tc>
          <w:tcPr>
            <w:tcW w:w="44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ind w:left="0" w:right="0" w:hanging="0"/>
              <w:jc w:val="left"/>
              <w:rPr>
                <w:sz w:val="4"/>
                <w:szCs w:val="4"/>
              </w:rPr>
            </w:pPr>
            <w:r>
              <w:rPr>
                <w:sz w:val="4"/>
                <w:szCs w:val="4"/>
              </w:rPr>
            </w:r>
          </w:p>
        </w:tc>
      </w:tr>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839085" cy="175260"/>
                      <wp:effectExtent l="0" t="0" r="0" b="0"/>
                      <wp:wrapNone/>
                      <wp:docPr id="37" name="Frame35"/>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38"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94030" cy="175260"/>
                      <wp:effectExtent l="0" t="0" r="0" b="0"/>
                      <wp:wrapNone/>
                      <wp:docPr id="39" name="Frame37"/>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70510" cy="175260"/>
                      <wp:effectExtent l="0" t="0" r="0" b="0"/>
                      <wp:wrapNone/>
                      <wp:docPr id="40" name="Frame38"/>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30860" cy="175260"/>
                      <wp:effectExtent l="0" t="0" r="0" b="0"/>
                      <wp:wrapNone/>
                      <wp:docPr id="41" name="Frame39"/>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4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4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26" w:type="dxa"/>
            <w:tcBorders/>
            <w:vAlign w:val="center"/>
          </w:tcPr>
          <w:p>
            <w:pPr>
              <w:pStyle w:val="TableContents"/>
              <w:bidi w:val="0"/>
              <w:spacing w:before="0" w:after="0"/>
              <w:ind w:left="0" w:right="0" w:hanging="0"/>
              <w:jc w:val="center"/>
              <w:rPr/>
            </w:pPr>
            <w:r>
              <w:rPr/>
              <w:t>  ​ ​ ​</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4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 from:</w:t>
            </w:r>
          </w:p>
        </w:tc>
        <w:tc>
          <w:tcPr>
            <w:tcW w:w="346" w:type="dxa"/>
            <w:tcBorders/>
            <w:shd w:fill="CCEEFF" w:val="clear"/>
            <w:vAlign w:val="center"/>
          </w:tcPr>
          <w:p>
            <w:pPr>
              <w:pStyle w:val="TableContents"/>
              <w:bidi w:val="0"/>
              <w:spacing w:before="0" w:after="0"/>
              <w:ind w:left="0" w:right="0" w:hanging="0"/>
              <w:jc w:val="left"/>
              <w:rPr/>
            </w:pPr>
            <w:r>
              <w:rPr/>
              <w:t> </w:t>
            </w:r>
          </w:p>
        </w:tc>
        <w:tc>
          <w:tcPr>
            <w:tcW w:w="778"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  ​</w:t>
            </w:r>
          </w:p>
        </w:tc>
        <w:tc>
          <w:tcPr>
            <w:tcW w:w="426" w:type="dxa"/>
            <w:tcBorders/>
            <w:shd w:fill="CCEEFF" w:val="clear"/>
            <w:vAlign w:val="center"/>
          </w:tcPr>
          <w:p>
            <w:pPr>
              <w:pStyle w:val="TableContents"/>
              <w:bidi w:val="0"/>
              <w:spacing w:before="0" w:after="0"/>
              <w:ind w:left="0" w:right="0" w:hanging="0"/>
              <w:jc w:val="left"/>
              <w:rPr/>
            </w:pPr>
            <w:r>
              <w:rPr/>
              <w:t> </w:t>
            </w:r>
          </w:p>
        </w:tc>
        <w:tc>
          <w:tcPr>
            <w:tcW w:w="8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  ​</w:t>
            </w:r>
          </w:p>
        </w:tc>
      </w:tr>
      <w:tr>
        <w:trPr/>
        <w:tc>
          <w:tcPr>
            <w:tcW w:w="44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w:t>
            </w:r>
          </w:p>
        </w:tc>
        <w:tc>
          <w:tcPr>
            <w:tcW w:w="426"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(2,578)</w:t>
            </w:r>
          </w:p>
        </w:tc>
      </w:tr>
      <w:tr>
        <w:trPr/>
        <w:tc>
          <w:tcPr>
            <w:tcW w:w="4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7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(6,227)</w:t>
            </w:r>
          </w:p>
        </w:tc>
        <w:tc>
          <w:tcPr>
            <w:tcW w:w="426"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(4,054)</w:t>
            </w:r>
          </w:p>
        </w:tc>
      </w:tr>
      <w:tr>
        <w:trPr/>
        <w:tc>
          <w:tcPr>
            <w:tcW w:w="44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2,923</w:t>
            </w:r>
          </w:p>
        </w:tc>
        <w:tc>
          <w:tcPr>
            <w:tcW w:w="426" w:type="dxa"/>
            <w:tcBorders/>
            <w:vAlign w:val="center"/>
          </w:tcPr>
          <w:p>
            <w:pPr>
              <w:pStyle w:val="TableContents"/>
              <w:bidi w:val="0"/>
              <w:spacing w:before="0" w:after="0"/>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3,959</w:t>
            </w:r>
          </w:p>
        </w:tc>
      </w:tr>
      <w:tr>
        <w:trPr/>
        <w:tc>
          <w:tcPr>
            <w:tcW w:w="44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increase (decrease) in cash and 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77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(2,055)</w:t>
            </w:r>
          </w:p>
        </w:tc>
        <w:tc>
          <w:tcPr>
            <w:tcW w:w="426" w:type="dxa"/>
            <w:tcBorders/>
            <w:shd w:fill="CCEEFF" w:val="clear"/>
            <w:vAlign w:val="center"/>
          </w:tcPr>
          <w:p>
            <w:pPr>
              <w:pStyle w:val="TableContents"/>
              <w:bidi w:val="0"/>
              <w:spacing w:before="0" w:after="0"/>
              <w:ind w:left="0" w:right="0" w:hanging="0"/>
              <w:jc w:val="left"/>
              <w:rPr/>
            </w:pPr>
            <w:r>
              <w:rPr/>
              <w:t> </w:t>
            </w:r>
          </w:p>
        </w:tc>
        <w:tc>
          <w:tcPr>
            <w:tcW w:w="83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(2,673)</w:t>
            </w:r>
          </w:p>
        </w:tc>
      </w:tr>
    </w:tbl>
    <w:p>
      <w:pPr>
        <w:pStyle w:val="TextBody"/>
        <w:bidi w:val="0"/>
        <w:spacing w:before="0" w:after="0"/>
        <w:ind w:left="200" w:right="200" w:firstLine="360"/>
        <w:jc w:val="left"/>
        <w:rPr/>
      </w:pPr>
      <w:r>
        <w:rPr/>
        <w:t>​</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Cash flow provided by operating activities for the year ended December 31, 2025, was €1.3 million, compared to cash flow used in operating activities of €2.6 million for the year ended December 31, 2024. The change reflects lower net cash outflows from operating activities, including the impact of changes in working capital, partially offset by operating losses during the period.</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For the year ended December 31, 2025, net cash used in investing activities amounted to €6.2 million, compared to €4.1 million of net cash used in investing activities in the year ended December 31, 2024. The increase in net cash outflows was primarily attributable to higher purchases of intangible assets and property, plant and equipment, partially offset by limited proceeds from disposals of financial assets.</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For the year ended December 31, 2025, net cash provided by financing activities amounted to €2.9 million, compared to €4.0 million for the year ended December 31, 2024. Financing cash inflows in 2025 primarily reflected proceeds from debt financing, partially offset by repayments of borrowings, lease payments, and interest paid.</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As a result of the foregoing, cash and cash equivalents decreased by €2.1 million during 2025, compared to a decrease of €2.7 million during 2024.</w:t>
      </w:r>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Future funding Requirements</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We fund our operations primarily through operating activities and through debt and equity financing arrangements. During 2025 and subsequent to year - end, the Company entered into certain financing arrangements, notably including senior convertible notes and a Standby Equity Purchase Agreement. The Company may issue equity securities or enter into additional debt arrangements in the future, subject to market conditions, contractual obligations and other factors.</w:t>
      </w:r>
    </w:p>
    <w:p>
      <w:pPr>
        <w:pStyle w:val="TextBody"/>
        <w:bidi w:val="0"/>
        <w:spacing w:before="0" w:after="200"/>
        <w:ind w:left="200" w:right="20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As of December 31, 2025, the Schmid Group did not have any off-balance sheet arrangements as defined in Item 303(a)(4)(ii) of Regulation S-K.</w:t>
      </w:r>
    </w:p>
    <w:p>
      <w:pPr>
        <w:pStyle w:val="TextBody"/>
        <w:bidi w:val="0"/>
        <w:spacing w:before="0" w:after="200"/>
        <w:ind w:left="200" w:right="200" w:hanging="0"/>
        <w:jc w:val="left"/>
        <w:rPr>
          <w:rFonts w:ascii="Times New Roman;Times;serif" w:hAnsi="Times New Roman;Times;serif"/>
          <w:b/>
          <w:sz w:val="20"/>
        </w:rPr>
      </w:pPr>
      <w:r>
        <w:rPr>
          <w:rFonts w:ascii="Times New Roman;Times;serif" w:hAnsi="Times New Roman;Times;serif"/>
          <w:b/>
          <w:sz w:val="20"/>
        </w:rPr>
        <w:t>Financial Risk Management</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We are exposed to a variety of risks in the ordinary course of our business, including, but not limited to, credit risk, liquidity risk, foreign currency risk and interest rate risk. We are particularly exposed to the risk of not being able to attract sufficient financing and the risk of not fulfilling reporting requirements, and therefore losing the ability to raise equity, as any new shares would not be able to be registered if the Company were delinquent in its SEC filings. SCHMID regularly assesses each of these risks to minimize any adverse effects on our business as a result of those factors.</w:t>
      </w:r>
    </w:p>
    <w:p>
      <w:pPr>
        <w:pStyle w:val="TextBody"/>
        <w:bidi w:val="0"/>
        <w:spacing w:before="0" w:after="200"/>
        <w:ind w:left="200" w:right="200" w:hanging="0"/>
        <w:jc w:val="left"/>
        <w:rPr>
          <w:rFonts w:ascii="Times New Roman;Times;serif" w:hAnsi="Times New Roman;Times;serif"/>
          <w:b/>
          <w:sz w:val="20"/>
        </w:rPr>
      </w:pPr>
      <w:r>
        <w:rPr>
          <w:rFonts w:ascii="Times New Roman;Times;serif" w:hAnsi="Times New Roman;Times;serif"/>
          <w:b/>
          <w:sz w:val="20"/>
        </w:rPr>
        <w:t>Outlook and Trend Information</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In December 2025 we published our preliminary order intake results for 2025. We announced strong order intake of approximately €95 million for 2025 with most of the order intake recorded since the middle of the second quarter of 2025, mostly due to the Company’s position as a core technology partner in next-generation electronics manufacturing. Growth in order intake were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200" w:right="200" w:hanging="0"/>
        <w:jc w:val="left"/>
        <w:rPr>
          <w:rFonts w:ascii="Times New Roman;Times;serif" w:hAnsi="Times New Roman;Times;serif"/>
          <w:sz w:val="20"/>
        </w:rPr>
      </w:pPr>
      <w:r>
        <w:rPr>
          <w:rFonts w:ascii="Times New Roman;Times;serif" w:hAnsi="Times New Roman;Times;serif"/>
          <w:sz w:val="20"/>
        </w:rPr>
        <w:t xml:space="preserve">primarily driven by the global surge in AI-server boards, which require highly demanding HDI and ultra-high layer-count PCB architectures. On June 16, 2026, we announced a combined order intake of more than €26 million between mid-May 2026 and June 15, 2026, reflecting multiple customer orders and continued market momentum in advanced PCB and substrate manufacturing technologies for AI infrastructure and next-generation optical module supply chains with total order intake from January 1, 2026 to June 15, 2026 amounting to approximately €43 million. On July 7, 2026, the Company received a repeat order exceeding EUR 37 million from a major customer for advanced mSAP (modified semi-additive process) production equipment. The equipment is expected to support the customer’s next capacity expansion for AI server board and optical module applications and follows the successful completion of an initial project supplied by the Company in 2025. Order intake and order book figures relate exclusively to orders for equipment and do not include orders associated with services or spare parts. In the second quarter of 2026, the Company recorded order intake of €30.7 million and reported revenues of €27.7 million. Including the repeat order exceeding €37 million announced on July 7, 2026, cumulative order intake since the beginning of the year amounts to €81.6 million. The order backlog stood at €54.8 million at the end of the quarter. Order intake and order backlog figures relate exclusively to orders for equipment and do not include orders associated with services or spare parts. </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Consistent with management’s expectations, given the revenue profile for the first half of the year, EBITDA margin in H1 is expected to be significantly lower than the EBITDA margin of 12% consistent with full-year 2026 guidance. For the full-year 2026 management maintains the guidance of more than €100 million revenues and EBITDA margin of more than 12%.</w:t>
      </w:r>
    </w:p>
    <w:p>
      <w:pPr>
        <w:pStyle w:val="TextBody"/>
        <w:bidi w:val="0"/>
        <w:spacing w:before="0" w:after="220"/>
        <w:ind w:left="200" w:right="200" w:firstLine="360"/>
        <w:jc w:val="left"/>
        <w:rPr>
          <w:rFonts w:ascii="Times New Roman;Times;serif" w:hAnsi="Times New Roman;Times;serif"/>
          <w:sz w:val="20"/>
        </w:rPr>
      </w:pPr>
      <w:r>
        <w:rPr>
          <w:rFonts w:ascii="Times New Roman;Times;serif" w:hAnsi="Times New Roman;Times;serif"/>
          <w:sz w:val="20"/>
        </w:rPr>
        <w:t>SCHMID initiated its so called “Sprint” cost saving program. “Sprint” will not impact our assemblies in Germany and China which are running close to full capacity. However, personnel expenses in G&amp;A, engineering and R&amp;D in Germany are being lowered through natural attrition, termination of temporary labor contracts and a government-subsidized short-time work program (</w:t>
      </w:r>
      <w:r>
        <w:rPr>
          <w:rFonts w:ascii="Times New Roman;Times;serif" w:hAnsi="Times New Roman;Times;serif"/>
          <w:i/>
          <w:sz w:val="20"/>
        </w:rPr>
        <w:t>Kurzarbeit</w:t>
      </w:r>
      <w:r>
        <w:rPr>
          <w:rFonts w:ascii="Times New Roman;Times;serif" w:hAnsi="Times New Roman;Times;serif"/>
          <w:sz w:val="20"/>
        </w:rPr>
        <w:t>) and SCHMID expects to reach an annual run-rate of cost savings of more than € 4 million based on current estimates. Limited one-off costs of around €0.5 million are to be expected. Additionally SCHMID is implementing measures to reduce its listing-related expenses in 2026, with further reductions expected in 2027.</w:t>
      </w:r>
    </w:p>
    <w:p>
      <w:pPr>
        <w:pStyle w:val="TextBody"/>
        <w:bidi w:val="0"/>
        <w:spacing w:before="0" w:after="220"/>
        <w:ind w:left="200" w:right="200" w:firstLine="360"/>
        <w:jc w:val="left"/>
        <w:rPr>
          <w:rFonts w:ascii="Times New Roman;Times;serif" w:hAnsi="Times New Roman;Times;serif"/>
          <w:sz w:val="20"/>
        </w:rPr>
      </w:pPr>
      <w:r>
        <w:rPr>
          <w:rFonts w:ascii="Times New Roman;Times;serif" w:hAnsi="Times New Roman;Times;serif"/>
          <w:sz w:val="20"/>
        </w:rPr>
        <w:t>In light of the sustained improvement in order momentum and enhanced business visibility, management has decided to increase its full-year 2026 order intake guidance from approximately €114 million to a range of €125 to €150 million. Our forecast for our order intake is based on three reinforcing growth factors that position SCHMID in its growing global target market:</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the continued expansion of Advanced Packaging, IC-Substrate and HDI-PCB capacity across Asia is driving sustained demand for SCHMID’s production equipment. Key customers in Taiwan, Japan, Korea and China are executing multi-year investment programs, and SCHMID is deeply embedded in these roadmaps with its next-generation InfinityLine platforms.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Europe and North America are showing clear signs of recovery in relation to our target customers and markets. Structural incentives in both regions, coupled with renewed investment in high-end PCB, substrate and aerospace electronics, are expected to be translating into a healthier order pipeline from these regions. SCHMID has an established customer and manufacturing footprint in these markets and proven delivery capability in these markets which we believe provide a competitive advantage as customers reactivate projects and initiate new ones.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SCHMID’s strengthened product portfolio has increased our order intake and our outlook for further orders. The launch of our new InfinityLine C+, InfinityLine L+ and InfinityLine P+ solutions, the continuous enhancement of panel-level packaging capabilities, and the expansion of glass-core processing technologies are creating differentiated value propositions across multiple customer segments. We believe that we have early customer interest that confirms that our technology is aligned with the next investment cycle in both substrate and advanced PCB manufacturing.</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200" w:right="200" w:firstLine="360"/>
        <w:jc w:val="left"/>
        <w:rPr>
          <w:rFonts w:ascii="Times New Roman;Times;serif" w:hAnsi="Times New Roman;Times;serif"/>
          <w:sz w:val="20"/>
        </w:rPr>
      </w:pPr>
      <w:r>
        <w:rPr>
          <w:rFonts w:ascii="Times New Roman;Times;serif" w:hAnsi="Times New Roman;Times;serif"/>
          <w:sz w:val="20"/>
        </w:rPr>
        <w:t>The Company is not providing quantitative reconciliations of its financial outlook for Adjusted EBITDA margin to a net income (loss) margin because the IFRS measures that are excluded from the non-IFRS financial outlook are difficult to reliably predict or estimate without unreasonable effort due to their dependence on future uncertainties, such as for instance the results for amortization, income tax benefits or losses or profit shares or losses for the upcoming financial year. Additionally, information that is currently not available to the Company could have a potentially unpredictable and potentially significant impact on its future IFRS financial results.</w:t>
      </w:r>
    </w:p>
    <w:p>
      <w:pPr>
        <w:pStyle w:val="TextBody"/>
        <w:bidi w:val="0"/>
        <w:spacing w:before="0" w:after="220"/>
        <w:ind w:left="200" w:right="200" w:firstLine="360"/>
        <w:jc w:val="left"/>
        <w:rPr>
          <w:rFonts w:ascii="Times New Roman;Times;serif" w:hAnsi="Times New Roman;Times;serif"/>
          <w:sz w:val="20"/>
        </w:rPr>
      </w:pPr>
      <w:r>
        <w:rPr>
          <w:rFonts w:ascii="Times New Roman;Times;serif" w:hAnsi="Times New Roman;Times;serif"/>
          <w:sz w:val="20"/>
        </w:rPr>
        <w:t>Our independent registered public accounting firm, KPMG AG Wirtschaftsprüfungsgesellschaft, has not examined, compiled or otherwise applied procedures to the financial forecast for 2026 presented herein and, accordingly, does not express an opinion or any other form of assurance on it.</w:t>
      </w:r>
    </w:p>
    <w:p>
      <w:pPr>
        <w:pStyle w:val="TextBody"/>
        <w:bidi w:val="0"/>
        <w:spacing w:before="0" w:after="220"/>
        <w:ind w:left="200" w:right="20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20"/>
        <w:ind w:left="200" w:right="200" w:firstLine="360"/>
        <w:jc w:val="left"/>
        <w:rPr>
          <w:rFonts w:ascii="Times New Roman;Times;serif" w:hAnsi="Times New Roman;Times;serif"/>
          <w:sz w:val="20"/>
        </w:rPr>
      </w:pPr>
      <w:r>
        <w:rPr>
          <w:rFonts w:ascii="Times New Roman;Times;serif" w:hAnsi="Times New Roman;Times;serif"/>
          <w:sz w:val="20"/>
        </w:rPr>
        <w:t>Our consolidated financial statements for the fiscal years ended December 31, 2025, 2024 and 2023, have been prepared in accordance with IFRS as issued by the IASB. The preparation of the consolidated financial statements in accordance with IFRS requires the use of estimates and assumptions that affect the value of assets and liabilities — as well as contingent assets and liabilities — as reported on the balance sheet date, and revenues and expenses arising during the fiscal year. In preparing these consolidated financial statements, management exercises its best judgment based upon its experience and the circumstances prevailing at that time. The estimates and assumptions are based on available information and conditions at the end of the financial periods presented and are reviewed on an ongoing basis. Actual results may differ from these estimates under different assumptions and conditions and may materially affect the financial results or the financial position reported in future periods.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For more information on critical accounting estimates, see the notes of the Company’s consolidated financial statements, which are included in our financial statements included elsewhere in this registration statement.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47" w:name="MANAGEMENT_348656"/>
      <w:bookmarkStart w:id="48" w:name="_1a6babec_f0cd_41ea_8ba3_84e59cf59ca8"/>
      <w:bookmarkEnd w:id="47"/>
      <w:bookmarkEnd w:id="48"/>
      <w:r>
        <w:rPr>
          <w:rFonts w:ascii="Times New Roman;Times;serif" w:hAnsi="Times New Roman;Times;serif"/>
          <w:b/>
          <w:sz w:val="20"/>
        </w:rPr>
        <w:t>MANAGEMENT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Directors and Senior Management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information about SCHMID’s management is based on the provisions of SCHMID’s Articles of Association, which is included as an exhibit to this prospectus.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lists the names and positions of those individuals are SCHMID’s directors and executive officers.</w:t>
      </w:r>
    </w:p>
    <w:tbl>
      <w:tblPr>
        <w:tblW w:w="6423" w:type="dxa"/>
        <w:jc w:val="left"/>
        <w:tblInd w:w="200" w:type="dxa"/>
        <w:tblLayout w:type="fixed"/>
        <w:tblCellMar>
          <w:top w:w="0" w:type="dxa"/>
          <w:left w:w="0" w:type="dxa"/>
          <w:bottom w:w="0" w:type="dxa"/>
          <w:right w:w="0" w:type="dxa"/>
        </w:tblCellMar>
      </w:tblPr>
      <w:tblGrid>
        <w:gridCol w:w="1951"/>
        <w:gridCol w:w="346"/>
        <w:gridCol w:w="4126"/>
      </w:tblGrid>
      <w:tr>
        <w:trPr/>
        <w:tc>
          <w:tcPr>
            <w:tcW w:w="19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26"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238885" cy="29210"/>
                      <wp:effectExtent l="0" t="0" r="0" b="0"/>
                      <wp:wrapNone/>
                      <wp:docPr id="42" name="Frame40"/>
                      <a:graphic xmlns:a="http://schemas.openxmlformats.org/drawingml/2006/main">
                        <a:graphicData uri="http://schemas.microsoft.com/office/word/2010/wordprocessingShape">
                          <wps:wsp>
                            <wps:cNvSpPr txBox="1"/>
                            <wps:spPr>
                              <a:xfrm>
                                <a:off x="0" y="0"/>
                                <a:ext cx="1238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29210"/>
                      <wp:effectExtent l="0" t="0" r="0" b="0"/>
                      <wp:wrapNone/>
                      <wp:docPr id="43" name="Frame4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620010" cy="29210"/>
                      <wp:effectExtent l="0" t="0" r="0" b="0"/>
                      <wp:wrapNone/>
                      <wp:docPr id="44" name="Frame42"/>
                      <a:graphic xmlns:a="http://schemas.openxmlformats.org/drawingml/2006/main">
                        <a:graphicData uri="http://schemas.microsoft.com/office/word/2010/wordprocessingShape">
                          <wps:wsp>
                            <wps:cNvSpPr txBox="1"/>
                            <wps:spPr>
                              <a:xfrm>
                                <a:off x="0" y="0"/>
                                <a:ext cx="2620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4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w:t>
            </w:r>
          </w:p>
        </w:tc>
      </w:tr>
      <w:tr>
        <w:trPr/>
        <w:tc>
          <w:tcPr>
            <w:tcW w:w="19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Executive Officers</w:t>
            </w:r>
          </w:p>
        </w:tc>
        <w:tc>
          <w:tcPr>
            <w:tcW w:w="346" w:type="dxa"/>
            <w:tcBorders/>
            <w:vAlign w:val="center"/>
          </w:tcPr>
          <w:p>
            <w:pPr>
              <w:pStyle w:val="TableContents"/>
              <w:bidi w:val="0"/>
              <w:spacing w:before="0" w:after="0"/>
              <w:ind w:left="0" w:right="0" w:hanging="0"/>
              <w:jc w:val="left"/>
              <w:rPr/>
            </w:pPr>
            <w:r>
              <w:rPr/>
              <w:t>​</w:t>
            </w:r>
          </w:p>
        </w:tc>
        <w:tc>
          <w:tcPr>
            <w:tcW w:w="41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Christian Schmid</w:t>
            </w:r>
          </w:p>
        </w:tc>
        <w:tc>
          <w:tcPr>
            <w:tcW w:w="346"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Arthur Schuetz</w:t>
            </w:r>
          </w:p>
        </w:tc>
        <w:tc>
          <w:tcPr>
            <w:tcW w:w="346"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SCHMID Board</w:t>
            </w:r>
          </w:p>
        </w:tc>
        <w:tc>
          <w:tcPr>
            <w:tcW w:w="346"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 Dr. Sir Ralf Speth</w:t>
            </w:r>
          </w:p>
        </w:tc>
        <w:tc>
          <w:tcPr>
            <w:tcW w:w="346"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Non-executive Director (independent)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Christian Schmid</w:t>
            </w:r>
          </w:p>
        </w:tc>
        <w:tc>
          <w:tcPr>
            <w:tcW w:w="346"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Director</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Anette Schmid</w:t>
            </w:r>
          </w:p>
        </w:tc>
        <w:tc>
          <w:tcPr>
            <w:tcW w:w="346"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Non-executive Director</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Stefan Berger</w:t>
            </w:r>
          </w:p>
        </w:tc>
        <w:tc>
          <w:tcPr>
            <w:tcW w:w="346"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Non-executive Director (independent)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Boo-Keun Yoon</w:t>
            </w:r>
          </w:p>
        </w:tc>
        <w:tc>
          <w:tcPr>
            <w:tcW w:w="346"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Non-executive Director (independent)</w:t>
            </w:r>
          </w:p>
        </w:tc>
      </w:tr>
      <w:tr>
        <w:trPr/>
        <w:tc>
          <w:tcPr>
            <w:tcW w:w="1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Annedore Streyl</w:t>
            </w:r>
          </w:p>
        </w:tc>
        <w:tc>
          <w:tcPr>
            <w:tcW w:w="346"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Non-executive Director (independent)</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Board of the Schmid Group consists of six members.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business address for each of the directors and executive officers of the Company is Robert-Bosch-Str. 32-36, 72250 Freudenstadt, Germany.</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Executive Officers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b/>
          <w:i/>
          <w:sz w:val="20"/>
        </w:rPr>
        <w:t>Christian Schmid</w:t>
      </w:r>
      <w:r>
        <w:rPr>
          <w:rFonts w:ascii="Times New Roman;Times;serif" w:hAnsi="Times New Roman;Times;serif"/>
          <w:sz w:val="20"/>
        </w:rPr>
        <w:t xml:space="preserve"> is serving as the Company’s Chief Executive Officer and Executive Director of the Company’s board. Mr. Schmid has been a member of Gebr. Schmid management since 1998, where he acted as an assistant to the management board before becoming managing director in 2001. As the CEO of Schmid, Mr. Schmid has extensive experience in the development of high-tech machines and systems designed for surface treatment processes to be used across various industries including electronics, photovoltaics, glass and energy storage. Since 1998, Mr. Schmid has acted as managing director of many of SCHMID’s subsidiaries and affiliates, including SCHMID Asia Ltd. (1998 present), SCHMID China Ltd (2005 present), Schmid Verwaltungs GmbH (2009 present), Schmid Energy Systems GmbH (2011 2023), SCHMID Pekintas Günes Enerji Sistemleri San. Ve Tic. A.S. (2013 present), SCHMID Taiwan Ltd. (2016 present) and C. Schmid Beteiligungsverwaltung GmbH (2017 present). Mr. Schmid has also acted in the role of director for SCHMID Systems, Inc., SCHMID Automation (Zhuhai) Co. Ltd. (2017 present), SCHMID Avaco Korea Co. Ltd. (2018 present), Advanced Energy Storage Systems Investment Company (2020 2023) and SCHMID Technology (Guangdong) Co. Ltd. (2021 2023). Mr. Schmid began his career in the engineering space in 1984 as an engineering draftsman and received an advanced technical certificate in engineering following two years of military substitute service at Arbeiterwohlfahrt Freudenstadt. From 1996 until he joined the management team of SCHMID, Mr. Schmid worked for Hahn &amp; Kolb on the development and implementation of an internet-based c-parts supply system. Mr. Schmid has a business engineering degree from the Offenburg University of Applied Sciences and Arts (Fachhochschule).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b/>
          <w:i/>
          <w:sz w:val="20"/>
        </w:rPr>
        <w:t>Arthur Schuetz</w:t>
      </w:r>
      <w:r>
        <w:rPr>
          <w:rFonts w:ascii="Times New Roman;Times;serif" w:hAnsi="Times New Roman;Times;serif"/>
          <w:sz w:val="20"/>
        </w:rPr>
        <w:t xml:space="preserve"> serves as the Company’s Chief Financial Officer. He was appointed as of January 1, 2026. Mr. Schütz obtained a Masters degree in economics from the University of Bonn and spent time at Hitotsubashi University Tokyo and University of Freiburg. He has over 20 years of experience in finance and banking. Mr. Schütz started in investment banking at Flemings in London, and worked at JP Morgan for about ten years, followed by Morgan Stanley for about twelve years. At Morgan Stanley he transferred to the Hong Kong office to head the Industrials Asia-Pacific team as Managing Director. In 2019 he moved to Frankfurt, where he worked for more than six years at Barclays also as Managing Director, head of Automotive Europe and as part of Capital Goods Team Europe. During his time in investment banking, he shepherded many IPOs in the US, Europe and Hong Kong as well as cross-border M&amp;A transactions especially between Germany and China and high-yield debt financings.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The Board of Directors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See “</w:t>
      </w:r>
      <w:r>
        <w:rPr>
          <w:rFonts w:ascii="Times New Roman;Times;serif" w:hAnsi="Times New Roman;Times;serif"/>
          <w:i/>
          <w:sz w:val="20"/>
        </w:rPr>
        <w:t>Executive Officers</w:t>
      </w:r>
      <w:r>
        <w:rPr>
          <w:rFonts w:ascii="Times New Roman;Times;serif" w:hAnsi="Times New Roman;Times;serif"/>
          <w:sz w:val="20"/>
        </w:rPr>
        <w:t>” for the biography of Christian Schmid.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b/>
          <w:i/>
          <w:sz w:val="20"/>
        </w:rPr>
        <w:t xml:space="preserve">Anette Schmid </w:t>
      </w:r>
      <w:r>
        <w:rPr>
          <w:rFonts w:ascii="Times New Roman;Times;serif" w:hAnsi="Times New Roman;Times;serif"/>
          <w:sz w:val="20"/>
        </w:rPr>
        <w:t>is a director of the Company’s board. Ms. Schmid has over 25 years of experience working for Schmid. Her main areas of expertise are strategic IT alignment, project systems, production, logistics, controlling, integrated value flows, interfaces, accounting conversion, selection consulting and audit support. From 2013 on, Anette Schmid was involved in the project management of selected projects with focus on IT, SAP (system analysis program development (Systemanalyse Programmentwicklung)) and controlling at Gebr. Schmid GmbH. Since 2011, she has been a co-owner of Gebr. Schmid GmbH and owner of Schmid Aequitas GmbH &amp; Co. KG and Schmid Aequitas Verwaltung GmbH. From 1999 to 2012, Anette Schmid was SAP project manager and co-owner of untersee GmbH where she was involved in the implementation of integrated SAP systems in various companies in the machinery and plant engineering industry, such as Mannesmann-Rexroth AG, Putzmeister AG, Winkler+Dünnebier GmbH, Krones AG, Herrenknecht AG, Schmidt Technology GmbH, KACO new energy GmbH, TQ-Systems GmbH and others. Further, she worked at Gebr. Schmid GmbH in SAP activities in controlling and sub-project management in SAP system implementation, controlling and logistics from 1996 to 1998. In addition to her share in Gebr. Schmid GmbH, Anette Schmid is co-owner of Schmid Grundstücke GmbH &amp; Co. KG and Schmid Grundstücksverwaltung GmbH since 2015. Anette Schmid has a bachelor’s degree in business administration.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b/>
          <w:i/>
          <w:sz w:val="20"/>
        </w:rPr>
        <w:t xml:space="preserve">Prof. Dr. Sir Ralf Speth </w:t>
      </w:r>
      <w:r>
        <w:rPr>
          <w:rFonts w:ascii="Times New Roman;Times;serif" w:hAnsi="Times New Roman;Times;serif"/>
          <w:sz w:val="20"/>
        </w:rPr>
        <w:t>serves as the Chairman of Board of SCHMID. Prof. Dr. Sir Ralf Speth has over 40 years of operating, M&amp;A and financing experience in the automotive and transportation-related sector. Prof. Dr. Sir Ralf Speth is considered to be an industry thought leader on the global need for energy transition and the technologies which will transform our energy infrastructure, most notably as it relates to hydrogen power and autonomous driving technologies. Since September 2020, Prof. Sir Ralf Speth has served as a non-executive director and the vice-chairman of the board of Jaguar Land Rover Automotive PLC, a British multinational automotive subsidiary of Tata Motors and a manufacturer of luxury vehicles and sport utility vehicles, and, as of October 2016, a member of the Board of Directors of Tata Sons, the principal holding company of more than 100 operating companies with a combined revenue of more than $100 billion. Prof. Dr. Sir Ralf Speth has also been a professor at the University of Warwick since 2014. As of March 2022, he serves as director of Swiss E, Mobility Group AG (SEMG). Prof. Dr. Sir Ralf Speth also serves as director of the Norton Motorcycle Company, a position he has held since March 2022. As of January 2021, Prof. Dr. Sir Ralf Speth serves as a strategic advisor to Bladon Micro Turbine Limited, a designer, developer and manufacturer of micro turbine gensets to serve the telecommunication market. Prof. Dr. Sir Ralf Speth also served as the Chief Executive Officer of Jaguar Land Rover from February 2010 to September 2020, helping the company grow substantially over this period, including leading its push into new markets, and establishing factories in China, Slovakia, Brazil and India. Prof. Dr. Sir Ralf Speth also spearheaded Jaguar Land Rover’s car line-up expansion, introducing highly successful models like the Range Rover Evoque, Range Rover Velar, Defender, and the award winning, electric Jaguar I-Pace, the first luxury e-SUV and triple 2019 World Car of the Year. Prior to joining Jaguar Land Rover, Prof. Dr. Sir Ralf Speth held positions as Executive Director of the Material Handling Division and Global Head of Production, both at the Linde Group (NYSE: LIN), a global leader in both clean hydrogen and in H2 refueling stations for cars, trucks, trains, forklifts and buses and engineering company with 2020 sales of $27 billion, Director of Production, Quality and Product Planning at the Ford Motor Company’s PAG before the division’s sale to Tata Motors in 2010. Prior to joining Ford, Prof. Dr. Sir Ralf Speth spent over 20 years at BMW Group, a world leading premium manufacturer of automobiles and motorcycles with its four brands BMW, MINI, Rolls-Royce and BMW Motorrad, working across various executive and managerial positions. Prof. Dr. Sir Ralf Speth has been a member of the Royal Academy of Engineering since 2014. In 2015, Prof. Dr. Sir Ralf Speth was appointed an honorary Knight Commander of the Order of the British Empire for his services to the UK automotive industry. In August 2019, the award was made substantive following Prof. Dr. Sir Ralf Speth becoming a British citizen. In May 2020, Prof. Dr. Sir Ralf Speth was elected a Fellow of the Royal Society. Prof. Dr. Sir Ralf Speth was awarded a degree in Engineering from the University of Applied Sciences Rosenheim, Germany. Additionally, Prof. Dr. Sir Ralf Speth received a Doctorate of Engineering in Mechanical Engineering and Business Administration from the University of Warwick. Over the course of his distinguished career in the transportation industry, Prof. Dr. Sir Ralf Speth has been the recipient of a number of recognitions and awards, including Auto Best 2014, Winner; Auto Express. Winner, 2014; Hall of Fame, 2014; Automotive News Europe. ALL STAR, 2014; Coventry Award of Merit, 2014; Future Manufacturing Award, 2013; Fellow of the Royal Academy of Engineering, 2014; Issigonis Trophy, 2017; MANBEST 2013, Warsaw; The Institution of Engineering and Technology, IET. Gold Medal, 2011; The Outstanding Industrialist, 2013; and Trophée d’Or, Logistique Européenne, Elancourt, France.</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b/>
          <w:i/>
          <w:sz w:val="20"/>
        </w:rPr>
        <w:t>Dr. Stefan Berger</w:t>
      </w:r>
      <w:r>
        <w:rPr>
          <w:rFonts w:ascii="Times New Roman;Times;serif" w:hAnsi="Times New Roman;Times;serif"/>
          <w:sz w:val="20"/>
        </w:rPr>
        <w:t xml:space="preserve"> serves as director of the Company’s board. Dr. Berger has over 15 years of experience in global blue-chip and family-owned companies across multiple geographies and sectors, including Automotive OEMs and Suppliers, Commodities, Healthcare, Publishing, Telecommunications, Fashion and Consumer Goods. In August 2021, he began serving on the Strategic Board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of Advisors of Skyworks Aeronautics Corp., a designer and developer of high-performance gyroplanes. From October 2017 to June 2021, Dr. Berger served as Director of Electrification at Jaguar Land Rover Limited, a British multinational automotive subsidiary of Tata Motors and a manufacturer of luxury vehicles and sport utility vehicles, where he was responsible for the company’s off-board electrification activities in the field of charging services for electric vehicles and battery second life. Dr. Berger laid the foundation for Jaguar Land Rover’s transformation to electrified vehicles by driving the electric product plan and overall strategy. In his role he also served as a trustee on the Board of The Faraday Institution from January 2018 to March 2020. The Faraday Institution is part of the UK government funded $350 million Faraday Challenge, an initiative to develop, design and manufacture world-leading batteries in the UK. Prior to Jaguar Land Rover, from May 2016 to September 2017 and June 2013 to February 2014, Dr. Berger served as Vice President to the Chairman’s Office at Tata Sons, the principal holding company of more than 100 operating companies with a combined revenue of more than $100 billion. In this role, Dr. Berger worked closely with Group companies including Tata Motors and Jaguar Land Rover on the development and implementation of strategic and operational plans on behalf of the Group Chairman. Prior to his role at Tata Sons, Dr. Berger Co-founded Visioning, the private investment and consulting office of Prof. Dr. Wolfgang Reitzle, where he served as a Managing Director from May 2014 to March 2016. From November 2010 to May 2013 Dr. Berger held the role of Director Corporate Strategy at Jaguar Land Rover where he helped the company to set up its JV in China and drove Jaguar Land Rover’s strategy. Dr. Berger earned a degree in Business Administration and Information Systems from the University of Passau and went on to complete a doctoral thesis in Information Systems from the University of Regensburg (Institute of Information Systems) &amp; Bavarian Research Cooperation on Information Systems.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b/>
          <w:i/>
          <w:sz w:val="20"/>
        </w:rPr>
        <w:t>Boo-Keun Yoon</w:t>
      </w:r>
      <w:r>
        <w:rPr>
          <w:rFonts w:ascii="Times New Roman;Times;serif" w:hAnsi="Times New Roman;Times;serif"/>
          <w:sz w:val="20"/>
        </w:rPr>
        <w:t xml:space="preserve"> serves as director of the Company’s board. Mr. Yoon holds a bachelor’s degree in electrical engineering from Hanyang University and has 45 years of experience at Samsung Electronics. In these 45 years at Samsung, he held various positions including President and Head of the Visual Display Business from 2009 to 2011, President and CEO of the Consumer Electronics Division from 2013 to 2017, Vice Chairman and CEO from 2017 to 2018, and Vice Chairman of the Corporate Relations department from 2018 to the present., In addition, he has acted as Vice Chairman of the Korean Chamber of Commerce and Industry as well as the Korean Enterprise Federation. From January 2020 until 2023, he also worked as senior advisor at Samsung Electronics. Over time, Mr. Yoon has been honored with several awards, inter alia, the Order of Science and Technology Merit of the President of Korea in April 2007.</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b/>
          <w:i/>
          <w:sz w:val="20"/>
        </w:rPr>
        <w:t>Dr. Annedore Streyl</w:t>
      </w:r>
      <w:r>
        <w:rPr>
          <w:rFonts w:ascii="Times New Roman;Times;serif" w:hAnsi="Times New Roman;Times;serif"/>
          <w:sz w:val="20"/>
        </w:rPr>
        <w:t xml:space="preserve"> serves as director of the Company’s board. She is the chair of the Board’s audit committee, nomination committee as well as its compensation committee. She is a fully qualified lawyer and is admitted to the bar in Germany. She has worked as an attorney at Freshfields Bruckhaus Deringer in Berlin in Corporate/M&amp;A between 1993 and 2017, was named partner there in 1998, and also served as Managing Director of the Berlin office. Between 2017 and 2023, Dr. Streyl was a partner at Ernst &amp; Young Law GmbH in Berlin, where she led the M&amp;A practice in Germany. She also served as a member of the management board and General Counsel of Ernst &amp; Young GmbH &amp; Co. KG Wirtschaftsprüfungsgesellschaft, between 2020 and 2024, where she managed the investigation of the Wirecard case.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Board Diversity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table below provides certain information regarding the diversity of the Board as of the date of this prospectus:</w:t>
      </w:r>
    </w:p>
    <w:tbl>
      <w:tblPr>
        <w:tblW w:w="7698" w:type="dxa"/>
        <w:jc w:val="left"/>
        <w:tblInd w:w="200" w:type="dxa"/>
        <w:tblLayout w:type="fixed"/>
        <w:tblCellMar>
          <w:top w:w="0" w:type="dxa"/>
          <w:left w:w="0" w:type="dxa"/>
          <w:bottom w:w="0" w:type="dxa"/>
          <w:right w:w="0" w:type="dxa"/>
        </w:tblCellMar>
      </w:tblPr>
      <w:tblGrid>
        <w:gridCol w:w="4906"/>
        <w:gridCol w:w="346"/>
        <w:gridCol w:w="2446"/>
      </w:tblGrid>
      <w:tr>
        <w:trPr/>
        <w:tc>
          <w:tcPr>
            <w:tcW w:w="49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ind w:left="0" w:right="0" w:hanging="0"/>
              <w:jc w:val="left"/>
              <w:rPr>
                <w:sz w:val="4"/>
                <w:szCs w:val="4"/>
              </w:rPr>
            </w:pPr>
            <w:r>
              <w:rPr>
                <w:sz w:val="4"/>
                <w:szCs w:val="4"/>
              </w:rPr>
            </w:r>
          </w:p>
        </w:tc>
      </w:tr>
      <w:tr>
        <w:trPr/>
        <w:tc>
          <w:tcPr>
            <w:tcW w:w="49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Board Diversity Matrix</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24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9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Country of Principal Executive Offices:</w:t>
            </w:r>
          </w:p>
        </w:tc>
        <w:tc>
          <w:tcPr>
            <w:tcW w:w="346" w:type="dxa"/>
            <w:tcBorders/>
            <w:vAlign w:val="center"/>
          </w:tcPr>
          <w:p>
            <w:pPr>
              <w:pStyle w:val="TableContents"/>
              <w:bidi w:val="0"/>
              <w:spacing w:before="0" w:after="0"/>
              <w:ind w:left="0" w:right="0" w:hanging="0"/>
              <w:jc w:val="left"/>
              <w:rPr/>
            </w:pPr>
            <w:r>
              <w:rPr/>
              <w:t>​</w:t>
            </w:r>
          </w:p>
        </w:tc>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Private Issuer</w:t>
            </w:r>
          </w:p>
        </w:tc>
        <w:tc>
          <w:tcPr>
            <w:tcW w:w="346" w:type="dxa"/>
            <w:tcBorders/>
            <w:vAlign w:val="center"/>
          </w:tcPr>
          <w:p>
            <w:pPr>
              <w:pStyle w:val="TableContents"/>
              <w:bidi w:val="0"/>
              <w:spacing w:before="0" w:after="0"/>
              <w:ind w:left="0" w:right="0" w:hanging="0"/>
              <w:jc w:val="left"/>
              <w:rPr/>
            </w:pPr>
            <w:r>
              <w:rPr/>
              <w:t>​</w:t>
            </w:r>
          </w:p>
        </w:tc>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Yes</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Disclosure Prohibited under Home Country Law</w:t>
            </w:r>
          </w:p>
        </w:tc>
        <w:tc>
          <w:tcPr>
            <w:tcW w:w="346" w:type="dxa"/>
            <w:tcBorders/>
            <w:vAlign w:val="center"/>
          </w:tcPr>
          <w:p>
            <w:pPr>
              <w:pStyle w:val="TableContents"/>
              <w:bidi w:val="0"/>
              <w:spacing w:before="0" w:after="0"/>
              <w:ind w:left="0" w:right="0" w:hanging="0"/>
              <w:jc w:val="left"/>
              <w:rPr/>
            </w:pPr>
            <w:r>
              <w:rPr/>
              <w:t>​</w:t>
            </w:r>
          </w:p>
        </w:tc>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Number of Directors</w:t>
            </w:r>
          </w:p>
        </w:tc>
        <w:tc>
          <w:tcPr>
            <w:tcW w:w="346" w:type="dxa"/>
            <w:tcBorders/>
            <w:vAlign w:val="center"/>
          </w:tcPr>
          <w:p>
            <w:pPr>
              <w:pStyle w:val="TableContents"/>
              <w:bidi w:val="0"/>
              <w:spacing w:before="0" w:after="0"/>
              <w:ind w:left="0" w:right="0" w:hanging="0"/>
              <w:jc w:val="left"/>
              <w:rPr/>
            </w:pPr>
            <w:r>
              <w:rPr/>
              <w:t>​</w:t>
            </w:r>
          </w:p>
        </w:tc>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 I: Gender Identity</w:t>
            </w:r>
          </w:p>
        </w:tc>
        <w:tc>
          <w:tcPr>
            <w:tcW w:w="346" w:type="dxa"/>
            <w:tcBorders/>
            <w:vAlign w:val="center"/>
          </w:tcPr>
          <w:p>
            <w:pPr>
              <w:pStyle w:val="TableContents"/>
              <w:bidi w:val="0"/>
              <w:spacing w:before="0" w:after="0"/>
              <w:ind w:left="0" w:right="0" w:hanging="0"/>
              <w:jc w:val="left"/>
              <w:rPr/>
            </w:pPr>
            <w:r>
              <w:rPr/>
              <w:t>​</w:t>
            </w:r>
          </w:p>
        </w:tc>
        <w:tc>
          <w:tcPr>
            <w:tcW w:w="2446" w:type="dxa"/>
            <w:tcBorders/>
            <w:vAlign w:val="center"/>
          </w:tcPr>
          <w:p>
            <w:pPr>
              <w:pStyle w:val="TableContents"/>
              <w:bidi w:val="0"/>
              <w:spacing w:before="0" w:after="0"/>
              <w:ind w:left="0" w:right="0" w:hanging="0"/>
              <w:jc w:val="left"/>
              <w:rPr/>
            </w:pPr>
            <w:r>
              <w:rPr/>
              <w:t>​</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Directors</w:t>
            </w:r>
          </w:p>
        </w:tc>
        <w:tc>
          <w:tcPr>
            <w:tcW w:w="346" w:type="dxa"/>
            <w:tcBorders/>
            <w:vAlign w:val="center"/>
          </w:tcPr>
          <w:p>
            <w:pPr>
              <w:pStyle w:val="TableContents"/>
              <w:bidi w:val="0"/>
              <w:spacing w:before="0" w:after="0"/>
              <w:ind w:left="0" w:right="0" w:hanging="0"/>
              <w:jc w:val="left"/>
              <w:rPr/>
            </w:pPr>
            <w:r>
              <w:rPr/>
              <w:t>​</w:t>
            </w:r>
          </w:p>
        </w:tc>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Female: 2</w:t>
            </w:r>
          </w:p>
        </w:tc>
      </w:tr>
      <w:tr>
        <w:trPr/>
        <w:tc>
          <w:tcPr>
            <w:tcW w:w="4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Male: 4</w:t>
            </w:r>
          </w:p>
        </w:tc>
      </w:tr>
      <w:tr>
        <w:trPr/>
        <w:tc>
          <w:tcPr>
            <w:tcW w:w="4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Non-Binary: 0</w:t>
            </w:r>
          </w:p>
        </w:tc>
      </w:tr>
      <w:tr>
        <w:trPr/>
        <w:tc>
          <w:tcPr>
            <w:tcW w:w="4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Did not disclosure gender: 0</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 II: Demographic Background</w:t>
            </w:r>
          </w:p>
        </w:tc>
        <w:tc>
          <w:tcPr>
            <w:tcW w:w="346" w:type="dxa"/>
            <w:tcBorders/>
            <w:vAlign w:val="center"/>
          </w:tcPr>
          <w:p>
            <w:pPr>
              <w:pStyle w:val="TableContents"/>
              <w:bidi w:val="0"/>
              <w:spacing w:before="0" w:after="0"/>
              <w:ind w:left="0" w:right="0" w:hanging="0"/>
              <w:jc w:val="left"/>
              <w:rPr/>
            </w:pPr>
            <w:r>
              <w:rPr/>
              <w:t>​</w:t>
            </w:r>
          </w:p>
        </w:tc>
        <w:tc>
          <w:tcPr>
            <w:tcW w:w="2446" w:type="dxa"/>
            <w:tcBorders/>
            <w:vAlign w:val="center"/>
          </w:tcPr>
          <w:p>
            <w:pPr>
              <w:pStyle w:val="TableContents"/>
              <w:bidi w:val="0"/>
              <w:spacing w:before="0" w:after="0"/>
              <w:ind w:left="0" w:right="0" w:hanging="0"/>
              <w:jc w:val="left"/>
              <w:rPr/>
            </w:pPr>
            <w:r>
              <w:rPr/>
              <w:t>​</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Underrepresented Individual in Home Country Jurisdiction</w:t>
            </w:r>
          </w:p>
        </w:tc>
        <w:tc>
          <w:tcPr>
            <w:tcW w:w="346" w:type="dxa"/>
            <w:tcBorders/>
            <w:vAlign w:val="center"/>
          </w:tcPr>
          <w:p>
            <w:pPr>
              <w:pStyle w:val="TableContents"/>
              <w:bidi w:val="0"/>
              <w:spacing w:before="0" w:after="0"/>
              <w:ind w:left="0" w:right="0" w:hanging="0"/>
              <w:jc w:val="left"/>
              <w:rPr/>
            </w:pPr>
            <w:r>
              <w:rPr/>
              <w:t>​</w:t>
            </w:r>
          </w:p>
        </w:tc>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LGBTQ+</w:t>
            </w:r>
          </w:p>
        </w:tc>
        <w:tc>
          <w:tcPr>
            <w:tcW w:w="346" w:type="dxa"/>
            <w:tcBorders/>
            <w:vAlign w:val="center"/>
          </w:tcPr>
          <w:p>
            <w:pPr>
              <w:pStyle w:val="TableContents"/>
              <w:bidi w:val="0"/>
              <w:spacing w:before="0" w:after="0"/>
              <w:ind w:left="0" w:right="0" w:hanging="0"/>
              <w:jc w:val="left"/>
              <w:rPr/>
            </w:pPr>
            <w:r>
              <w:rPr/>
              <w:t>​</w:t>
            </w:r>
          </w:p>
        </w:tc>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w:t>
            </w:r>
          </w:p>
        </w:tc>
      </w:tr>
      <w:tr>
        <w:trPr/>
        <w:tc>
          <w:tcPr>
            <w:tcW w:w="49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Did Not Disclose Demographic Background</w:t>
            </w:r>
          </w:p>
        </w:tc>
        <w:tc>
          <w:tcPr>
            <w:tcW w:w="346" w:type="dxa"/>
            <w:tcBorders/>
            <w:vAlign w:val="center"/>
          </w:tcPr>
          <w:p>
            <w:pPr>
              <w:pStyle w:val="TableContents"/>
              <w:bidi w:val="0"/>
              <w:spacing w:before="0" w:after="0"/>
              <w:ind w:left="0" w:right="0" w:hanging="0"/>
              <w:jc w:val="left"/>
              <w:rPr/>
            </w:pPr>
            <w:r>
              <w:rPr/>
              <w:t>​</w:t>
            </w:r>
          </w:p>
        </w:tc>
        <w:tc>
          <w:tcPr>
            <w:tcW w:w="2446" w:type="dxa"/>
            <w:tcBorders/>
            <w:vAlign w:val="center"/>
          </w:tcPr>
          <w:p>
            <w:pPr>
              <w:pStyle w:val="TableContents"/>
              <w:bidi w:val="0"/>
              <w:spacing w:before="0" w:after="0"/>
              <w:ind w:left="0" w:right="60" w:hanging="0"/>
              <w:jc w:val="left"/>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Leadership Diversity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have not made any determination on the diversity of our leadership team as of December 31, 2025.</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Family Relationships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Christian Schmid and Anette Schmid are siblings.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Compensation of Board Members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Board adopted a compensation policy designed to enable us to attract and retain, on a long-term basis, highly qualified directors (for information on individual Directors’ compensation, see below under “Arrangements with Executive Officers” and under “Non-executive Directors Compensation”).</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Equity Incentive Plan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intend to put in place an equity incentive plan which may cover the directors, executives and eligible employees. As of the date of this registration statement, such an incentive plan is proposed for vote at the next Annual General Meeting. If passed, the Board would be granted the authority to resolve on issuances of shares under the plan. Share incentive and share option plans for Mr. Arthur Schuetz and Mr. Helmut Rauch are filed wherewith as Exhibits 10.1, 10.2, 10.3 and 10.4.</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Adoption of Clawback Policy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accordance with Rule 10D-1 promulgated under the Exchange Act and Nasdaq Listing Rule 5608, we adopted an Incentive Compensation Recoupment Policy which is filed herewith as Exhibit 99.2.</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Arrangements with Executive Officers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Christian Schmid Compensation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Mr. Schmid’s fixed compensation as CEO of the Company was approved by resolution as of April 30, 2024 and includes:</w:t>
      </w:r>
    </w:p>
    <w:tbl>
      <w:tblPr>
        <w:tblW w:w="6996" w:type="dxa"/>
        <w:jc w:val="left"/>
        <w:tblInd w:w="20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fixed amount of EUR 626,373 and an annual fee of EUR 70,000; and</w:t>
            </w:r>
          </w:p>
        </w:tc>
      </w:tr>
    </w:tbl>
    <w:tbl>
      <w:tblPr>
        <w:tblW w:w="9426" w:type="dxa"/>
        <w:jc w:val="left"/>
        <w:tblInd w:w="20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allowances of schooling costs, travelling expenses and a company car, if requested by Mr. Schmid.</w:t>
            </w:r>
          </w:p>
        </w:tc>
      </w:tr>
    </w:tbl>
    <w:p>
      <w:pPr>
        <w:pStyle w:val="TextBody"/>
        <w:bidi w:val="0"/>
        <w:spacing w:lineRule="auto" w:line="328" w:before="0" w:after="240"/>
        <w:ind w:left="200" w:right="200" w:firstLine="360"/>
        <w:jc w:val="left"/>
        <w:rPr>
          <w:rFonts w:ascii="Times New Roman;Times;serif" w:hAnsi="Times New Roman;Times;serif"/>
          <w:sz w:val="20"/>
        </w:rPr>
      </w:pPr>
      <w:r>
        <w:rPr>
          <w:rFonts w:ascii="Times New Roman;Times;serif" w:hAnsi="Times New Roman;Times;serif"/>
          <w:sz w:val="20"/>
        </w:rPr>
        <w:t>Mr. Schmid’s variable compensation for 2025 was set by the Compensation Committee and included the following short-term and long-term incentive plans:</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short-term targets refer to one-year periods, with targets set by the Board on the Company’s EBIT, operating free cash flow and on ESG targets, with the possibility of between 0%-200% achievement. 100% achievement entitles Mr. Schmid to additional remuneration of €500,000, while the maximum remuneration is capped at €900,000;</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long-term targets refer to three-year periods, with targets set by the Board on the Company’s relative total shareholder returns, return on capital employed and on ESG targets, with the possibility of between 0%-200% achievement. 100% achievement entitles Mr. Schmid to additional remuneration of €500,000, while the maximum remuneration is capped at €1,000,000.</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targets set for the short-term and long-term incentive plans were not reached in 2025 and as a result no payments were made thereunder.</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Arthur Schuetz Compensation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Arthur Schuetz has been appointed as CFO in December 2025 and has served as CFO since January 1, 2026.</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his role as CFO for the Company Mr. Schuetz receives an annual fixed salary of EUR 180,000. In addition the Company entered into a service agreement with Mr. Schuetz which in 2026 provides for the payment of a service fee of EUR 20,000, as well as 6,000 shares of the Company per month, and 50,000 share options every six months of employment at a strike price of $4.00 for the first half of 2026 and thereafter at a strike price of the volume-weighted average price over the preceding 6 months (which have an exercise window of five years), and an incentive variable salary component amounting to 35,000 shares annually, tied to an EBIT target of SCHMID, where under or over performance reduce or increase the variable salary pro rata (30% underperformance floor amounting to no eligibility and 30% overperformance ceiling amount to maximum 200% eligibility). The agreement with Mr. Schuetz foresees an update to his compensation, incentive share and share options plan in 2027 being the share based component of the fixed salary calculated by dividing EUR 250,000 by the volume-weighted average price over the preceding 6 months, 50,000 share options every six months (exercisable for five years) at a strike price to be set by the Board and the Audit Committee, and an incentive variable salary component amounting to 35,000 shares annually, tied to an EBIT target set by SCHMID Board, where under or over performance reduce or increase the variable salary pro rata (30% underperformance floor amounting to no eligibility and 30% overperformance ceiling amount to 200% eligibility).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Julia Natterer Compensation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Julia Natterer served as CFO of the Company until January 1, 2026.</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fixed amount of EUR 195,612 until April 1, 2025 when it was increased to EUR 196,812, and an annual service fee of EUR 35,000;</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short-term bonus of up to 50% of the annual fixed amount, based (i) on the Company’s consolidated EBIT margin, and (ii) certain individual targets as follows: (i) EUR 4,500 for each percentage point of consolidated EBIT margin achieved by the Company (on a pro rata basis) and (ii) EUR 15,000 for individual targets if she fulfils her individual targets: for the year 2023 the individual target was achieved with the conclusion of the business combination agreement; and if the EBIT margin is negative, a deduction.</w:t>
            </w:r>
          </w:p>
        </w:tc>
      </w:tr>
    </w:tbl>
    <w:tbl>
      <w:tblPr>
        <w:tblW w:w="7536" w:type="dxa"/>
        <w:jc w:val="left"/>
        <w:tblInd w:w="20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additional allowances: a company car, if requested by Ms. Julia Natterer.</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Currently Arthur Schuetz serves as CFO of the Company and Ms. Natterer is CFO of Gebr. Schmid GmbH.</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Helmut Rauch Compensation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Company and Helmut Rauch, the COO (employed on the level of Gebr. Schmid GmbH with no executive function at the level of SCHMID Group N.V.), agreed in 2025 that Mr. Rauch would receive shares in the Company as part of his remuneration package. Starting in 2026 Mr. Rauch is set to receive 6,000 shares of the Company per month, and 50,000 share options every six months of employment at a strike price of $4.00 for the first half of 2026 and thereafter at a strike price of the volume-weighted average price over the preceding 6 months (which have an exercise window of five years), and an incentive variable salary component amounting to 35,000 shares annually, tied to an EBIT target of SCHMID, where under or over performance reduce or increase the variable salary pro rata (30% underperformance floor amounting to no eligibility and 30% overperformance ceiling amount to maximum 200% eligibility). The agreement with Mr. Rauch foresees an update to his compensation, incentive share and share options plan in 2027 being the share based component of the fixed salary calculated by dividing EUR 250,000 by the volume-weighted average price over the preceding 6 months, 50,000 share options every six months (exercisable for five years) at a strike price to be set by the Board and the Audit Committee, and an incentive variable salary component amounting to 35,000 shares annually, tied to an EBIT target set by SCHMID Board and the Audit Committee, where under or over performance reduce or increase the variable salary pro rata (30% underperformance floor amounting to no eligibility and 30% overperformance ceiling amount to 200% eligibility). 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 </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Christian Schmid Service Agreements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April 2024, the Company entered into a services agreement with Christian Schmid. The services agreement provides for, among other things, a service fee of €70,000.</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Julia Natterer Service Agreement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April 2024, the Company entered into a services agreement with Julia Natterer. The services agreement provided for, among other things, a service fee of €35,000.</w:t>
      </w:r>
    </w:p>
    <w:p>
      <w:pPr>
        <w:pStyle w:val="TextBody"/>
        <w:bidi w:val="0"/>
        <w:spacing w:before="0" w:after="200"/>
        <w:ind w:left="200" w:right="200" w:hanging="0"/>
        <w:jc w:val="left"/>
        <w:rPr>
          <w:rFonts w:ascii="Times New Roman;Times;serif" w:hAnsi="Times New Roman;Times;serif"/>
          <w:b/>
          <w:sz w:val="20"/>
        </w:rPr>
      </w:pPr>
      <w:r>
        <w:rPr>
          <w:rFonts w:ascii="Times New Roman;Times;serif" w:hAnsi="Times New Roman;Times;serif"/>
          <w:b/>
          <w:sz w:val="20"/>
        </w:rPr>
        <w:t>Non-Executive Director Compensation</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In connection with the Business Combination, we adopted a Board member compensation policy, as amended, which governs the compensation of our executive and non-executive directors. The terms and conditions of the Board member compensation policy that are applicable to non-executive directors are designed to attract and retain high quality non-executive Board members by providing competitive compensation and aligning their interests with the interests of shareholders through equity awards. On April 30, 2024 the following compensations have been resolved (subject to the formal adoption of the compensation policy) as the annual compensation for the non-executive directors:</w:t>
      </w:r>
    </w:p>
    <w:tbl>
      <w:tblPr>
        <w:tblW w:w="3126" w:type="dxa"/>
        <w:jc w:val="left"/>
        <w:tblInd w:w="200" w:type="dxa"/>
        <w:tblLayout w:type="fixed"/>
        <w:tblCellMar>
          <w:top w:w="28" w:type="dxa"/>
          <w:left w:w="28" w:type="dxa"/>
          <w:bottom w:w="28" w:type="dxa"/>
          <w:right w:w="28" w:type="dxa"/>
        </w:tblCellMar>
      </w:tblPr>
      <w:tblGrid>
        <w:gridCol w:w="124"/>
        <w:gridCol w:w="256"/>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Stefan Berger: EUR 90,000;</w:t>
            </w:r>
          </w:p>
        </w:tc>
      </w:tr>
    </w:tbl>
    <w:tbl>
      <w:tblPr>
        <w:tblW w:w="2991" w:type="dxa"/>
        <w:jc w:val="left"/>
        <w:tblInd w:w="200" w:type="dxa"/>
        <w:tblLayout w:type="fixed"/>
        <w:tblCellMar>
          <w:top w:w="28" w:type="dxa"/>
          <w:left w:w="28" w:type="dxa"/>
          <w:bottom w:w="28" w:type="dxa"/>
          <w:right w:w="28" w:type="dxa"/>
        </w:tblCellMar>
      </w:tblPr>
      <w:tblGrid>
        <w:gridCol w:w="124"/>
        <w:gridCol w:w="256"/>
        <w:gridCol w:w="2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Ralf Speth: EUR 165,000;</w:t>
            </w:r>
          </w:p>
        </w:tc>
      </w:tr>
    </w:tbl>
    <w:tbl>
      <w:tblPr>
        <w:tblW w:w="3411" w:type="dxa"/>
        <w:jc w:val="left"/>
        <w:tblInd w:w="200" w:type="dxa"/>
        <w:tblLayout w:type="fixed"/>
        <w:tblCellMar>
          <w:top w:w="28" w:type="dxa"/>
          <w:left w:w="28" w:type="dxa"/>
          <w:bottom w:w="28" w:type="dxa"/>
          <w:right w:w="28" w:type="dxa"/>
        </w:tblCellMar>
      </w:tblPr>
      <w:tblGrid>
        <w:gridCol w:w="124"/>
        <w:gridCol w:w="256"/>
        <w:gridCol w:w="3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Annedore Streyl: EUR 115,000;</w:t>
            </w:r>
          </w:p>
        </w:tc>
      </w:tr>
    </w:tbl>
    <w:tbl>
      <w:tblPr>
        <w:tblW w:w="3696" w:type="dxa"/>
        <w:jc w:val="left"/>
        <w:tblInd w:w="20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Boo-Keun Yoon: EUR 90,000, and</w:t>
            </w:r>
          </w:p>
        </w:tc>
      </w:tr>
    </w:tbl>
    <w:tbl>
      <w:tblPr>
        <w:tblW w:w="2136" w:type="dxa"/>
        <w:jc w:val="left"/>
        <w:tblInd w:w="200" w:type="dxa"/>
        <w:tblLayout w:type="fixed"/>
        <w:tblCellMar>
          <w:top w:w="28" w:type="dxa"/>
          <w:left w:w="28" w:type="dxa"/>
          <w:bottom w:w="28" w:type="dxa"/>
          <w:right w:w="28" w:type="dxa"/>
        </w:tblCellMar>
      </w:tblPr>
      <w:tblGrid>
        <w:gridCol w:w="124"/>
        <w:gridCol w:w="256"/>
        <w:gridCol w:w="1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Anette Schmid:</w:t>
            </w:r>
          </w:p>
        </w:tc>
      </w:tr>
    </w:tbl>
    <w:tbl>
      <w:tblPr>
        <w:tblW w:w="5526" w:type="dxa"/>
        <w:jc w:val="left"/>
        <w:tblInd w:w="20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Anette Schmid will receive a fixed annual fee of EUR 95,000;</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base salary for the operational tasks she will perform for the Company or its subsidiaries of EUR 252,638 (the annual base salary will be increased by EUR 1,200 as of April 1, 2025 and this annual base salary is subject to an increase equal to the increase that all employees of Gebr. Schmid GmbH may receive from time to time due to the discretion of management);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short-term bonus of up to 50% of the annual base salary based on the Company’s consolidated EBIT margin and certain individual targets set out by the management: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Anette Schmid will receive EUR 10,000 for each percentage point of consolidated EBIT margin achieved by the Company (on a pro rata basis, i.e. if the Company’s consolidated EBIT margin is 1.5%, Ms Anette Schmid will receive EUR 15,000);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Anette Schmid will receive EUR 25,000 if she fulfils her individual targets: for the year 2023 the individual target was achieved with the conclusion of the business combination agreement; for the year 2024 the individual target is achieved once the Company’s listing on the NASDAQ has been completed;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EBIT margin is negative, an amount of EUR 10,000 per negative percentage point of consolidated EBIT margin achieved by the Company will be deducted from this EUR 25,000 short-term bonus (on a pro rata basis as set out above), provided that the short-term bonus cannot be less than EUR 0; and</w:t>
            </w:r>
          </w:p>
        </w:tc>
      </w:tr>
    </w:tbl>
    <w:tbl>
      <w:tblPr>
        <w:tblW w:w="4581" w:type="dxa"/>
        <w:jc w:val="left"/>
        <w:tblInd w:w="200" w:type="dxa"/>
        <w:tblLayout w:type="fixed"/>
        <w:tblCellMar>
          <w:top w:w="28" w:type="dxa"/>
          <w:left w:w="28" w:type="dxa"/>
          <w:bottom w:w="28" w:type="dxa"/>
          <w:right w:w="28" w:type="dxa"/>
        </w:tblCellMar>
      </w:tblPr>
      <w:tblGrid>
        <w:gridCol w:w="124"/>
        <w:gridCol w:w="256"/>
        <w:gridCol w:w="4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car, if requested by Ms Anette Schmid.</w:t>
            </w:r>
          </w:p>
        </w:tc>
      </w:tr>
    </w:tbl>
    <w:p>
      <w:pPr>
        <w:pStyle w:val="TextBody"/>
        <w:bidi w:val="0"/>
        <w:spacing w:before="0" w:after="200"/>
        <w:ind w:left="200" w:right="200" w:hanging="0"/>
        <w:jc w:val="left"/>
        <w:rPr>
          <w:rFonts w:ascii="Times New Roman;Times;serif" w:hAnsi="Times New Roman;Times;serif"/>
          <w:b/>
          <w:sz w:val="20"/>
        </w:rPr>
      </w:pPr>
      <w:r>
        <w:rPr>
          <w:rFonts w:ascii="Times New Roman;Times;serif" w:hAnsi="Times New Roman;Times;serif"/>
          <w:b/>
          <w:sz w:val="20"/>
        </w:rPr>
        <w:t>Home Country Compliance</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As a foreign private issuer, in accordance with NASDAQ listing requirements, we comply with home country compensation requirements and certain exemptions thereunder rather than complying with NASDAQ compensation requirements. Dutch law does not provide for limitations with respect to the aggregate annual compensation paid to Directors, such compensation should however be consistent with our compensation policy. Such compensation policy was adopted by the General Meeting. Changes to such compensation policy require a vote of the General Meeting by simple majority of votes cast. The Board determines the remuneration of individual Directors with due observance of the compensation policy. A proposal with respect to remuneration schemes in the form of shares or rights to shares in which Directors may participate is subject to approval by the General Meeting by simple majority of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200" w:right="200" w:hanging="0"/>
        <w:jc w:val="left"/>
        <w:rPr>
          <w:rFonts w:ascii="Times New Roman;Times;serif" w:hAnsi="Times New Roman;Times;serif"/>
          <w:sz w:val="20"/>
        </w:rPr>
      </w:pPr>
      <w:r>
        <w:rPr>
          <w:rFonts w:ascii="Times New Roman;Times;serif" w:hAnsi="Times New Roman;Times;serif"/>
          <w:sz w:val="20"/>
        </w:rPr>
        <w:t>votes cast. Such a proposal must set out at least the maximum number of shares or rights to subscribe for shares to be granted to the Directors and the criteria for granting or amendment. Our compensation policy authorizes the Board to determine the amount, level and structure of the compensation packages of the Directors at the recommendation of our compensation committee. These compensation packages may consist of a mix of fixed and variable compensation components, including base salary, short-term incentives, long-term incentives, fringe benefits, severance pay and pension arrangements, as determined by the Board.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Board Practices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Board Structure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Subject to our articles of association, the Board is charged with the management of the Company. In fulfilling their duties, our directors serve the interest of the Company and the business connected with it. Supervision of the fulfillment of duties by the executive directors and of the general course of our affairs and our business are primarily carried out by the non-executive directors. The executive directors must in due time provide the non-executive directors with the information they need to carry out their duties.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Board consists of one executive director and five non-executive directors. The total number of directors, including the number of executive directors and non-executive directors, may be increased or decreased pursuant to a resolution of the Board. The Board is a one-tier board.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Under our articles of association, our executive and non-executive directors will be appointed by the General Meeting at the binding nomination of the non-executive directors and for such term as proposed by the non-executive directors, provided that a director must retire at the close of the first annual General Meeting following the expiry of the term of their appointment. A director may be reappointed one or more times.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General Meeting may at all times overrule the binding nature of each nomination by at least a two-thirds (2/3) majority of the votes cast, provided such majority represents more than half of the issued share capital of the Company (a “General Meeting Supermajority”). If the General Meeting overrules a binding nomination, the non-executive directors will make a new nomination and a new General Meeting will be called at which the resolution for appointment of a director will require at least a General Meeting Supermajority. If a nomination for such a director has not been made or has not been made in due time, this will be stated in the notice of the General Meeting, and the General Meeting will be free to appoint a director at its discretion by the resolution of a General Meeting Supermajority.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Under our articles of association, the General Meeting may at any time suspend or dismiss a non-executive director or executive director. The General Meeting may only adopt a resolution to suspend or dismiss a director by a General Meeting Supermajority, unless the resolution is adopted on the basis of a proposal by the Board; in that case, the resolution may be adopted by an absolute majority of the votes cast, representing more than half of the issued share capital of the Company.</w:t>
      </w:r>
    </w:p>
    <w:p>
      <w:pPr>
        <w:pStyle w:val="TextBody"/>
        <w:bidi w:val="0"/>
        <w:spacing w:before="0" w:after="180"/>
        <w:ind w:left="200" w:right="200" w:hanging="0"/>
        <w:jc w:val="left"/>
        <w:rPr>
          <w:rFonts w:ascii="Times New Roman;Times;serif" w:hAnsi="Times New Roman;Times;serif"/>
          <w:b/>
          <w:sz w:val="20"/>
        </w:rPr>
      </w:pPr>
      <w:r>
        <w:rPr>
          <w:rFonts w:ascii="Times New Roman;Times;serif" w:hAnsi="Times New Roman;Times;serif"/>
          <w:b/>
          <w:sz w:val="20"/>
        </w:rPr>
        <w:t>Director and Officer Qualifications</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We have not established any specific, minimum qualifications that must be met by each of our directors and officers. However, we generally evaluate the following qualities: educational background, diversity of professional experience, including whether the person is a current or was a former chief executive officer or chief financial officer of a public company or the head of a division of a prominent international organization, knowledge of our business, integrity, professional reputation, independence, wisdom and ability to represent the best interests of our shareholders and stakeholders.</w:t>
      </w:r>
    </w:p>
    <w:p>
      <w:pPr>
        <w:pStyle w:val="TextBody"/>
        <w:bidi w:val="0"/>
        <w:spacing w:before="0" w:after="180"/>
        <w:ind w:left="200" w:right="200" w:hanging="0"/>
        <w:jc w:val="left"/>
        <w:rPr>
          <w:rFonts w:ascii="Times New Roman;Times;serif" w:hAnsi="Times New Roman;Times;serif"/>
          <w:b/>
          <w:sz w:val="20"/>
        </w:rPr>
      </w:pPr>
      <w:r>
        <w:rPr>
          <w:rFonts w:ascii="Times New Roman;Times;serif" w:hAnsi="Times New Roman;Times;serif"/>
          <w:b/>
          <w:sz w:val="20"/>
        </w:rPr>
        <w:t>Appointment Term</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The initial Directors have been appointed for four years.</w:t>
      </w:r>
    </w:p>
    <w:p>
      <w:pPr>
        <w:pStyle w:val="TextBody"/>
        <w:bidi w:val="0"/>
        <w:spacing w:before="0" w:after="180"/>
        <w:ind w:left="200" w:right="200" w:hanging="0"/>
        <w:jc w:val="left"/>
        <w:rPr>
          <w:rFonts w:ascii="Times New Roman;Times;serif" w:hAnsi="Times New Roman;Times;serif"/>
          <w:b/>
          <w:sz w:val="20"/>
        </w:rPr>
      </w:pPr>
      <w:r>
        <w:rPr>
          <w:rFonts w:ascii="Times New Roman;Times;serif" w:hAnsi="Times New Roman;Times;serif"/>
          <w:b/>
          <w:sz w:val="20"/>
        </w:rPr>
        <w:t>Committees of the Board</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The Board has established three standing committees, including Audit Committee, Compensation Committee and Nomination and Corporate Governance Committee.</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200" w:right="200" w:hanging="0"/>
        <w:jc w:val="left"/>
        <w:rPr>
          <w:rFonts w:ascii="Times New Roman;Times;serif" w:hAnsi="Times New Roman;Times;serif"/>
          <w:b/>
          <w:i/>
          <w:sz w:val="20"/>
        </w:rPr>
      </w:pPr>
      <w:r>
        <w:rPr>
          <w:rFonts w:ascii="Times New Roman;Times;serif" w:hAnsi="Times New Roman;Times;serif"/>
          <w:b/>
          <w:i/>
          <w:sz w:val="20"/>
        </w:rPr>
        <w:t>Audit Committee</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The audit committee consists of Dr. Annedore Streyl, Boo-Keun Yoon and Stefan Berger. The audit committee will assist the Board in overseeing the Company’s accounting and financial reporting processes and the audits of its financial statements.</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The audit committee is responsible for the appointment, compensation, retention and oversight of the work of SCHMID’s independent registered public accounting firm. The Board has determined that Dr. Annedore Streyl satisfies the “independence” requirements set forth in Rule 10A-3 under the Exchange Act and qualifies as an “audit committee financial expert,” as such term is defined in the rules of the SEC. Our Board has also determined that Mr. Yoon and Dr. Berger satisfy the “independence” requirements set forth in Rule 10A-3 under the Exchange Act. The composition of our audit committee is consistent with the best practice provisions of the DCGC.</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The audit committee is governed by a charter that complies with applicable NASDAQ rules and that is posted on the Company’s website.</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200" w:right="200" w:hanging="0"/>
        <w:jc w:val="left"/>
        <w:rPr>
          <w:rFonts w:ascii="Times New Roman;Times;serif" w:hAnsi="Times New Roman;Times;serif"/>
          <w:b/>
          <w:i/>
          <w:sz w:val="20"/>
        </w:rPr>
      </w:pPr>
      <w:r>
        <w:rPr>
          <w:rFonts w:ascii="Times New Roman;Times;serif" w:hAnsi="Times New Roman;Times;serif"/>
          <w:b/>
          <w:i/>
          <w:sz w:val="20"/>
        </w:rPr>
        <w:t>Compensation Committee</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The compensation committee consists of Dr. Annedore Streyl, Anette Schmid and Ralf Speth. The compensation committee assists the Board in determining compensation for the Company’s executive officers and the Directors. The composition of our compensation committee is consistent with the best practice provisions of the DCGC. Dr. Annedore Streyl serves as chairperson of the compensation committee.</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The compensation committee is governed by a charter that complies with applicable NASDAQ rules and that is posted on the Company’s website.</w:t>
      </w:r>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Nomination Committee</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The nomination and corporate governance committee consists of Dr. Annedore Streyl, Anette Schmid and Ralf Speth. The nomination committee assists the Board in identifying individuals qualified to become Directors consistent with criteria established by the Company and in developing our code of business conduct and ethics. Dr. Annedore Streyl serves as chairperson of the nomination committee. The composition of our nomination committee is consistent with the best practice provisions of the DCGC.</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The nomination committee is governed by a charter that is posted on our website.</w:t>
      </w:r>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Employees</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We believe that our employees are crucial to the success of our business, which depends on our human capital and a strong leadership team. We aim to attract, retain and develop staff with the skills, experience and potential necessary to implement our growth strategy. Our human capital resources objectives include identifying, recruiting, retaining, incentivizing and integrating our existing and new employees. As of December 31, 2025, the Company had 734 employees. We have not experienced any work stoppages, and we consider our relationship with our employees to be good.</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49" w:name="DESCRIPTIONOFSECURITIES_538500"/>
      <w:bookmarkStart w:id="50" w:name="_e812fd77_506d_4eb1_bf66_a45681e9edd0"/>
      <w:bookmarkEnd w:id="49"/>
      <w:bookmarkEnd w:id="50"/>
      <w:r>
        <w:rPr>
          <w:rFonts w:ascii="Times New Roman;Times;serif" w:hAnsi="Times New Roman;Times;serif"/>
          <w:b/>
          <w:sz w:val="20"/>
        </w:rPr>
        <w:t>DESCRIPTION OF SECURITIES</w:t>
      </w:r>
    </w:p>
    <w:p>
      <w:pPr>
        <w:pStyle w:val="TextBody"/>
        <w:bidi w:val="0"/>
        <w:spacing w:before="0" w:after="240"/>
        <w:ind w:left="200" w:right="200" w:firstLine="360"/>
        <w:jc w:val="left"/>
        <w:rPr>
          <w:rFonts w:ascii="Times New Roman;Times;serif" w:hAnsi="Times New Roman;Times;serif"/>
          <w:i/>
          <w:sz w:val="20"/>
        </w:rPr>
      </w:pPr>
      <w:r>
        <w:rPr>
          <w:rFonts w:ascii="Times New Roman;Times;serif" w:hAnsi="Times New Roman;Times;serif"/>
          <w:i/>
          <w:sz w:val="20"/>
        </w:rPr>
        <w:t>As of the date of this prospectus, SCHMID Group N.V. (the “Company,” “Schmid,” “we,” “us” or “our”) had two classes of securities registered under Section 12 of the Securities Exchange Act of 1934, as amended: (a) Ordinary Shares with a nominal value of €0.01 per share, and (b) warrants to purchase Ordinary Shares at a price of $11.50 per share, subject to adjustment, trading on Nasdaq under the symbol “SHMDW” (the “Public Warrants”).</w:t>
      </w:r>
    </w:p>
    <w:p>
      <w:pPr>
        <w:pStyle w:val="TextBody"/>
        <w:bidi w:val="0"/>
        <w:spacing w:before="0" w:after="240"/>
        <w:ind w:left="200" w:right="200" w:firstLine="360"/>
        <w:jc w:val="left"/>
        <w:rPr>
          <w:rFonts w:ascii="Times New Roman;Times;serif" w:hAnsi="Times New Roman;Times;serif"/>
          <w:i/>
          <w:sz w:val="20"/>
        </w:rPr>
      </w:pPr>
      <w:r>
        <w:rPr>
          <w:rFonts w:ascii="Times New Roman;Times;serif" w:hAnsi="Times New Roman;Times;serif"/>
          <w:i/>
          <w:sz w:val="20"/>
        </w:rPr>
        <w:t>The following descriptions do not purport to be complete and are subject to the Company’s amended articles of association (the “articles of association”) and the warrant agreement, as amended pursuant to an assignment, assumption and amendment agreement, relating to the Public Warrants (the “Warrant Agreement”), copies of which have been filed as exhibits to the Company’s Annual Report on Form 20-F (the “Annual Report”) of which this Exhibit 2.1 is a part, and, in the case of the articles of association, are subject to provisions of applicable Dutch law. Capitalized terms used but not defined herein have the meanings given to them in the Annual Report.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were incorporated as Pegasus Topco B.V. on February 7, 2023 as a private limited liability company (</w:t>
      </w:r>
      <w:r>
        <w:rPr>
          <w:rFonts w:ascii="Times New Roman;Times;serif" w:hAnsi="Times New Roman;Times;serif"/>
          <w:i/>
          <w:sz w:val="20"/>
        </w:rPr>
        <w:t>besloten vennootschap met beperkte aansprakelijkheid</w:t>
      </w:r>
      <w:r>
        <w:rPr>
          <w:rFonts w:ascii="Times New Roman;Times;serif" w:hAnsi="Times New Roman;Times;serif"/>
          <w:sz w:val="20"/>
        </w:rPr>
        <w:t>) under Dutch law. In connection with the consummation of the Business Combination, we converted into a Dutch public limited liability company (</w:t>
      </w:r>
      <w:r>
        <w:rPr>
          <w:rFonts w:ascii="Times New Roman;Times;serif" w:hAnsi="Times New Roman;Times;serif"/>
          <w:i/>
          <w:sz w:val="20"/>
        </w:rPr>
        <w:t>naamloze vennootschap</w:t>
      </w:r>
      <w:r>
        <w:rPr>
          <w:rFonts w:ascii="Times New Roman;Times;serif" w:hAnsi="Times New Roman;Times;serif"/>
          <w:sz w:val="20"/>
        </w:rPr>
        <w:t>), SCHMID Group N.V., pursuant to a deed of conversion and amendment of our articles of association adopted on April 30, 2024 (as amended, the “articles of association”). We are registered in the Commercial Register of the Chamber of Commerce (</w:t>
      </w:r>
      <w:r>
        <w:rPr>
          <w:rFonts w:ascii="Times New Roman;Times;serif" w:hAnsi="Times New Roman;Times;serif"/>
          <w:i/>
          <w:sz w:val="20"/>
        </w:rPr>
        <w:t>Kamer van Koophandel</w:t>
      </w:r>
      <w:r>
        <w:rPr>
          <w:rFonts w:ascii="Times New Roman;Times;serif" w:hAnsi="Times New Roman;Times;serif"/>
          <w:sz w:val="20"/>
        </w:rPr>
        <w:t>) in the Netherlands under number 89188276.</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ordinary shares are subject to, and have been created under, Dutch law. Set forth below is a summary of relevant information concerning the material provisions of the articles of association and applicable Dutch law.</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Schmid is a Dutch public limited liability company (</w:t>
      </w:r>
      <w:r>
        <w:rPr>
          <w:rFonts w:ascii="Times New Roman;Times;serif" w:hAnsi="Times New Roman;Times;serif"/>
          <w:i/>
          <w:sz w:val="20"/>
        </w:rPr>
        <w:t>naamloze vennootschap</w:t>
      </w:r>
      <w:r>
        <w:rPr>
          <w:rFonts w:ascii="Times New Roman;Times;serif" w:hAnsi="Times New Roman;Times;serif"/>
          <w:sz w:val="20"/>
        </w:rPr>
        <w:t>). Schmid has a one-tier board structure, which consists of six members, one executive director and five non- executive directors.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Share Capital</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Authorized Share Capital</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of the date of this Report, Schmid has an issued share capital in the amount of €0.01 per issued share. Under Dutch law, the Schmid Group’s authorized share capital of a public limited liability company is the maximum capital that the Schmid Group may issue without amending the Schmid Group’s Articles of Association and may be a maximum of five times the issued capital. An amendment of the Schmid Group Articles of Association would require a resolution of Schmid Group’s General Meeting upon proposal by the Schmid Group’s Board. The Schmid Group Articles of Association provide for an authorized share capital amounting to €0.01.</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issued share capital of the Company amounts to €656,757.26, divided into 65,675,726 ordinary shares. The authorized share capital of the Company amounts to €1,686,250,00.</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of the Closing Date, none of the Schmid Group Shares were held by Schmid in treasury. All issued and outstanding Schmid Group Shares are held in registered form. No share certificates may be issued.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Issued and Outstanding Share Capital</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issued and outstanding share capital as of the date of this registration statement consisted of:</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65,675,726 Ordinary Shares (including 5,000,000 earn-out shares, which have been issued but have not vested and are subject to cancellation)</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 xml:space="preserve">2025 Convertible Loan, 2028 Convertible Notes, Warrants, 2025 Options, 2026 Warrants and 2029 Convertible Notes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have several outstanding instruments that may be converted, or exercised for cash or, with respect to certain instruments, on a cashless basis; including 2025 Convertible Loan, 2028 Convertible Notes, Warrants, 2025 Options, 2026 Warrants and 2029 Convertible Notes. The shares to be issued in relation to these instruments from time to time by us would amount to an aggregate of up to 64,414,896. </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Term Loan Facility with Black Forest Special Situations I</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signed a secured two-tranche term loan facility with a total commitment value of up to €10,000,000 with the lender Black Forest Special Situations I, a Cayman Islands incorporated entity, on December 16, 2025. The lender is backed by a consortium that includes the Company’s chairman of the Board, Sir Ralf Speth, members of the Board of the Company, its CFO Arthur Schuetz, and third-party investment and advisory professionals. The first tranche consisted of €2,500,000, which were paid out to the Company on December 18, 2025.</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second tranche of up to €7,500,000 was set to be drawn down early in 2026, but was not utilized due to the Company issuing 2028 Convertible Notes (see below).</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Black Forest Special Situations I has a conversion right under the term loan facility, which is exercisable at a share price of US$2.15 into shares of the Company between six months after the draw down of the first tranche and the date of the term loan facility’s maturity, which is 15 months after the first tranche draw down. The first and second tranches may be converted independently of one another. The term loan facility has a 15% p.a. interest rate with interest payable at maturity, unless the conversion right is exercised and interest is also converted into shares of the Company. Further, the term loan facility includes security by the Company’s majority shareholders, Christian Schmid and Anette Schmid who pledged personal assets for each tranche as security. The Company and the Company’s 100% German subsidiary Gebr. Schmid GmbH are both guarantors.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Options Agreement with Black Forest Special Situations I</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part of the drawdown of the €2,500,000 first tranche, the Company also agreed to issue option rights to Black Forest Special Situations I to acquire 1,250,000 shares of the Company at the prevailing VWAP at the time of concluding the term loan facility, which was $4.19 per share. The term loan facility agreement stipulated that an option agreement shall be executed, which was agreed and signed in January 2026 and sets out the exercise mechanics of the options as well as the discretionary possibility of the Company to cashless exercise the options. The options expire on December 16, 2030 and may be exercised in full or in several parts during the lifetime of the options agreement.</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USD 30 Million 7.00% Senior Convertible Notes due 2028 (the 2028 Convertible Notes)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January 18, 2026, SCHMID entered into an investment agreement with an institutional investor, Linden Advisors LP, to sell, and on January 21, 2026 sold the 2028 Convertible Notes in an aggregate principal amount of $30.0 million convertible into ordinary shares of the Company together with the issuance of warrants to purchase ordinary shares of the Company in a private placement to accounts managed by Linden. The 2028 Convertible Notes were issued at 98% of principal amount pursuant to the governing indenture and are to be funded in two tranches: (i) $15.0 million were funded on January 21, 2026 and (ii) 15.0 million were funded on March 5, 2026.</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2028 Convertible Notes bear interest at a rate of 7% per annum, compounded quarterly and payable in kind, subject to the Company’s right to elect cash payment upon prior notice. They have a two-year maturity, i.e. they will mature on January 21, 2028, unless previously converted into shares of the Company. This conversion option of the 2028 Convertible Notes into shares of the Company at prices determined by reference to fixed premium conversion prices including at 95% of the applicable volume-weighted average price of the shares of the Company, is subject to a minimum conversion price and certain daily conversion limits as further specified in the investment agreement.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In connection with the signing of the investment agreement dated July 7, 2026, in relation to the issuance and sale of the 2029 Convertible Notes, Linden Capital L.P., Crown Managed Accounts SPC and PCH Manager Fund, SPC agreed to waive certain debt restrictions relating to the 2028 Convertible Notes to allow for issuance and sale of the 2029 Convertible Notes as well as to allow for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the Company’s indirect 100% owned Chinese subsidiaries SCHMID Technology (Guangdong) Co., Ltd. (STG) and SCHMID Trading (Zhongshan) Co. Ltd. to incur new indebtedness in an aggregate principal amount not to exceed EUR 20,000,000 (or its equivalent).</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Warrants issued in connection with the 2028 Convertible Notes (the 2026 Warrants)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connection with the issuance of the 2028 Convertible Notes, the Company also issued warrants to the investor to purchase shares of the Company in an amount determined by reference to the principal amount of the 2028 Convertible Notes. The warrants are exercisable until December 15, 2028, at an exercise price equal to the lower of the applicable fixed premium conversion prices under the 2028 Convertible Notes, exercisable for cash or, at the Company’s election, on a cashless basis. In relation to the first $15.0 million tranche, a total of 1,554,404 warrants at a USD 9.65 exercise price (subject to customary anti-dilution adjustments). Once the second $15.0 million tranche is paid out, the number of warrants will be calculated by dividing $15.0 million by the lower of the $9.65 and a fixed premium conversion price (which is 125% of the closing price of the Company’s shares on the date of the effectiveness of the registration statement covering the underlying shares) with the exercise price being also set as the lower of $9.65 or the fixed premium conversion price.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connection with the execution of this investment agreement, the Company also entered into a registration rights agreement to file a registration statement covering the resale of the shares issuable upon conversion of the 2028 Convertible Notes and exercise of the warrants. The Company’s obligations under the 2028 Convertible Notes are guaranteed by its German operating subsidiary, Gebr. Schmid GmbH, subject to applicable German law limitations. The investment agreement and the provisions of the 2028 Convertible Notes and warrants contain customary affirmative and negative covenants, issuer call provisions, change of control protections, mandatory redemption events, and events of default customary for transactions of this type.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connection with the execution of the investment agreement, the Company also undertook to hold a shareholders’ meeting authorizing the issuance of the maximum number of underlying shares in relation to the 2026 Warrants and the 2028 Convertible Notes. At the current share price of the Ordinary Shares, the Company would rely on the existing authorization to issue Ordinary Shares of up to 20% of the outstanding capital of the Company. Following the next shareholders’ meeting, should such meeting authorize the maximum number of underlying shares in relation to the 2026 Warrants and the 2028 Convertible Notes, the Company may also ask shareholders to reauthorize the general 20% authorized capital for other issuances of new Ordinary Shares.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Warrants in relation to the 2024 Business Combination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For a description of the Public Warrants and Private Warrants, see “</w:t>
      </w:r>
      <w:r>
        <w:rPr>
          <w:rFonts w:ascii="Times New Roman;Times;serif" w:hAnsi="Times New Roman;Times;serif"/>
          <w:i/>
          <w:sz w:val="20"/>
        </w:rPr>
        <w:t>Description of Securities – Public Warrants</w:t>
      </w:r>
      <w:r>
        <w:rPr>
          <w:rFonts w:ascii="Times New Roman;Times;serif" w:hAnsi="Times New Roman;Times;serif"/>
          <w:sz w:val="20"/>
        </w:rPr>
        <w:t>” and “</w:t>
      </w:r>
      <w:r>
        <w:rPr>
          <w:rFonts w:ascii="Times New Roman;Times;serif" w:hAnsi="Times New Roman;Times;serif"/>
          <w:i/>
          <w:sz w:val="20"/>
        </w:rPr>
        <w:t>Description of Securities – Private Warrants</w:t>
      </w:r>
      <w:r>
        <w:rPr>
          <w:rFonts w:ascii="Times New Roman;Times;serif" w:hAnsi="Times New Roman;Times;serif"/>
          <w:sz w:val="20"/>
        </w:rPr>
        <w:t>”.</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USD 20 Million 5.000% Senior Convertible Notes due 2029 (the 2029 Convertible Notes)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July 7, 2026, SCHMID entered into an investment agreement with an institutional investor, Linden Advisors LP to sell, and on July 14, 2026 sold the 2029 Convertible Notes in an aggregate principal amount of $20.0 million convertible into ordinary shares of the Company. The 2029 Convertible Notes were issued at 99% of principal amount pursuant the governing indenture to the accounts managed by Linden. In connection with the signing of the investment agreement dated July 7, 2026, the accounts managed by Linden agreed to waive certain debt restrictions relating to the 2028 Convertible Notes to allow for issuance and sale of the 2029 Convertible Notes as well as to allow for the Company’s indirect 100% owned Chinese subsidiaries SCHMID Technology (Guangdong) Co., Ltd. (STG) and SCHMID Trading (Zhongshan) Co. Ltd. to incur new indebtedness in an aggregate principal amount not to exceed EUR 20,000,000 (or its equivalent).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2029 Convertible Notes bear interest at a rate of 5.000% per annum, compounded quarterly and payable in kind, subject to the Company’s right to elect cash payment upon prior notice. They have a two and a half-year maturity, i.e. they will mature on January 14, 2029, unless previously converted into shares of the Company. This conversion option of the 2029 Convertible Notes into shares of the Company at prices determined by reference to fixed premium conversion prices including at 97% of the applicable volume-weighted average price of the shares of the Company, is subject to a minimum conversion price and certain daily conversion limits as further specified in the investment agreement.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In connection with the execution of this investment agreement, the Company also entered into a registration rights agreement to file a registration statement covering the resale of the shares issuable upon conversion of the 2029 Convertible Notes. The Company’s obligations under the 2029 Convertible Notes are guaranteed by its German operating subsidiary, Gebr. Schmid GmbH, subject to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applicable German law limitations. The investment agreement and the provisions of the 2029 Convertible Notes contain customary affirmative and negative covenants, issuer call provisions, change of control protections, mandatory redemption events, and events of default customary for transactions of this type.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Authorization of Issuance of Shares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Under Dutch law, shares are issued and rights to subscribe for shares are granted pursuant to a resolution of the General Meeting. The articles of association provide that Shares may be issued pursuant to (i) a resolution by the General Meeting or (ii) a resolution of the Board, if and insofar as the General Meeting has designated this authority to the Board for a period not exceeding five (5) years. Pursuant to the articles of association, the General Meeting may authorize the Board to issue Shares or grant rights to subscribe for Shares. The authorization can be granted and extended, in each case for a period not exceeding five years. Pursuant to the articles of association, Shares shall be issued up to the amount of the authorized share capital (from time to time).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Currently, following the extraordinary shareholders meeting held on December 31, 2025 the Board is authorized to</w:t>
      </w:r>
    </w:p>
    <w:tbl>
      <w:tblPr>
        <w:tblW w:w="9805" w:type="dxa"/>
        <w:jc w:val="left"/>
        <w:tblInd w:w="200" w:type="dxa"/>
        <w:tblLayout w:type="fixed"/>
        <w:tblCellMar>
          <w:top w:w="28" w:type="dxa"/>
          <w:left w:w="28" w:type="dxa"/>
          <w:bottom w:w="28" w:type="dxa"/>
          <w:right w:w="28" w:type="dxa"/>
        </w:tblCellMar>
      </w:tblPr>
      <w:tblGrid>
        <w:gridCol w:w="124"/>
        <w:gridCol w:w="227"/>
        <w:gridCol w:w="9454"/>
      </w:tblGrid>
      <w:tr>
        <w:trPr/>
        <w:tc>
          <w:tcPr>
            <w:tcW w:w="124" w:type="dxa"/>
            <w:tcBorders/>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454"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 issue up to 21,000,000 Ordinary Shares in the Company’s capital in relation to the exercise of warrants and (ii) restrict or exclude pre-emptive rights of existing shareholders in connection with such issuances, in each case for a period of five (5) years (the “</w:t>
            </w:r>
            <w:r>
              <w:rPr>
                <w:rFonts w:ascii="Times New Roman;Times;serif" w:hAnsi="Times New Roman;Times;serif"/>
                <w:b/>
                <w:i w:val="false"/>
                <w:caps w:val="false"/>
                <w:smallCaps w:val="false"/>
                <w:sz w:val="20"/>
              </w:rPr>
              <w:t>Warrants Assumption Delegation”</w:t>
            </w:r>
            <w:r>
              <w:rPr>
                <w:rFonts w:ascii="Times New Roman;Times;serif" w:hAnsi="Times New Roman;Times;serif"/>
                <w:b w:val="false"/>
                <w:i w:val="false"/>
                <w:caps w:val="false"/>
                <w:smallCaps w:val="false"/>
                <w:sz w:val="20"/>
              </w:rPr>
              <w:t>);</w:t>
            </w:r>
          </w:p>
        </w:tc>
      </w:tr>
    </w:tbl>
    <w:tbl>
      <w:tblPr>
        <w:tblW w:w="9805" w:type="dxa"/>
        <w:jc w:val="left"/>
        <w:tblInd w:w="200" w:type="dxa"/>
        <w:tblLayout w:type="fixed"/>
        <w:tblCellMar>
          <w:top w:w="28" w:type="dxa"/>
          <w:left w:w="28" w:type="dxa"/>
          <w:bottom w:w="28" w:type="dxa"/>
          <w:right w:w="28" w:type="dxa"/>
        </w:tblCellMar>
      </w:tblPr>
      <w:tblGrid>
        <w:gridCol w:w="124"/>
        <w:gridCol w:w="219"/>
        <w:gridCol w:w="9462"/>
      </w:tblGrid>
      <w:tr>
        <w:trPr/>
        <w:tc>
          <w:tcPr>
            <w:tcW w:w="124" w:type="dxa"/>
            <w:tcBorders/>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6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 issue shares and to grant rights to subscribe for shares up to 20% of the total number of shares that will be issued and outstanding in respect of issuances of shares to employees of the Company or to former, current or future employees, managing directors, service providers or business associates of a group company of the Company, and (ii) restrict or exclude pre-emptive rights of existing shareholders in connection with such issuances or grants, to the extent applicable, in each case for a period of five (5) years from Closing (the “</w:t>
            </w:r>
            <w:r>
              <w:rPr>
                <w:rFonts w:ascii="Times New Roman;Times;serif" w:hAnsi="Times New Roman;Times;serif"/>
                <w:b/>
                <w:i w:val="false"/>
                <w:caps w:val="false"/>
                <w:smallCaps w:val="false"/>
                <w:sz w:val="20"/>
              </w:rPr>
              <w:t>Employee Delegation”</w:t>
            </w:r>
            <w:r>
              <w:rPr>
                <w:rFonts w:ascii="Times New Roman;Times;serif" w:hAnsi="Times New Roman;Times;serif"/>
                <w:b w:val="false"/>
                <w:i w:val="false"/>
                <w:caps w:val="false"/>
                <w:smallCaps w:val="false"/>
                <w:sz w:val="20"/>
              </w:rPr>
              <w:t>); and</w:t>
            </w:r>
          </w:p>
        </w:tc>
      </w:tr>
    </w:tbl>
    <w:tbl>
      <w:tblPr>
        <w:tblW w:w="9805" w:type="dxa"/>
        <w:jc w:val="left"/>
        <w:tblInd w:w="200" w:type="dxa"/>
        <w:tblLayout w:type="fixed"/>
        <w:tblCellMar>
          <w:top w:w="28" w:type="dxa"/>
          <w:left w:w="28" w:type="dxa"/>
          <w:bottom w:w="28" w:type="dxa"/>
          <w:right w:w="28" w:type="dxa"/>
        </w:tblCellMar>
      </w:tblPr>
      <w:tblGrid>
        <w:gridCol w:w="124"/>
        <w:gridCol w:w="221"/>
        <w:gridCol w:w="9460"/>
      </w:tblGrid>
      <w:tr>
        <w:trPr/>
        <w:tc>
          <w:tcPr>
            <w:tcW w:w="124" w:type="dxa"/>
            <w:tcBorders/>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46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 issue shares and to grant rights to subscribe for shares other than in the context of issuances of shares to employees of the Company or of a group company of the Company, up to 20% of the total number of shares from time to time and (ii) restrict or exclude pre-emptive rights of existing shareholders in connection with such issuances or grants, in each case for a period of five (5) years from Closing (the “</w:t>
            </w:r>
            <w:r>
              <w:rPr>
                <w:rFonts w:ascii="Times New Roman;Times;serif" w:hAnsi="Times New Roman;Times;serif"/>
                <w:b/>
                <w:i w:val="false"/>
                <w:caps w:val="false"/>
                <w:smallCaps w:val="false"/>
                <w:sz w:val="20"/>
              </w:rPr>
              <w:t>General Delegation”</w:t>
            </w:r>
            <w:r>
              <w:rPr>
                <w:rFonts w:ascii="Times New Roman;Times;serif" w:hAnsi="Times New Roman;Times;serif"/>
                <w:b w:val="false"/>
                <w:i w:val="false"/>
                <w:caps w:val="false"/>
                <w:smallCaps w:val="false"/>
                <w:sz w:val="20"/>
              </w:rPr>
              <w:t>), with effect from Closing.</w:t>
            </w:r>
          </w:p>
        </w:tc>
      </w:tr>
    </w:tbl>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Transfer of Shares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Under Dutch law, transfers of Shares (other than in book-entry form) require a written deed of transfer and, unless Schmid is a party to the deed of transfer, an acknowledgement by or proper service upon Schmid to be effective.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Under the articles of association, if one or more Shares are admitted to trading on Nasdaq or any other Regulated Market (as defined in the articles of association), Schmid may, by Board resolution, determine that the laws of the State of New York will apply to the property law aspects of the Shares included in the part of the register of shareholders kept by the relevant transfer agent. Such resolution, as well as the revocation thereof, must be made public as required by law and be made available for inspection at our office and the Dutch trade register. The Board adopted such a resolution effective as of the closing of the Business Combination.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There are no restrictions on the transferability of the Shares in the articles of association or under Dutch law. However, the issuance and offering of Shares to persons located or resident in, or who are citizens of, or who have a registered address in certain countries, and the transfer of Shares into certain jurisdictions, may be subject to specific regulations or restrictions.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Form of Shares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Pursuant to the articles of association, Shares are registered shares.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Purchase and Repurchase of Shares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Under Dutch law, Schmid may not subscribe for newly issued Shares. Schmid may acquire Shares, subject to applicable provisions and restrictions of Dutch law and the articles of association, to the extent that:</w:t>
      </w:r>
    </w:p>
    <w:tbl>
      <w:tblPr>
        <w:tblW w:w="2931" w:type="dxa"/>
        <w:jc w:val="left"/>
        <w:tblInd w:w="200" w:type="dxa"/>
        <w:tblLayout w:type="fixed"/>
        <w:tblCellMar>
          <w:top w:w="28" w:type="dxa"/>
          <w:left w:w="28" w:type="dxa"/>
          <w:bottom w:w="28" w:type="dxa"/>
          <w:right w:w="28" w:type="dxa"/>
        </w:tblCellMar>
      </w:tblPr>
      <w:tblGrid>
        <w:gridCol w:w="124"/>
        <w:gridCol w:w="256"/>
        <w:gridCol w:w="2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Shares are fully paid-up;</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equity capital, reduced by the acquisition price of the Shares, is not less than the sum of the issued and paid-up capital and the reserves to be maintained pursuant to Dutch law or the articles of association;</w:t>
            </w:r>
          </w:p>
        </w:tc>
      </w:tr>
    </w:tbl>
    <w:tbl>
      <w:tblPr>
        <w:tblW w:w="9486" w:type="dxa"/>
        <w:jc w:val="left"/>
        <w:tblInd w:w="200" w:type="dxa"/>
        <w:tblLayout w:type="fixed"/>
        <w:tblCellMar>
          <w:top w:w="28" w:type="dxa"/>
          <w:left w:w="28" w:type="dxa"/>
          <w:bottom w:w="28" w:type="dxa"/>
          <w:right w:w="28" w:type="dxa"/>
        </w:tblCellMar>
      </w:tblPr>
      <w:tblGrid>
        <w:gridCol w:w="124"/>
        <w:gridCol w:w="25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contemplated, at least one Share remains outstanding and is not held by Schmid;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Schmid’s Ordinary Shares are admitted to trading on a Regulated Market (as defined in the articles of association), the nominal value of the Shares to be acquired, already held by Schmid or already held by Schmid as pledgee or that are held by Schmid subsidiaries, does not exceed 50% of our issued capital.</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Other than Shares acquired gratuitously (</w:t>
      </w:r>
      <w:r>
        <w:rPr>
          <w:rFonts w:ascii="Times New Roman;Times;serif" w:hAnsi="Times New Roman;Times;serif"/>
          <w:i/>
          <w:sz w:val="20"/>
        </w:rPr>
        <w:t>om niet</w:t>
      </w:r>
      <w:r>
        <w:rPr>
          <w:rFonts w:ascii="Times New Roman;Times;serif" w:hAnsi="Times New Roman;Times;serif"/>
          <w:sz w:val="20"/>
        </w:rPr>
        <w:t>) or under universal title of succession (</w:t>
      </w:r>
      <w:r>
        <w:rPr>
          <w:rFonts w:ascii="Times New Roman;Times;serif" w:hAnsi="Times New Roman;Times;serif"/>
          <w:i/>
          <w:sz w:val="20"/>
        </w:rPr>
        <w:t>onder algemene titel</w:t>
      </w:r>
      <w:r>
        <w:rPr>
          <w:rFonts w:ascii="Times New Roman;Times;serif" w:hAnsi="Times New Roman;Times;serif"/>
          <w:sz w:val="20"/>
        </w:rPr>
        <w:t>) (e.g., through a merger or demerger) under statutory Dutch or other law, Schmid may acquire Shares pursuant to the restrictions set out above only if the General Meeting has authorized the Board to do so. An authorization by the General Meeting for the acquisition of Shares can be granted for a maximum period of 18 months. Such authorization must specify the number of Shares that may be acquired, the manner in which these shares may be acquired and the price range within which the shares may be acquired. No authorization of the General Meeting is required if Shares are acquired by Schmid on Nasdaq with the intention of transferring such Shares to our employees or employees of a group company pursuant to an arrangement applicable to them. Schmid cannot derive any right to any distribution from Shares or voting rights attached to Shares acquired by it. On the day of Closing, the Board was authorized by the General Meeting to acquire shares in the capital of the Company, either through purchase on a stock exchange or otherwise, for a period of eighteen (18) months, with effect from Closing, and under the following conditions: (a) up to ten percent (10%) of the total number of shares issued from time to time; (b) provided that the Company will not hold more shares in stock than ten percent (10%) of the issued share capital; and (c) at a price (excluding expenses) not less than the nominal value of the shares and not higher than the opening price on NASDAQ on the day of repurchase plus ten percent (10%).</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Capital Reduction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General Meeting may resolve to reduce our issued share capital by (i) cancelling Shares or (ii) reducing the nominal value of the Shares by amending the articles of association (provided that the nominal value of a Share cannot be less than €0.01). In either case, this reduction would be subject to applicable statutory provisions. A resolution to cancel Shares may only relate to Shares held by Schmid itself or in respect of which Schmid holds the depository receipts. Under Dutch law, a resolution of the General Meeting to reduce the number of Shares must designate the Shares to which the resolution applies and must lay down rules for the implementation of the resolution. A resolution of the General Meeting to reduce the capital requires a majority of at least two-thirds of the votes cast, if less than half of the issued capital is represented at the General Meeting.</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General Meetings and Voting Rights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General Meetings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General meetings of the shareholders of the Company (“General Meeting”) are held in the Netherlands. All of our shareholders and others entitled to attend the General Meetings are authorized to address the meeting and, in so far as they have such right, to vote, either in person or by proxy.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shall hold at least one General Meeting each year, to be held within six months after the end of our financial year, or later, as may be permitted by Dutch law. A General Meeting shall also be held within three months after the Board has determined it to be likely that our equity has decreased to an amount equal to or lower than half of its paid up and called up capital, in order to discuss the measures to be taken if so required. If the Board fails to hold such General Meeting in a timely manner, each shareholder and other person entitled to attend the General Meeting may be authorized by the Dutch court to convene the General Meeting.</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Board may convene additional extraordinary General Meetings at its discretion, subject to the notice requirements described below. Pursuant to Dutch law, one or more shareholders, alone or jointly representing at least 10% of our issued share capital, may request that a General Meeting be convened, the request setting out in detail the matters to be considered. If no General Meeting has been held within eight weeks of the shareholder(s) making such request, that/those shareholder(s) will be authorized to request in summary proceedings a Dutch district court to convene a General Meeting.</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The General Meeting is convened by a notice, which includes an agenda stating the items to be discussed and the location and time of the General Meeting. For the annual General Meeting, the agenda will generally include, among other things, the management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report (as far as required by law), the adoption of our annual accounts and the granting of discharge from liability to members of the Board for actions in respect of their management during the preceding financial year. In addition, the agenda for a General Meeting includes such additional items as determined by the Board. Pursuant to Dutch law, one or more shareholders and/or others entitled to attend General Meetings, alone or jointly representing at least 3% of the issued share capital, have the right to request the inclusion of additional items on the agenda of General Meetings. Such requests must be made in writing, and may include a proposal for a shareholder resolution, and must be received by us no later than on the 60th day before the day the relevant General Meeting is scheduled to be held. In accordance with the DCGC (as defined below), a shareholder is expected to exercise the right of putting an item on the agenda only after consulting the Board in that respect. If one or more shareholders intend to request that an item be put on the agenda that may result in a change in the Company’s strategy, the Board may invoke a response time of a maximum of 180 days from the moment the Board is informed of the request. No resolutions may be adopted on items other than those that have been included in the agenda (unless the resolution would be adopted unanimously during a meeting where the entire issued capital of the Company is present or represented).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addition to the DCGC, the Board may invoke a statutory cooling-off period up to a maximum of 250 days (</w:t>
      </w:r>
      <w:r>
        <w:rPr>
          <w:rFonts w:ascii="Times New Roman;Times;serif" w:hAnsi="Times New Roman;Times;serif"/>
          <w:i/>
          <w:sz w:val="20"/>
        </w:rPr>
        <w:t>wettelijke bedenktijd</w:t>
      </w:r>
      <w:r>
        <w:rPr>
          <w:rFonts w:ascii="Times New Roman;Times;serif" w:hAnsi="Times New Roman;Times;serif"/>
          <w:sz w:val="20"/>
        </w:rPr>
        <w:t>) as set out in the Dutch Civil Code. For the Company, the statutory cooling-off period will apply in case:</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requesting the Board to have the General Meeting consider a proposal for the appointment, suspension or dismissal of one or more directors, or a proposal for the amendment of one or more provisions in the articles of association relating thereto; or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public offer for shares in the capital of the Company is announced or made without the bidder and the Company having been reached agreement about the offer;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if the Board also considers the relevant situation to be substantially contrary to the interests of the Company and its affiliated enterprises.</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the Board invokes such cooling-off period, this causes the powers of the General Meeting to appoint, suspend or dismiss directors (and to amend the articles of association in this respect) being suspended.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Board must use the reflection period to obtain all necessary information for a careful determination of policy it wishes to pursue in the given situation. The Board shall thereby, in any event, consult those shareholders that represent at least 3% of the issued capital at the time the cooling-off period is invoked and the works council (to the extent established). The position of these shareholders and the works council shall, but only with their approval, be published on the Company’s website. The Board shall report on the course of events and the policy that has been pursued since the cooling-off period was invoked. No later than one week after the last day of the cooling-off period, the Company shall have to publicly disclose the report. The report shall also be discussed at the first General Meeting after the expiry of the cooling-off period.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cooling-off period has a maximum term of 250 days, calculated from:</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after the latest date on which shareholders may request an item to be placed on the agenda of the next General Meeting (which is 60 days before the day of the meeting);</w:t>
            </w:r>
          </w:p>
        </w:tc>
      </w:tr>
    </w:tbl>
    <w:tbl>
      <w:tblPr>
        <w:tblW w:w="5196" w:type="dxa"/>
        <w:jc w:val="left"/>
        <w:tblInd w:w="20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after the day on which the public offer is made; or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the court in preliminary relief proceedings has granted authority to shareholders holding at least 10% of the issued share capital to convoke a General Meeting.</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All shareholders who solely or jointly hold 3% of the issued share capital may request the Enterprise Chamber of the Court of Appeal in Amsterdam (</w:t>
      </w:r>
      <w:r>
        <w:rPr>
          <w:rFonts w:ascii="Times New Roman;Times;serif" w:hAnsi="Times New Roman;Times;serif"/>
          <w:i/>
          <w:sz w:val="20"/>
        </w:rPr>
        <w:t>Ondernemingskamer van het Gerechtshof te Amsterdam</w:t>
      </w:r>
      <w:r>
        <w:rPr>
          <w:rFonts w:ascii="Times New Roman;Times;serif" w:hAnsi="Times New Roman;Times;serif"/>
          <w:sz w:val="20"/>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“Enterprise Chamber”) to terminate the cooling-off period. The Enterprise Chamber must rule in favor of the request if the shareholders can demonstrate that:</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in light of the circumstances at hand when the cooling-off period was invoked, could not reasonably have concluded that the relevant proposal or hostile offer constituted a material conflict with the interests of our Company and its business;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cannot reasonably believe that a continuation of the cooling-off period would contribute to careful policy-making;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defensive measures, having the same purpose, nature and scope as the cooling- off period, have been activated during the cooling-off period and have not since been terminated or suspended within a reasonable period at the relevant shareholders’ request (i.e., no “stacking” of defensive measures).</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will give notice of each General Meeting by publication on our website and, to the extent required by applicable law, in a Dutch daily newspaper with national distribution and in any other manner that we may be required to follow in order to comply with Dutch law and applicable stock exchange and SEC requirements. We will observe the statutory minimum convening notice period for a General Meeting.</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Holders of registered shares may further be provided notice of the meeting in writing at their addresses as stated in our shareholders’ register.</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Pursuant to the articles of association and Dutch law, the Board may determine a record date (</w:t>
      </w:r>
      <w:r>
        <w:rPr>
          <w:rFonts w:ascii="Times New Roman;Times;serif" w:hAnsi="Times New Roman;Times;serif"/>
          <w:i/>
          <w:sz w:val="20"/>
        </w:rPr>
        <w:t>registratiedatum</w:t>
      </w:r>
      <w:r>
        <w:rPr>
          <w:rFonts w:ascii="Times New Roman;Times;serif" w:hAnsi="Times New Roman;Times;serif"/>
          <w:sz w:val="20"/>
        </w:rPr>
        <w:t>) of 28 calendar days prior to a General Meeting to establish which shareholders and others with meeting rights are entitled to attend and, if applicable, vote at the General Meeting. The record date, if any, and the manner in which shareholders can register and exercise their rights will be set out in the notice of the General Meeting.</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Pursuant to the articles of association, the General Meeting is presided over by the Chairman of the Board or, if he is absent, by one of the other non-executive directors designated for that purpose by the Board. If no non-executive directors are present at the meeting, the General Meeting shall be presided by one of the executive director designated for that purpose by the Board.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Voting Rights and Quorum</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accordance with Dutch law and the articles of association, and in each case without prejudice to the Voting Cap (as defined hereinafter) being applicable to any shareholder:</w:t>
      </w:r>
    </w:p>
    <w:tbl>
      <w:tblPr>
        <w:tblW w:w="6456" w:type="dxa"/>
        <w:jc w:val="left"/>
        <w:tblInd w:w="20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Ordinary Share confers the right to cast 1 vote in a General Meeting.</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No votes may be cast at a General Meeting in respect of Shares that are held by the Company or any subsidiary, nor in respect of Shares for which the Company or any subsidiary holds depositary receipts. However, holders of a right of pledge or a right of usufruct on Shares held by the Company or a subsidiary are not excluded from voting, if the right of pledge or the usufruct was created before the Share belonged to the Company or the subsidiary. The Company or the subsidiary may not cast a vote in respect of a Share on which it holds a right of pledge or a right of usufruct.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Voting rights may be exercised by shareholders or by a duly appointed proxy holder (the written proxy being acceptable to the chairman of the General Meeting) of a shareholder, which proxy holder does not need to be a shareholder.</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Under the articles of association, blank votes (votes where no choice has been made) and invalid votes shall not be counted as votes cast.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Resolutions of the shareholders are adopted at a General Meeting by a majority of votes cast, except where Dutch law or the articles of association provide for a special majority in relation to specified resolutions. Subject to any provision of mandatory Dutch law, the articles of association do not provide for a quorum requirement other than for the following:</w:t>
      </w:r>
    </w:p>
    <w:tbl>
      <w:tblPr>
        <w:tblW w:w="9805" w:type="dxa"/>
        <w:jc w:val="left"/>
        <w:tblInd w:w="200" w:type="dxa"/>
        <w:tblLayout w:type="fixed"/>
        <w:tblCellMar>
          <w:top w:w="28" w:type="dxa"/>
          <w:left w:w="28" w:type="dxa"/>
          <w:bottom w:w="28" w:type="dxa"/>
          <w:right w:w="28" w:type="dxa"/>
        </w:tblCellMar>
      </w:tblPr>
      <w:tblGrid>
        <w:gridCol w:w="124"/>
        <w:gridCol w:w="244"/>
        <w:gridCol w:w="9437"/>
      </w:tblGrid>
      <w:tr>
        <w:trPr/>
        <w:tc>
          <w:tcPr>
            <w:tcW w:w="124" w:type="dxa"/>
            <w:tcBorders/>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43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to amend the articles of association as result of which one or more of the following articles is amended or abolished requires the prior approval of the Ordinary Shares, which approval can only be granted by a majority of the votes cast in a meeting in which at least 50% of the issued and outstanding Ordinary Shares are present or represented:</w:t>
            </w:r>
          </w:p>
        </w:tc>
      </w:tr>
    </w:tbl>
    <w:tbl>
      <w:tblPr>
        <w:tblW w:w="4431" w:type="dxa"/>
        <w:jc w:val="left"/>
        <w:tblInd w:w="20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 subsections j, n, s, aa, bb, dd, mm or nn;</w:t>
            </w:r>
          </w:p>
        </w:tc>
      </w:tr>
    </w:tbl>
    <w:tbl>
      <w:tblPr>
        <w:tblW w:w="9081" w:type="dxa"/>
        <w:jc w:val="left"/>
        <w:tblInd w:w="200" w:type="dxa"/>
        <w:tblLayout w:type="fixed"/>
        <w:tblCellMar>
          <w:top w:w="28" w:type="dxa"/>
          <w:left w:w="28" w:type="dxa"/>
          <w:bottom w:w="28" w:type="dxa"/>
          <w:right w:w="28" w:type="dxa"/>
        </w:tblCellMar>
      </w:tblPr>
      <w:tblGrid>
        <w:gridCol w:w="124"/>
        <w:gridCol w:w="256"/>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 paragraph 2 or paragraph 3, to the extent it concerns a change of the nominal value of the Shares;</w:t>
            </w:r>
          </w:p>
        </w:tc>
      </w:tr>
    </w:tbl>
    <w:tbl>
      <w:tblPr>
        <w:tblW w:w="1386" w:type="dxa"/>
        <w:jc w:val="left"/>
        <w:tblInd w:w="200" w:type="dxa"/>
        <w:tblLayout w:type="fixed"/>
        <w:tblCellMar>
          <w:top w:w="28" w:type="dxa"/>
          <w:left w:w="28" w:type="dxa"/>
          <w:bottom w:w="28" w:type="dxa"/>
          <w:right w:w="28" w:type="dxa"/>
        </w:tblCellMar>
      </w:tblPr>
      <w:tblGrid>
        <w:gridCol w:w="124"/>
        <w:gridCol w:w="256"/>
        <w:gridCol w:w="1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4A;</w:t>
            </w:r>
          </w:p>
        </w:tc>
      </w:tr>
    </w:tbl>
    <w:tbl>
      <w:tblPr>
        <w:tblW w:w="3471" w:type="dxa"/>
        <w:jc w:val="left"/>
        <w:tblInd w:w="200" w:type="dxa"/>
        <w:tblLayout w:type="fixed"/>
        <w:tblCellMar>
          <w:top w:w="28" w:type="dxa"/>
          <w:left w:w="28" w:type="dxa"/>
          <w:bottom w:w="28" w:type="dxa"/>
          <w:right w:w="28" w:type="dxa"/>
        </w:tblCellMar>
      </w:tblPr>
      <w:tblGrid>
        <w:gridCol w:w="124"/>
        <w:gridCol w:w="256"/>
        <w:gridCol w:w="3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 paragraph 1 or paragraph 2;</w:t>
            </w:r>
          </w:p>
        </w:tc>
      </w:tr>
    </w:tbl>
    <w:tbl>
      <w:tblPr>
        <w:tblW w:w="4941" w:type="dxa"/>
        <w:jc w:val="left"/>
        <w:tblInd w:w="200" w:type="dxa"/>
        <w:tblLayout w:type="fixed"/>
        <w:tblCellMar>
          <w:top w:w="28" w:type="dxa"/>
          <w:left w:w="28" w:type="dxa"/>
          <w:bottom w:w="28" w:type="dxa"/>
          <w:right w:w="28" w:type="dxa"/>
        </w:tblCellMar>
      </w:tblPr>
      <w:tblGrid>
        <w:gridCol w:w="124"/>
        <w:gridCol w:w="256"/>
        <w:gridCol w:w="4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16 paragraph 10, paragraph 11 or paragraph 12;</w:t>
            </w:r>
          </w:p>
        </w:tc>
      </w:tr>
    </w:tbl>
    <w:tbl>
      <w:tblPr>
        <w:tblW w:w="2361" w:type="dxa"/>
        <w:jc w:val="left"/>
        <w:tblInd w:w="200" w:type="dxa"/>
        <w:tblLayout w:type="fixed"/>
        <w:tblCellMar>
          <w:top w:w="28" w:type="dxa"/>
          <w:left w:w="28" w:type="dxa"/>
          <w:bottom w:w="28" w:type="dxa"/>
          <w:right w:w="28" w:type="dxa"/>
        </w:tblCellMar>
      </w:tblPr>
      <w:tblGrid>
        <w:gridCol w:w="124"/>
        <w:gridCol w:w="256"/>
        <w:gridCol w:w="1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22 paragraph 5;</w:t>
            </w:r>
          </w:p>
        </w:tc>
      </w:tr>
    </w:tbl>
    <w:tbl>
      <w:tblPr>
        <w:tblW w:w="2706" w:type="dxa"/>
        <w:jc w:val="left"/>
        <w:tblInd w:w="200" w:type="dxa"/>
        <w:tblLayout w:type="fixed"/>
        <w:tblCellMar>
          <w:top w:w="28" w:type="dxa"/>
          <w:left w:w="28" w:type="dxa"/>
          <w:bottom w:w="28" w:type="dxa"/>
          <w:right w:w="28" w:type="dxa"/>
        </w:tblCellMar>
      </w:tblPr>
      <w:tblGrid>
        <w:gridCol w:w="124"/>
        <w:gridCol w:w="256"/>
        <w:gridCol w:w="2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26 paragraph 4; and</w:t>
            </w:r>
          </w:p>
        </w:tc>
      </w:tr>
    </w:tbl>
    <w:tbl>
      <w:tblPr>
        <w:tblW w:w="9805" w:type="dxa"/>
        <w:jc w:val="left"/>
        <w:tblInd w:w="200" w:type="dxa"/>
        <w:tblLayout w:type="fixed"/>
        <w:tblCellMar>
          <w:top w:w="0" w:type="dxa"/>
          <w:left w:w="0" w:type="dxa"/>
          <w:bottom w:w="0" w:type="dxa"/>
          <w:right w:w="0" w:type="dxa"/>
        </w:tblCellMar>
      </w:tblPr>
      <w:tblGrid>
        <w:gridCol w:w="124"/>
        <w:gridCol w:w="304"/>
        <w:gridCol w:w="9377"/>
      </w:tblGrid>
      <w:tr>
        <w:trPr/>
        <w:tc>
          <w:tcPr>
            <w:tcW w:w="12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37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 resolution to amend the articles of association as a result of which article 14 paragraph 3 or article 26 paragraph 5 is amended or abolished, which requires within the first three years after the Closing Date a majority of at least 85% of the votes cast in a meeting in which at least 85% of the issued and outstanding share capital is present of represented.</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Subject to certain restrictions in the articles of association, the determination during the General Meeting made by the chairman of that General Meeting with regard to the results of a vote shall be decisive. The Board will keep a record of the resolutions taken at each General Meeting.</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Amendment of Articles of Association — Merger, Demerger and Dissolution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General Meeting may resolve on an amendment to these articles of association, a legal merger, a legal demerger or a dissolution of the Company. When a proposal to amend these articles of association, to merge, to demerge or to wind up the Company is made to the General Meeting, the intention to propose such resolution must be stated in the relevant notice convening the General Meeting. If it concerns an amendment to the articles of association, a copy of the proposal in which the proposed amendment is quoted verbatim must at the same time be deposited at the Company’s offices and this copy shall be made available for inspection by the shareholders until the end of the General Meeting.</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Squeeze Out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 shareholder who for its own account (or together with its group companies) holds at least 95% of our issued share capital may institute proceedings against the other shareholders jointly for the transfer of their shares to the shareholder who holds such 95% majority. The proceedings are held before the Enterprise Chamber and can be instituted by means of a writ of summons served upon each of the minority shareholders in accordance with the provisions of the Dutch Code of Civil Procedure (Wetboek van Burgerlijke Rechtsvordering). The Enterprise Chamber may grant the claim for squeeze-out in relation to all minority shareholders and will determine the price to be paid for the shares, if necessary after appointment of one or three expert(s) who will offer an opinion to the Enterprise Chamber on the value of the shares of the minority shareholders. Once the order to transfer by the Enterprise Chamber becomes final and irrevocable, the majority shareholder that instituted the squeeze-out proceedings shall give written notice of the date and place of payment and the price to the holders of the shares to be acquired whose addresses are known to the majority shareholder.</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Unless the addresses of all minority shareholders are known to the majority shareholder acquiring the shares, the majority shareholder is required to publish the same in a newspaper with a national circulation.</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Any sale or transfer of all of our assets (see “</w:t>
      </w:r>
      <w:r>
        <w:rPr>
          <w:rFonts w:ascii="Times New Roman;Times;serif" w:hAnsi="Times New Roman;Times;serif"/>
          <w:i/>
          <w:sz w:val="20"/>
        </w:rPr>
        <w:t>Certain Other Major Transactions</w:t>
      </w:r>
      <w:r>
        <w:rPr>
          <w:rFonts w:ascii="Times New Roman;Times;serif" w:hAnsi="Times New Roman;Times;serif"/>
          <w:sz w:val="20"/>
        </w:rPr>
        <w:t>” below) and our dissolution or liquidation is subject to approval by a majority of the votes cast in our General Meeting (see “</w:t>
      </w:r>
      <w:r>
        <w:rPr>
          <w:rFonts w:ascii="Times New Roman;Times;serif" w:hAnsi="Times New Roman;Times;serif"/>
          <w:i/>
          <w:sz w:val="20"/>
        </w:rPr>
        <w:t xml:space="preserve">Amendment of Articles of Association  — Merger, Demerger and Dissolution” </w:t>
      </w:r>
      <w:r>
        <w:rPr>
          <w:rFonts w:ascii="Times New Roman;Times;serif" w:hAnsi="Times New Roman;Times;serif"/>
          <w:sz w:val="20"/>
        </w:rPr>
        <w:t>above).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Certain Other Major Transactions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articles of association and Dutch law provide that resolutions of the Board concerning a material change in our identity, character or business are subject to the approval of the General Meeting. Such changes include:</w:t>
      </w:r>
    </w:p>
    <w:tbl>
      <w:tblPr>
        <w:tblW w:w="6486" w:type="dxa"/>
        <w:jc w:val="left"/>
        <w:tblInd w:w="20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transfer of all or materially all of our business/enterprise to a third party;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entry into or termination of a long-lasting cooperation of the Company or of a subsidiary either with another legal person or company, or as a fully liable general partner of a limited partnership or a general partnership, if this cooperation or termination is of essential importance to the Company;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or disposition of a participating interest in the capital of a company by the Company or by one of our subsidiaries with a value of at least one third of the value of our assets, according to the balance sheet with explanatory notes or, if we prepare a consolidated balance sheet, according to the consolidated balance sheet with explanatory notes in our most recently adopted annual accounts.</w:t>
            </w:r>
          </w:p>
        </w:tc>
      </w:tr>
    </w:tbl>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Notices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will give notice of each General Meeting by publication on our website and, to the extent required by applicable law, in a Dutch daily newspaper with national distribution, and in any other manner that we may be required to follow to comply with Dutch law and applicable stock exchange and SEC requirements. Holders of registered shares may further be provided notice of the meeting in writing at their addresses as stated in our shareholders’ register.</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Dividends and Other Distributions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Under the Articles of Association, the Board may decide that all or part of the profits shown in our adopted statutory annual accounts will be added to our reserves. After reservation of any such profits, any remaining profits will be at the disposal of the General Meeting at the proposal of the Board for distribution on the Ordinary Shares, subject to applicable restrictions of Dutch law.</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Board is permitted, subject to certain requirements and applicable restrictions of Dutch law, to declare interim dividends without the approval of the General Meeting. 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w:t>
      </w:r>
      <w:r>
        <w:rPr>
          <w:rFonts w:ascii="Times New Roman;Times;serif" w:hAnsi="Times New Roman;Times;serif"/>
          <w:i/>
          <w:sz w:val="20"/>
        </w:rPr>
        <w:t>verjaring</w:t>
      </w:r>
      <w:r>
        <w:rPr>
          <w:rFonts w:ascii="Times New Roman;Times;serif" w:hAnsi="Times New Roman;Times;serif"/>
          <w:sz w:val="20"/>
        </w:rPr>
        <w:t>). We do not anticipate paying any dividends on Shares for the foreseeable future. See the section entitled “</w:t>
      </w:r>
      <w:r>
        <w:rPr>
          <w:rFonts w:ascii="Times New Roman;Times;serif" w:hAnsi="Times New Roman;Times;serif"/>
          <w:i/>
          <w:sz w:val="20"/>
        </w:rPr>
        <w:t>Dividend Policy</w:t>
      </w:r>
      <w:r>
        <w:rPr>
          <w:rFonts w:ascii="Times New Roman;Times;serif" w:hAnsi="Times New Roman;Times;serif"/>
          <w:sz w:val="20"/>
        </w:rPr>
        <w: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Exchange Controls and other Provisions relating to non-Dutch Shareholders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Under Dutch law, subject to the 1977 Sanction Act (</w:t>
      </w:r>
      <w:r>
        <w:rPr>
          <w:rFonts w:ascii="Times New Roman;Times;serif" w:hAnsi="Times New Roman;Times;serif"/>
          <w:i/>
          <w:sz w:val="20"/>
        </w:rPr>
        <w:t>Sanctiewet 1977</w:t>
      </w:r>
      <w:r>
        <w:rPr>
          <w:rFonts w:ascii="Times New Roman;Times;serif" w:hAnsi="Times New Roman;Times;serif"/>
          <w:sz w:val="20"/>
        </w:rPr>
        <w:t>) or otherwise by international sanctions, there are no exchange control restrictions on investments in, or payments on, Shares (except as to cash amounts). There are no special restrictions in the articles of association or Dutch law that limit the right of shareholders who are not citizens or residents of the Netherlands to hold or vote Shares.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Public Warrants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of the date of this registration statement, there were 11,250,000 Public Warrants outstanding.</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Public Warrants, which entitle the holder to purchase one Ordinary Share at an exercise price of $11.50 per Share, become exercisable thirty days after the completion of the Business Combination. The Public Warrants will expire five years after the completion of the Business Combination or earlier upon redemption or liquidation in accordance with their terms.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will not be obligated to deliver any Ordinary Shares pursuant to the exercise of a Public Warrant and will have no obligation to settle such warrant exercise unless a registration statement under the Securities Act with respect to the Ordinary Shares underlying the Public Warrants is then effective and a prospectus relating thereto is current, subject to our satisfying our obligations described below with respect to registration, or a valid exemption from registration is available. No Public Warrant will be exercisable and we will not be obligated to issue a Ordinary Share upon exercise of a Public Warrant unless the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Public Warrant.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Under the terms of the warrant agreement relating to the Public Warrants (the “Warrant Agreement”), we were obligated, as soon as practicable, but in no event later than 15 business days after the closing of the Business Combination, to use commercially reasonable efforts to file with the SEC a registration statement covering the Ordinary Shares issuable upon exercise of the Public Warrants. We were obligated to use commercially reasonable efforts to cause the same to become effective within 60 business days after the closing of the Business Combination, and we are obligated to maintain the effectiveness of such registration statement and a current prospectus relating to those Ordinary Shares until the Public Warrants expire or are redeemed, as specified in the Warrant Agreement; provided that if the Ordinary Shares are at the time of any exercise of a Public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appoint, we will not be required to file or maintain in effect a registration statement. If a registration statement covering the Ordinary Shares issuable upon exercise of the Public Warrants is not effective, Public Warrant holders may, until such time as there is an effective registration statement and during any period when we will have failed to maintain an effective registration statement, exercise Public Warrants on a “cashless basis” in accordance with Section 3(a)(9) of the Securities Act or another exemption, but we will use our best efforts to register or qualify the shares under applicable blue sky laws to the extent an exemption is not available.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Redemption of Public Warrants for cash when the price per Ordinary Share equals or exceeds $18.00. We may call the outstanding Public Warrants for redemption:</w:t>
      </w:r>
    </w:p>
    <w:tbl>
      <w:tblPr>
        <w:tblW w:w="2526" w:type="dxa"/>
        <w:jc w:val="left"/>
        <w:tblInd w:w="200" w:type="dxa"/>
        <w:tblLayout w:type="fixed"/>
        <w:tblCellMar>
          <w:top w:w="28" w:type="dxa"/>
          <w:left w:w="28" w:type="dxa"/>
          <w:bottom w:w="28" w:type="dxa"/>
          <w:right w:w="28" w:type="dxa"/>
        </w:tblCellMar>
      </w:tblPr>
      <w:tblGrid>
        <w:gridCol w:w="124"/>
        <w:gridCol w:w="256"/>
        <w:gridCol w:w="2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bl>
    <w:tbl>
      <w:tblPr>
        <w:tblW w:w="2991" w:type="dxa"/>
        <w:jc w:val="left"/>
        <w:tblInd w:w="200" w:type="dxa"/>
        <w:tblLayout w:type="fixed"/>
        <w:tblCellMar>
          <w:top w:w="28" w:type="dxa"/>
          <w:left w:w="28" w:type="dxa"/>
          <w:bottom w:w="28" w:type="dxa"/>
          <w:right w:w="28" w:type="dxa"/>
        </w:tblCellMar>
      </w:tblPr>
      <w:tblGrid>
        <w:gridCol w:w="124"/>
        <w:gridCol w:w="256"/>
        <w:gridCol w:w="2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warrant;</w:t>
            </w:r>
          </w:p>
        </w:tc>
      </w:tr>
    </w:tbl>
    <w:tbl>
      <w:tblPr>
        <w:tblW w:w="8406" w:type="dxa"/>
        <w:jc w:val="left"/>
        <w:tblInd w:w="20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not less than 30 days’ prior written notice of redemption to each Public Warrant holder;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of the Ordinary Shares for any 20 trading days within a 30-trading day period ending on the third trading day prior to the date on which notice of the redemption is given to the Public Warrant holders (the “Reference Value”) equals or exceeds $18.00 per share (subject to adjustment as described below).</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will not redeem the Public Warrants as described above unless a registration statement under the Securities Act covering the issuance of the Ordinary Shares issuable upon exercise of the Public Warrants is then effective and a current prospectus relating to those shares is available throughout the 30-day redemption period. If and when the Public Warrants become redeemable by us, we may exercise our redemption right even if we are unable to register or qualify the underlying securities for sale under all applicable state securities laws. As a result, we may redeem the Public Warrants as set forth above even if the holders are otherwise unable to exercise the Public Warrants.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the foregoing conditions are satisfied and we issue a notice of redemption of the Public Warrants, each Public Warrant holder will be entitled to exercise his, her or its Public Warrant prior to the scheduled redemption date.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Redemption of Public Warrants for cash when the price per Ordinary Share equals or exceeds $10.00. We may redeem the outstanding Public Warrants:</w:t>
      </w:r>
    </w:p>
    <w:tbl>
      <w:tblPr>
        <w:tblW w:w="2526" w:type="dxa"/>
        <w:jc w:val="left"/>
        <w:tblInd w:w="200" w:type="dxa"/>
        <w:tblLayout w:type="fixed"/>
        <w:tblCellMar>
          <w:top w:w="28" w:type="dxa"/>
          <w:left w:w="28" w:type="dxa"/>
          <w:bottom w:w="28" w:type="dxa"/>
          <w:right w:w="28" w:type="dxa"/>
        </w:tblCellMar>
      </w:tblPr>
      <w:tblGrid>
        <w:gridCol w:w="124"/>
        <w:gridCol w:w="256"/>
        <w:gridCol w:w="2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$0.10 per warrant upon a minimum of 30 days’ prior written notice of redemption; provided that holders will be able to exercise their Public Warrants on a cashless basis prior to redemption and receive that number of shares determined by reference to the table below, based on the redemption date and the “fair market value” of the Ordinary Shares (as defined below);</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Reference Value equals or exceeds $10.00 per share (subject to adjustment as described below);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Reference Value is less than $18.00 per share (subject to adjustment as described below), the Private Warrants must also be concurrently called for redemption on the same terms as the outstanding Public Warrants, as described above.</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numbers in the table below represent the number of Ordinary Shares that a Public Warrant holder will receive upon exercise in connection with a redemption by us pursuant to this redemption feature, based on the “fair market value” of the Ordinary Shares on the corresponding redemption date (assuming holders elect to exercise their Public Warrants and such are not redeemed for $0.10 per warrant), determined based on volume-weighted average price of the Ordinary Shares as reported during the 10 trading days immediately following the date on which the notice of redemption is sent to the affected holders of Public Warrants, and the number of months that the corresponding redemption date precedes the expiration date of the Public Warrants, each as set forth in the table below. We will provide our Public Warrant holders with the final fair market value no later than one business day after the 10-trading day period described above ends.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share prices set forth in the column headings of the table below will be adjusted as of any date on which the number of Ordinary Shares issuable upon exercise of a Public Warrant or the exercise price of the Public Warrant is adjusted as set forth under the heading “</w:t>
      </w:r>
      <w:r>
        <w:rPr>
          <w:rFonts w:ascii="Times New Roman;Times;serif" w:hAnsi="Times New Roman;Times;serif"/>
          <w:i/>
          <w:sz w:val="20"/>
        </w:rPr>
        <w:t>Anti-dilution Adjustments</w:t>
      </w:r>
      <w:r>
        <w:rPr>
          <w:rFonts w:ascii="Times New Roman;Times;serif" w:hAnsi="Times New Roman;Times;serif"/>
          <w:sz w:val="20"/>
        </w:rPr>
        <w:t>” below. If the number of shares issuable upon exercise of a Public Warrant is adjusted, the adjusted share prices in the column headings will equal the share prices immediately prior to such adjustment, multiplied by a fraction, the numerator of which is the exercise price of the Public Warrant after such adjustment and the denominator of which is the price of the Public Warrant immediately prior to such adjustment. In such an event, the number of shares in the table below shall be adjusted by multiplying such share amounts by a fraction, the numerator of which is the number of shares deliverable upon exercise of a Public Warrant immediately prior to such adjustment and the denominator of which is the number of shares deliverable upon exercise of a Public Warrant as so adjusted.</w:t>
      </w:r>
    </w:p>
    <w:tbl>
      <w:tblPr>
        <w:tblW w:w="9805" w:type="dxa"/>
        <w:jc w:val="left"/>
        <w:tblInd w:w="200" w:type="dxa"/>
        <w:tblLayout w:type="fixed"/>
        <w:tblCellMar>
          <w:top w:w="0" w:type="dxa"/>
          <w:left w:w="0" w:type="dxa"/>
          <w:bottom w:w="0" w:type="dxa"/>
          <w:right w:w="0" w:type="dxa"/>
        </w:tblCellMar>
      </w:tblPr>
      <w:tblGrid>
        <w:gridCol w:w="1177"/>
        <w:gridCol w:w="346"/>
        <w:gridCol w:w="608"/>
        <w:gridCol w:w="346"/>
        <w:gridCol w:w="603"/>
        <w:gridCol w:w="346"/>
        <w:gridCol w:w="603"/>
        <w:gridCol w:w="346"/>
        <w:gridCol w:w="603"/>
        <w:gridCol w:w="346"/>
        <w:gridCol w:w="603"/>
        <w:gridCol w:w="346"/>
        <w:gridCol w:w="603"/>
        <w:gridCol w:w="346"/>
        <w:gridCol w:w="603"/>
        <w:gridCol w:w="346"/>
        <w:gridCol w:w="603"/>
        <w:gridCol w:w="346"/>
        <w:gridCol w:w="685"/>
      </w:tblGrid>
      <w:tr>
        <w:trPr/>
        <w:tc>
          <w:tcPr>
            <w:tcW w:w="117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ind w:left="0" w:right="0" w:hanging="0"/>
              <w:jc w:val="left"/>
              <w:rPr>
                <w:sz w:val="4"/>
                <w:szCs w:val="4"/>
              </w:rPr>
            </w:pPr>
            <w:r>
              <w:rPr>
                <w:sz w:val="4"/>
                <w:szCs w:val="4"/>
              </w:rPr>
            </w:r>
          </w:p>
        </w:tc>
      </w:tr>
      <w:tr>
        <w:trPr/>
        <w:tc>
          <w:tcPr>
            <w:tcW w:w="11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747395" cy="175260"/>
                      <wp:effectExtent l="0" t="0" r="0" b="0"/>
                      <wp:wrapNone/>
                      <wp:docPr id="45" name="Frame43"/>
                      <a:graphic xmlns:a="http://schemas.openxmlformats.org/drawingml/2006/main">
                        <a:graphicData uri="http://schemas.microsoft.com/office/word/2010/wordprocessingShape">
                          <wps:wsp>
                            <wps:cNvSpPr txBox="1"/>
                            <wps:spPr>
                              <a:xfrm>
                                <a:off x="0" y="0"/>
                                <a:ext cx="747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46"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86080" cy="175260"/>
                      <wp:effectExtent l="0" t="0" r="0" b="0"/>
                      <wp:wrapNone/>
                      <wp:docPr id="47" name="Frame45"/>
                      <a:graphic xmlns:a="http://schemas.openxmlformats.org/drawingml/2006/main">
                        <a:graphicData uri="http://schemas.microsoft.com/office/word/2010/wordprocessingShape">
                          <wps:wsp>
                            <wps:cNvSpPr txBox="1"/>
                            <wps:spPr>
                              <a:xfrm>
                                <a:off x="0" y="0"/>
                                <a:ext cx="386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48"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82905" cy="175260"/>
                      <wp:effectExtent l="0" t="0" r="0" b="0"/>
                      <wp:wrapNone/>
                      <wp:docPr id="49" name="Frame47"/>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0"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82905" cy="175260"/>
                      <wp:effectExtent l="0" t="0" r="0" b="0"/>
                      <wp:wrapNone/>
                      <wp:docPr id="51" name="Frame49"/>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2"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82905" cy="175260"/>
                      <wp:effectExtent l="0" t="0" r="0" b="0"/>
                      <wp:wrapNone/>
                      <wp:docPr id="53" name="Frame51"/>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4"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82905" cy="175260"/>
                      <wp:effectExtent l="0" t="0" r="0" b="0"/>
                      <wp:wrapNone/>
                      <wp:docPr id="55" name="Frame53"/>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56"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82905" cy="175260"/>
                      <wp:effectExtent l="0" t="0" r="0" b="0"/>
                      <wp:wrapNone/>
                      <wp:docPr id="57" name="Frame55"/>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58"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82905" cy="175260"/>
                      <wp:effectExtent l="0" t="0" r="0" b="0"/>
                      <wp:wrapNone/>
                      <wp:docPr id="59" name="Frame57"/>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0"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382905" cy="175260"/>
                      <wp:effectExtent l="0" t="0" r="0" b="0"/>
                      <wp:wrapNone/>
                      <wp:docPr id="61" name="Frame59"/>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2"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34975" cy="175260"/>
                      <wp:effectExtent l="0" t="0" r="0" b="0"/>
                      <wp:wrapNone/>
                      <wp:docPr id="63" name="Frame61"/>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82"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Market Value of Class A Shares</w:t>
            </w:r>
          </w:p>
        </w:tc>
      </w:tr>
      <w:tr>
        <w:trPr/>
        <w:tc>
          <w:tcPr>
            <w:tcW w:w="1177"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Redemption Date</w:t>
            </w:r>
            <w:r>
              <w:rPr>
                <w:rFonts w:ascii="Times New Roman;Times;serif" w:hAnsi="Times New Roman;Times;serif"/>
                <w:sz w:val="16"/>
              </w:rPr>
              <w:t xml:space="preserve"> </w:t>
            </w:r>
            <w:r>
              <w:rPr>
                <w:rFonts w:ascii="Times New Roman;Times;serif" w:hAnsi="Times New Roman;Times;serif"/>
                <w:b/>
                <w:sz w:val="16"/>
              </w:rPr>
              <w:t>(period to expiration of Public Warrants)</w:t>
            </w:r>
          </w:p>
        </w:tc>
        <w:tc>
          <w:tcPr>
            <w:tcW w:w="346" w:type="dxa"/>
            <w:tcBorders/>
            <w:vAlign w:val="center"/>
          </w:tcPr>
          <w:p>
            <w:pPr>
              <w:pStyle w:val="TableContents"/>
              <w:bidi w:val="0"/>
              <w:spacing w:before="0" w:after="0"/>
              <w:ind w:left="0" w:right="0" w:hanging="0"/>
              <w:jc w:val="center"/>
              <w:rPr/>
            </w:pPr>
            <w:r>
              <w:rPr/>
              <w:t>  ​ ​ ​</w:t>
            </w:r>
          </w:p>
        </w:tc>
        <w:tc>
          <w:tcPr>
            <w:tcW w:w="60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r>
              <w:rPr>
                <w:rFonts w:ascii="Times New Roman;Times;serif" w:hAnsi="Times New Roman;Times;serif"/>
                <w:b/>
                <w:sz w:val="16"/>
              </w:rPr>
              <w:t>$10.00</w:t>
            </w:r>
          </w:p>
        </w:tc>
        <w:tc>
          <w:tcPr>
            <w:tcW w:w="346" w:type="dxa"/>
            <w:tcBorders/>
            <w:vAlign w:val="center"/>
          </w:tcPr>
          <w:p>
            <w:pPr>
              <w:pStyle w:val="TableContents"/>
              <w:bidi w:val="0"/>
              <w:spacing w:before="0" w:after="0"/>
              <w:ind w:left="0" w:right="0" w:hanging="0"/>
              <w:jc w:val="center"/>
              <w:rPr/>
            </w:pPr>
            <w:r>
              <w:rPr/>
              <w:t>  ​ ​ ​</w:t>
            </w:r>
          </w:p>
        </w:tc>
        <w:tc>
          <w:tcPr>
            <w:tcW w:w="6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$11.00 </w:t>
            </w:r>
          </w:p>
        </w:tc>
        <w:tc>
          <w:tcPr>
            <w:tcW w:w="346" w:type="dxa"/>
            <w:tcBorders/>
            <w:vAlign w:val="center"/>
          </w:tcPr>
          <w:p>
            <w:pPr>
              <w:pStyle w:val="TableContents"/>
              <w:bidi w:val="0"/>
              <w:spacing w:before="0" w:after="0"/>
              <w:ind w:left="0" w:right="0" w:hanging="0"/>
              <w:jc w:val="center"/>
              <w:rPr/>
            </w:pPr>
            <w:r>
              <w:rPr/>
              <w:t>  ​ ​ ​</w:t>
            </w:r>
          </w:p>
        </w:tc>
        <w:tc>
          <w:tcPr>
            <w:tcW w:w="6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$12.00 </w:t>
            </w:r>
          </w:p>
        </w:tc>
        <w:tc>
          <w:tcPr>
            <w:tcW w:w="346" w:type="dxa"/>
            <w:tcBorders/>
            <w:vAlign w:val="center"/>
          </w:tcPr>
          <w:p>
            <w:pPr>
              <w:pStyle w:val="TableContents"/>
              <w:bidi w:val="0"/>
              <w:spacing w:before="0" w:after="0"/>
              <w:ind w:left="0" w:right="0" w:hanging="0"/>
              <w:jc w:val="center"/>
              <w:rPr/>
            </w:pPr>
            <w:r>
              <w:rPr/>
              <w:t>  ​ ​ ​</w:t>
            </w:r>
          </w:p>
        </w:tc>
        <w:tc>
          <w:tcPr>
            <w:tcW w:w="6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$13.00 </w:t>
            </w:r>
          </w:p>
        </w:tc>
        <w:tc>
          <w:tcPr>
            <w:tcW w:w="346" w:type="dxa"/>
            <w:tcBorders/>
            <w:vAlign w:val="center"/>
          </w:tcPr>
          <w:p>
            <w:pPr>
              <w:pStyle w:val="TableContents"/>
              <w:bidi w:val="0"/>
              <w:spacing w:before="0" w:after="0"/>
              <w:ind w:left="0" w:right="0" w:hanging="0"/>
              <w:jc w:val="center"/>
              <w:rPr/>
            </w:pPr>
            <w:r>
              <w:rPr/>
              <w:t>  ​ ​ ​</w:t>
            </w:r>
          </w:p>
        </w:tc>
        <w:tc>
          <w:tcPr>
            <w:tcW w:w="6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$14.00 </w:t>
            </w:r>
          </w:p>
        </w:tc>
        <w:tc>
          <w:tcPr>
            <w:tcW w:w="346" w:type="dxa"/>
            <w:tcBorders/>
            <w:vAlign w:val="center"/>
          </w:tcPr>
          <w:p>
            <w:pPr>
              <w:pStyle w:val="TableContents"/>
              <w:bidi w:val="0"/>
              <w:spacing w:before="0" w:after="0"/>
              <w:ind w:left="0" w:right="0" w:hanging="0"/>
              <w:jc w:val="center"/>
              <w:rPr/>
            </w:pPr>
            <w:r>
              <w:rPr/>
              <w:t>  ​ ​ ​</w:t>
            </w:r>
          </w:p>
        </w:tc>
        <w:tc>
          <w:tcPr>
            <w:tcW w:w="6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$15.00 </w:t>
            </w:r>
          </w:p>
        </w:tc>
        <w:tc>
          <w:tcPr>
            <w:tcW w:w="346" w:type="dxa"/>
            <w:tcBorders/>
            <w:vAlign w:val="center"/>
          </w:tcPr>
          <w:p>
            <w:pPr>
              <w:pStyle w:val="TableContents"/>
              <w:bidi w:val="0"/>
              <w:spacing w:before="0" w:after="0"/>
              <w:ind w:left="0" w:right="0" w:hanging="0"/>
              <w:jc w:val="center"/>
              <w:rPr/>
            </w:pPr>
            <w:r>
              <w:rPr/>
              <w:t>  ​ ​ ​</w:t>
            </w:r>
          </w:p>
        </w:tc>
        <w:tc>
          <w:tcPr>
            <w:tcW w:w="6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$16.00 </w:t>
            </w:r>
          </w:p>
        </w:tc>
        <w:tc>
          <w:tcPr>
            <w:tcW w:w="346" w:type="dxa"/>
            <w:tcBorders/>
            <w:vAlign w:val="center"/>
          </w:tcPr>
          <w:p>
            <w:pPr>
              <w:pStyle w:val="TableContents"/>
              <w:bidi w:val="0"/>
              <w:spacing w:before="0" w:after="0"/>
              <w:ind w:left="0" w:right="0" w:hanging="0"/>
              <w:jc w:val="center"/>
              <w:rPr/>
            </w:pPr>
            <w:r>
              <w:rPr/>
              <w:t>  ​ ​ ​</w:t>
            </w:r>
          </w:p>
        </w:tc>
        <w:tc>
          <w:tcPr>
            <w:tcW w:w="6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$17.00 </w:t>
            </w:r>
          </w:p>
        </w:tc>
        <w:tc>
          <w:tcPr>
            <w:tcW w:w="346" w:type="dxa"/>
            <w:tcBorders/>
            <w:vAlign w:val="center"/>
          </w:tcPr>
          <w:p>
            <w:pPr>
              <w:pStyle w:val="TableContents"/>
              <w:bidi w:val="0"/>
              <w:spacing w:before="0" w:after="0"/>
              <w:ind w:left="0" w:right="0" w:hanging="0"/>
              <w:jc w:val="center"/>
              <w:rPr/>
            </w:pPr>
            <w:r>
              <w:rPr/>
              <w:t>  ​ ​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r>
              <w:rPr>
                <w:rFonts w:ascii="Times New Roman;Times;serif" w:hAnsi="Times New Roman;Times;serif"/>
                <w:b/>
                <w:sz w:val="16"/>
              </w:rPr>
              <w:t>$18.00</w:t>
            </w:r>
          </w:p>
        </w:tc>
      </w:tr>
      <w:tr>
        <w:trPr/>
        <w:tc>
          <w:tcPr>
            <w:tcW w:w="1177"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60 months</w:t>
            </w:r>
          </w:p>
        </w:tc>
        <w:tc>
          <w:tcPr>
            <w:tcW w:w="346" w:type="dxa"/>
            <w:tcBorders/>
            <w:shd w:fill="CCEEFF" w:val="clear"/>
            <w:vAlign w:val="center"/>
          </w:tcPr>
          <w:p>
            <w:pPr>
              <w:pStyle w:val="TableContents"/>
              <w:bidi w:val="0"/>
              <w:spacing w:before="0" w:after="0"/>
              <w:ind w:left="0" w:right="0" w:hanging="0"/>
              <w:jc w:val="left"/>
              <w:rPr/>
            </w:pPr>
            <w:r>
              <w:rPr/>
              <w:t> </w:t>
            </w:r>
          </w:p>
        </w:tc>
        <w:tc>
          <w:tcPr>
            <w:tcW w:w="608"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0.261</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0.281</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0.297</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0.311</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0.324</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0.337</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0.348</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0.358</w:t>
            </w:r>
          </w:p>
        </w:tc>
        <w:tc>
          <w:tcPr>
            <w:tcW w:w="346" w:type="dxa"/>
            <w:tcBorders/>
            <w:shd w:fill="CCEEFF" w:val="clear"/>
            <w:vAlign w:val="center"/>
          </w:tcPr>
          <w:p>
            <w:pPr>
              <w:pStyle w:val="TableContents"/>
              <w:bidi w:val="0"/>
              <w:spacing w:before="0" w:after="0"/>
              <w:ind w:left="0" w:right="0" w:hanging="0"/>
              <w:jc w:val="left"/>
              <w:rPr/>
            </w:pPr>
            <w:r>
              <w:rPr/>
              <w:t> </w:t>
            </w:r>
          </w:p>
        </w:tc>
        <w:tc>
          <w:tcPr>
            <w:tcW w:w="685"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1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57 months</w:t>
            </w:r>
          </w:p>
        </w:tc>
        <w:tc>
          <w:tcPr>
            <w:tcW w:w="3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0.257</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0.277</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0.294</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0.310</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0.324</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0.337</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0.348</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0.358</w:t>
            </w:r>
          </w:p>
        </w:tc>
        <w:tc>
          <w:tcPr>
            <w:tcW w:w="346"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1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54 months</w:t>
            </w:r>
          </w:p>
        </w:tc>
        <w:tc>
          <w:tcPr>
            <w:tcW w:w="346" w:type="dxa"/>
            <w:tcBorders/>
            <w:shd w:fill="CCEEFF" w:val="clear"/>
            <w:vAlign w:val="center"/>
          </w:tcPr>
          <w:p>
            <w:pPr>
              <w:pStyle w:val="TableContents"/>
              <w:bidi w:val="0"/>
              <w:spacing w:before="0" w:after="0"/>
              <w:ind w:left="0" w:right="0" w:hanging="0"/>
              <w:jc w:val="left"/>
              <w:rPr/>
            </w:pPr>
            <w:r>
              <w:rPr/>
              <w:t> </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0.252</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0.272</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0.291</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0.307</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0.322</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0.335</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0.347</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0.357</w:t>
            </w:r>
          </w:p>
        </w:tc>
        <w:tc>
          <w:tcPr>
            <w:tcW w:w="346"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1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51 months</w:t>
            </w:r>
          </w:p>
        </w:tc>
        <w:tc>
          <w:tcPr>
            <w:tcW w:w="3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0.246</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0.268</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0.287</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0.304</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0.320</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0.333</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0.346</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0.357</w:t>
            </w:r>
          </w:p>
        </w:tc>
        <w:tc>
          <w:tcPr>
            <w:tcW w:w="346"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1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48 months</w:t>
            </w:r>
          </w:p>
        </w:tc>
        <w:tc>
          <w:tcPr>
            <w:tcW w:w="346" w:type="dxa"/>
            <w:tcBorders/>
            <w:shd w:fill="CCEEFF" w:val="clear"/>
            <w:vAlign w:val="center"/>
          </w:tcPr>
          <w:p>
            <w:pPr>
              <w:pStyle w:val="TableContents"/>
              <w:bidi w:val="0"/>
              <w:spacing w:before="0" w:after="0"/>
              <w:ind w:left="0" w:right="0" w:hanging="0"/>
              <w:jc w:val="left"/>
              <w:rPr/>
            </w:pPr>
            <w:r>
              <w:rPr/>
              <w:t> </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0.241</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0.263</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0.283</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0.301</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0.317</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0.332</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0.344</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0.356</w:t>
            </w:r>
          </w:p>
        </w:tc>
        <w:tc>
          <w:tcPr>
            <w:tcW w:w="346"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1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 months</w:t>
            </w:r>
          </w:p>
        </w:tc>
        <w:tc>
          <w:tcPr>
            <w:tcW w:w="3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0.235</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0.258</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0.279</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0.298</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0.315</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0.330</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0.343</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0.356</w:t>
            </w:r>
          </w:p>
        </w:tc>
        <w:tc>
          <w:tcPr>
            <w:tcW w:w="346"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1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 months</w:t>
            </w:r>
          </w:p>
        </w:tc>
        <w:tc>
          <w:tcPr>
            <w:tcW w:w="346" w:type="dxa"/>
            <w:tcBorders/>
            <w:shd w:fill="CCEEFF" w:val="clear"/>
            <w:vAlign w:val="center"/>
          </w:tcPr>
          <w:p>
            <w:pPr>
              <w:pStyle w:val="TableContents"/>
              <w:bidi w:val="0"/>
              <w:spacing w:before="0" w:after="0"/>
              <w:ind w:left="0" w:right="0" w:hanging="0"/>
              <w:jc w:val="left"/>
              <w:rPr/>
            </w:pPr>
            <w:r>
              <w:rPr/>
              <w:t> </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0.228</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0.252</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0.274</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0.294</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0.312</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0.328</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0.342</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0.355</w:t>
            </w:r>
          </w:p>
        </w:tc>
        <w:tc>
          <w:tcPr>
            <w:tcW w:w="346"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1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39 months</w:t>
            </w:r>
          </w:p>
        </w:tc>
        <w:tc>
          <w:tcPr>
            <w:tcW w:w="3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0.221</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0.246</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0.269</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0.290</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0.309</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0.325</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0.340</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0.354</w:t>
            </w:r>
          </w:p>
        </w:tc>
        <w:tc>
          <w:tcPr>
            <w:tcW w:w="346"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1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36 months</w:t>
            </w:r>
          </w:p>
        </w:tc>
        <w:tc>
          <w:tcPr>
            <w:tcW w:w="346" w:type="dxa"/>
            <w:tcBorders/>
            <w:shd w:fill="CCEEFF" w:val="clear"/>
            <w:vAlign w:val="center"/>
          </w:tcPr>
          <w:p>
            <w:pPr>
              <w:pStyle w:val="TableContents"/>
              <w:bidi w:val="0"/>
              <w:spacing w:before="0" w:after="0"/>
              <w:ind w:left="0" w:right="0" w:hanging="0"/>
              <w:jc w:val="left"/>
              <w:rPr/>
            </w:pPr>
            <w:r>
              <w:rPr/>
              <w:t> </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0.213</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0.239</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0.263</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0.285</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0.305</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0.323</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0.339</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0.353</w:t>
            </w:r>
          </w:p>
        </w:tc>
        <w:tc>
          <w:tcPr>
            <w:tcW w:w="346"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1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 months</w:t>
            </w:r>
          </w:p>
        </w:tc>
        <w:tc>
          <w:tcPr>
            <w:tcW w:w="3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0.205</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0.232</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0.257</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0.280</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0.301</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0.320</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0.337</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0.352</w:t>
            </w:r>
          </w:p>
        </w:tc>
        <w:tc>
          <w:tcPr>
            <w:tcW w:w="346"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1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 months</w:t>
            </w:r>
          </w:p>
        </w:tc>
        <w:tc>
          <w:tcPr>
            <w:tcW w:w="346" w:type="dxa"/>
            <w:tcBorders/>
            <w:shd w:fill="CCEEFF" w:val="clear"/>
            <w:vAlign w:val="center"/>
          </w:tcPr>
          <w:p>
            <w:pPr>
              <w:pStyle w:val="TableContents"/>
              <w:bidi w:val="0"/>
              <w:spacing w:before="0" w:after="0"/>
              <w:ind w:left="0" w:right="0" w:hanging="0"/>
              <w:jc w:val="left"/>
              <w:rPr/>
            </w:pPr>
            <w:r>
              <w:rPr/>
              <w:t> </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0.196</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0.224</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0.250</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0.274</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0.297</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0.316</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0.335</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0.351</w:t>
            </w:r>
          </w:p>
        </w:tc>
        <w:tc>
          <w:tcPr>
            <w:tcW w:w="346"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1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27 months</w:t>
            </w:r>
          </w:p>
        </w:tc>
        <w:tc>
          <w:tcPr>
            <w:tcW w:w="3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0.185</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0.214</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0.242</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0.268</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0.291</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0.313</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0.332</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0.350</w:t>
            </w:r>
          </w:p>
        </w:tc>
        <w:tc>
          <w:tcPr>
            <w:tcW w:w="346"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1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24 months</w:t>
            </w:r>
          </w:p>
        </w:tc>
        <w:tc>
          <w:tcPr>
            <w:tcW w:w="346" w:type="dxa"/>
            <w:tcBorders/>
            <w:shd w:fill="CCEEFF" w:val="clear"/>
            <w:vAlign w:val="center"/>
          </w:tcPr>
          <w:p>
            <w:pPr>
              <w:pStyle w:val="TableContents"/>
              <w:bidi w:val="0"/>
              <w:spacing w:before="0" w:after="0"/>
              <w:ind w:left="0" w:right="0" w:hanging="0"/>
              <w:jc w:val="left"/>
              <w:rPr/>
            </w:pPr>
            <w:r>
              <w:rPr/>
              <w:t> </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0.173</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0.204</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0.233</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0.260</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0.285</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0.308</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0.329</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0.348</w:t>
            </w:r>
          </w:p>
        </w:tc>
        <w:tc>
          <w:tcPr>
            <w:tcW w:w="346"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1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 months</w:t>
            </w:r>
          </w:p>
        </w:tc>
        <w:tc>
          <w:tcPr>
            <w:tcW w:w="3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0.161</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0.193</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0.223</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0.252</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0.279</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0.304</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0.326</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0.347</w:t>
            </w:r>
          </w:p>
        </w:tc>
        <w:tc>
          <w:tcPr>
            <w:tcW w:w="346"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1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 months</w:t>
            </w:r>
          </w:p>
        </w:tc>
        <w:tc>
          <w:tcPr>
            <w:tcW w:w="346" w:type="dxa"/>
            <w:tcBorders/>
            <w:shd w:fill="CCEEFF" w:val="clear"/>
            <w:vAlign w:val="center"/>
          </w:tcPr>
          <w:p>
            <w:pPr>
              <w:pStyle w:val="TableContents"/>
              <w:bidi w:val="0"/>
              <w:spacing w:before="0" w:after="0"/>
              <w:ind w:left="0" w:right="0" w:hanging="0"/>
              <w:jc w:val="left"/>
              <w:rPr/>
            </w:pPr>
            <w:r>
              <w:rPr/>
              <w:t> </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0.146</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0.179</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0.211</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0.242</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0.271</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0.298</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0.322</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0.345</w:t>
            </w:r>
          </w:p>
        </w:tc>
        <w:tc>
          <w:tcPr>
            <w:tcW w:w="346"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1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 months</w:t>
            </w:r>
          </w:p>
        </w:tc>
        <w:tc>
          <w:tcPr>
            <w:tcW w:w="3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0.130</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0.164</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0.197</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0.230</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0.262</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0.291</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0.317</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0.342</w:t>
            </w:r>
          </w:p>
        </w:tc>
        <w:tc>
          <w:tcPr>
            <w:tcW w:w="346"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1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 months</w:t>
            </w:r>
          </w:p>
        </w:tc>
        <w:tc>
          <w:tcPr>
            <w:tcW w:w="346" w:type="dxa"/>
            <w:tcBorders/>
            <w:shd w:fill="CCEEFF" w:val="clear"/>
            <w:vAlign w:val="center"/>
          </w:tcPr>
          <w:p>
            <w:pPr>
              <w:pStyle w:val="TableContents"/>
              <w:bidi w:val="0"/>
              <w:spacing w:before="0" w:after="0"/>
              <w:ind w:left="0" w:right="0" w:hanging="0"/>
              <w:jc w:val="left"/>
              <w:rPr/>
            </w:pPr>
            <w:r>
              <w:rPr/>
              <w:t> </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0.111</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0.146</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0.181</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0.216</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0.250</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0.282</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0.312</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0.339</w:t>
            </w:r>
          </w:p>
        </w:tc>
        <w:tc>
          <w:tcPr>
            <w:tcW w:w="346"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1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9 months</w:t>
            </w:r>
          </w:p>
        </w:tc>
        <w:tc>
          <w:tcPr>
            <w:tcW w:w="3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0.090</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0.125</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0.162</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0.199</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0.237</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0.272</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0.305</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0.336</w:t>
            </w:r>
          </w:p>
        </w:tc>
        <w:tc>
          <w:tcPr>
            <w:tcW w:w="346"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1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6 months</w:t>
            </w:r>
          </w:p>
        </w:tc>
        <w:tc>
          <w:tcPr>
            <w:tcW w:w="346" w:type="dxa"/>
            <w:tcBorders/>
            <w:shd w:fill="CCEEFF" w:val="clear"/>
            <w:vAlign w:val="center"/>
          </w:tcPr>
          <w:p>
            <w:pPr>
              <w:pStyle w:val="TableContents"/>
              <w:bidi w:val="0"/>
              <w:spacing w:before="0" w:after="0"/>
              <w:ind w:left="0" w:right="0" w:hanging="0"/>
              <w:jc w:val="left"/>
              <w:rPr/>
            </w:pPr>
            <w:r>
              <w:rPr/>
              <w:t> </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0.065</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0.099</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0.137</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0.178</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0.219</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0.259</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0.296</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0.331</w:t>
            </w:r>
          </w:p>
        </w:tc>
        <w:tc>
          <w:tcPr>
            <w:tcW w:w="346"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1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months</w:t>
            </w:r>
          </w:p>
        </w:tc>
        <w:tc>
          <w:tcPr>
            <w:tcW w:w="3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0.034</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0.065</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0.104</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0.150</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0.197</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0.243</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0.286</w:t>
            </w:r>
          </w:p>
        </w:tc>
        <w:tc>
          <w:tcPr>
            <w:tcW w:w="34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0.326</w:t>
            </w:r>
          </w:p>
        </w:tc>
        <w:tc>
          <w:tcPr>
            <w:tcW w:w="346"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1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0 months</w:t>
            </w:r>
          </w:p>
        </w:tc>
        <w:tc>
          <w:tcPr>
            <w:tcW w:w="346" w:type="dxa"/>
            <w:tcBorders/>
            <w:shd w:fill="CCEEFF" w:val="clear"/>
            <w:vAlign w:val="center"/>
          </w:tcPr>
          <w:p>
            <w:pPr>
              <w:pStyle w:val="TableContents"/>
              <w:bidi w:val="0"/>
              <w:spacing w:before="0" w:after="0"/>
              <w:ind w:left="0" w:right="0" w:hanging="0"/>
              <w:jc w:val="left"/>
              <w:rPr/>
            </w:pPr>
            <w:r>
              <w:rPr/>
              <w:t> </w:t>
            </w:r>
          </w:p>
        </w:tc>
        <w:tc>
          <w:tcPr>
            <w:tcW w:w="6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0.042</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0.115</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0.179</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0.233</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0.281</w:t>
            </w:r>
          </w:p>
        </w:tc>
        <w:tc>
          <w:tcPr>
            <w:tcW w:w="34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0.323</w:t>
            </w:r>
          </w:p>
        </w:tc>
        <w:tc>
          <w:tcPr>
            <w:tcW w:w="346"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0.361</w:t>
            </w:r>
          </w:p>
        </w:tc>
      </w:tr>
    </w:tbl>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exact fair market value and redemption date may not be set forth in the table above, in which case, if the fair market value is between two values in the table or the redemption date is between two redemption dates in the table, the number of Ordinary Shares to be issued for each Public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the Ordinary Shares as reported during the 10 trading days immediately following the date on which the notice of redemption is sent to the holders of the Public Warrants is $11.00 per share, and at such time there are 57 months until the expiration of the Public Warrants, holders may choose to, in connection with this redemption feature, exercise their warrants for 0.277 Ordinary Shares for each Public Warrant. For an example where the exact fair market value and redemption date are not as set forth in the table above, if the volume-weighted average price of the Ordinary Shares as reported during the 10 trading days immediately following the date on which the notice of redemption is sent to the holders of the Public Warrants is $13.50 per share, and at such time there are 38 months until the expiration of the Public Warrants, holders may choose to, in connection with this redemption feature, exercise their Public Warrants for 0.298 Ordinary Shares for each Public Warrant. In no event will the Public Warrants be exercisable in connection with this redemption feature for more than 0.361 Ordinary Shares per warrant (subject to adjustment).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No fractional Ordinary Shares will be issued upon exercise. If, upon exercise, a holder would be entitled to receive a fractional interest in a share, we will round down to the nearest whole number of the number of Ordinary Shares to be issued to the holder.</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Anti-Dilution Adjustments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the number of issued and outstanding ordinary shares is increased by a capitalization or share dividend payable in ordinary shares, or by a split-up of ordinary shares or other similar event, then, on the effective date of such capitalization or share dividend, split-up or similar event, the number of ordinary shares issuable on exercise of each warrant will be increased in proportion to such increase in the issued and outstanding ordinary shares. A rights offering to holders of ordinary shares entitling holders to purchase ordinary shares at a price less than the “historical fair market value” (as defined below) will be deemed a share dividend of a number of ordinary shares equal to the product of (1) the number of ordinary shares actually sold in such rights offering (or issuable under any other equity securities sold in such rights offering that are convertible into or exercisable for ordinary shares) and (2) one minus the quotient of (x) the price per ordinary share paid in such rights offering and (y) the historical fair market value. For these purposes, (1)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(2) “historical fair market value” means the volume weighted average price of ordinary shares during the 10 trading day period ending on the trading day prior to the first date on which the ordinary shares trade on the applicable exchange or in the applicable market, regular way, without the right to receive such rights.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addition, if we, at any time while the warrants are outstanding and unexpired, pay to all or substantially all of the holders of ordinary shares a dividend or make a distribution in cash, securities or other assets to the holders of ordinary shares on account of such ordinary shares (or other securities into which the warrants are convertible), other than (a) as described above, (b) any cash dividends or cash distributions which, when combined on a per share basis with all other cash dividends and cash distributions paid on the ordinary shares during the 365-day period ending on the date of declaration of such dividend or distribution does not exceed $0.50 (as adjusted for share sub-divisions, share dividends, rights issuances, consolidations, reorganizations, recapitalizations and other similar transactions) but only with respect to the amount of the aggregate cash dividends or cash distributions equal to or less than $0.50 per share, (c) to satisfy the redemption rights of the holders of ordinary shares in connection with a proposed initial business combination, (d) to satisfy the redemption rights of the holders of ordinary shares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15 months from the closing of this offering or (B) with respect to any other provision relating to the rights of our ordinary shares,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ordinary share in respect of such event.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the number of issued and outstanding ordinary shares is decreased by a consolidation, combination, reverse share sub-division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issued and outstanding ordinary shares.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case of any reclassification or reorganization of the issued and outstanding ordinary shares (other than those described above or that solely affects the par value of such ordinary shares), or in the case of a merger or consolidation of us with or into another corporation (other than a merger or consolidation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our ordinary shares immediately theretofore purchasable and receivable upon the exercise of the rights represented thereby, the kind and amount of shares, stock or other equity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merger or consolidation, then the kind and amount of securities, cash or other assets for which each warrant will become exercisable will be deemed to be the weighted average of the kind and amount received per share by such holders in such merger or consolidation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ordinary shares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 Scholes Warrant Value (as defined in the warrant agreement) of the warrant.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warrant agreement provides that (a)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this prospectus, or defective provision or (ii)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and (b) all other modifications or amendments require the vote or written consent of at least 65% of the then outstanding public warrants and, solely with respect to any amendment to the terms of the private placement warrants or any provision of the warrant agreement with respect to the private placement warrants, at least 65% of the then outstanding private placement warrants.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Voting Rights of Public Warrant Holders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Private Warrants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The Private Warrants are subject to the same terms and conditions outlined above under “— </w:t>
      </w:r>
      <w:r>
        <w:rPr>
          <w:rFonts w:ascii="Times New Roman;Times;serif" w:hAnsi="Times New Roman;Times;serif"/>
          <w:i/>
          <w:sz w:val="20"/>
        </w:rPr>
        <w:t>Public Warrants</w:t>
      </w:r>
      <w:r>
        <w:rPr>
          <w:rFonts w:ascii="Times New Roman;Times;serif" w:hAnsi="Times New Roman;Times;serif"/>
          <w:sz w:val="20"/>
        </w:rPr>
        <w:t xml:space="preserve">” with the exception that the holders of the Private Warrants agreed in a private warrant undertaking agreement dated January 29, 2024 that (a) any exercise of Private Warrants will only be on a cashless basis (with such condition being waivable by the Company, i.e. if the Company agrees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the Private Warrants can be exercised in cash) and (b) once the reference price in relation to the Ordinary Shares of the Company reaches $18.00 all holders of the Private Warrants are required to exercise the Private Warrants on a cashless basis.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Certain Disclosure Obligations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are subject to certain disclosure obligations under Dutch and U.S. law and the rules of Nasdaq. The following is a description of the general disclosure obligations of public companies under Dutch and U.S. law and the rules of Nasdaq as such laws and rules exist as of the date of this document and should not be viewed as legal advice for specific circumstances.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Financial Reporting Under Dutch Law</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Dutch Financial Reporting Supervision Act (</w:t>
      </w:r>
      <w:r>
        <w:rPr>
          <w:rFonts w:ascii="Times New Roman;Times;serif" w:hAnsi="Times New Roman;Times;serif"/>
          <w:i/>
          <w:sz w:val="20"/>
        </w:rPr>
        <w:t>Wet toezicht financiële verslaggeving</w:t>
      </w:r>
      <w:r>
        <w:rPr>
          <w:rFonts w:ascii="Times New Roman;Times;serif" w:hAnsi="Times New Roman;Times;serif"/>
          <w:sz w:val="20"/>
        </w:rPr>
        <w:t>, the “FRSA”) applies to our financial reporting. Under the FRSA, the Dutch Authority for the Financial Markets (</w:t>
      </w:r>
      <w:r>
        <w:rPr>
          <w:rFonts w:ascii="Times New Roman;Times;serif" w:hAnsi="Times New Roman;Times;serif"/>
          <w:i/>
          <w:sz w:val="20"/>
        </w:rPr>
        <w:t>Autoriteit Financiële Markten</w:t>
      </w:r>
      <w:r>
        <w:rPr>
          <w:rFonts w:ascii="Times New Roman;Times;serif" w:hAnsi="Times New Roman;Times;serif"/>
          <w:sz w:val="20"/>
        </w:rPr>
        <w:t>, the “AFM”) supervises the application of financial reporting standards by, among others, companies whose corporate seats are in the Netherlands and whose securities are listed on a regulated market within the EU or on an equivalent third (non-EU) country market. As our corporate seat is in the Netherlands and our Ordinary Shares are listed on Nasdaq, the FRSA will be applicable to the Company.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Pursuant to the FRSA, the AFM has an independent right to (i) request an explanation from the Company regarding the application of the applicable financial reporting standards if, based on publicly known facts or circumstances, it has reason to doubt our financial reporting meets such standards and (ii) recommend to the Company that we make available further explanations and file these with the AFM. If we do not comply with such a request or recommendation, the AFM may request that the Enterprise Chamber order us to (i) make available further explanations as recommended by the AFM, (ii) provide an explanation of the way we have applied the applicable financial reporting standards to our financial reports or (iii) prepare our financial reports in accordance with the Enterprise Chamber’s instructions.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Periodic Reporting Under U.S. Securities Law</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are a “foreign private issuer” under the securities laws of the United States and the rules of Nasdaq. Under the securities laws of the United States, “foreign private issuers” are subject to different disclosure requirements than U.S. registrants. We intend to take all actions necessary to maintain compliance as a foreign private issuer with the applicable corporate governance requirements of the Sarbanes-Oxley Act of 2002, the rules adopted by the SEC and Nasdaq’s listing standards. Under the Nasdaq rules, a “foreign private issuer” is subject to less stringent corporate governance requirements. Subject to certain exceptions, the Nasdaq rules permit a “foreign private issuer” to comply with our home country rules in lieu of the listing requirements of Nasdaq.</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Nasdaq Rules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For so long as our shares are listed on Nasdaq, we will be required to meet certain requirements relating to ongoing communication and disclosure to Schmid shareholders, including a requirement to make any annual report filed with the SEC available on or through our website and to comply with the “prompt disclosure” requirement of Nasdaq with respect to earnings and dividend announcements, combination transactions, stock splits, major management changes and any substantive items of an unusual or non-recurrent nature. Issuers listing shares on Nasdaq must also meet certain corporate governance standards, such as those relating to annual meetings, board independence, the formation and composition of nominating/ corporate governance, compensation and audit committees and shareholder approval of certain transactions.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Certain Insider Trading and Market Manipulation Laws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Dutch and U.S. law each contain rules intended to prevent insider trading and market manipulation. The following is a general description of those laws as such laws exist as of the date of this document and should not be viewed as legal advice for specific circumstances. In connection with our listing on Nasdaq, we have adopted an insider trading policy. This policy provides for, among other things, rules on transactions by members of the Board and our employees in Shares or in financial instruments the value of which is determined by the value of the shares.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Netherlands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July 3, 2016, the Regulation (EU) No 596/2014 of the European Parliament and of the Council of April 16, 2014 (the “MAR”) replaced all of the Dutch market abuse rules. It could be that in future the Ordinary Shares will be traded on certain open markets (</w:t>
      </w:r>
      <w:r>
        <w:rPr>
          <w:rFonts w:ascii="Times New Roman;Times;serif" w:hAnsi="Times New Roman;Times;serif"/>
          <w:i/>
          <w:sz w:val="20"/>
        </w:rPr>
        <w:t>Freiverkehr</w:t>
      </w:r>
      <w:r>
        <w:rPr>
          <w:rFonts w:ascii="Times New Roman;Times;serif" w:hAnsi="Times New Roman;Times;serif"/>
          <w:sz w:val="20"/>
        </w:rPr>
        <w:t>) in Germany (being a member state of the EU). The trading of these Ordinary Shares on certain open markets (</w:t>
      </w:r>
      <w:r>
        <w:rPr>
          <w:rFonts w:ascii="Times New Roman;Times;serif" w:hAnsi="Times New Roman;Times;serif"/>
          <w:i/>
          <w:sz w:val="20"/>
        </w:rPr>
        <w:t>Freiverkehr</w:t>
      </w:r>
      <w:r>
        <w:rPr>
          <w:rFonts w:ascii="Times New Roman;Times;serif" w:hAnsi="Times New Roman;Times;serif"/>
          <w:sz w:val="20"/>
        </w:rPr>
        <w:t>) in Germany can be implemented without our approval. These open markets in Germany are qualified as multilateral trading facilities (“MTFs”) or organized trading facilities (“OTFs”) within the scope of the MAR.</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Under the MAR, certain provisions of the MAR apply to the securities of companies whose securities are traded on MTFs or OTFs irrespective of whether such company has approved the trading of its securities on such open market (for example, the provisions under the MAR relating to unlawful disclosure of inside information and market manipulation). Certain (other) provisions of the MAR are only applicable to the securities of companies who have approved and/or have requested admission to trading of its financial instruments on a regulated market, an MTF or OTF (for example, the provisions under the MAR relating to public disclosure of inside information and notification rules for director dealings), which provisions of the MAR do not apply to the Company given that it did not approve the trading of its securities on certain open markets (</w:t>
      </w:r>
      <w:r>
        <w:rPr>
          <w:rFonts w:ascii="Times New Roman;Times;serif" w:hAnsi="Times New Roman;Times;serif"/>
          <w:i/>
          <w:sz w:val="20"/>
        </w:rPr>
        <w:t>Freiverkehr</w:t>
      </w:r>
      <w:r>
        <w:rPr>
          <w:rFonts w:ascii="Times New Roman;Times;serif" w:hAnsi="Times New Roman;Times;serif"/>
          <w:sz w:val="20"/>
        </w:rPr>
        <w:t>) in Germany.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United States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United States securities laws generally prohibit any person from trading in a security while in possession of material, non-public information or assisting someone who is engaged in doing the same. The insider trading laws cover not only those who trade based on material, non- public information, but also those who disclose material non-public information to others who might trade on the basis of that information (known as “tipping”). A “security” includes not just equity securities, but any security (e.g., derivatives). Thus, members of the Board, officers and other employees of the Company may not purchase or sell shares or other securities of the Company when in possession of material, non-public information about the Company (including our business, prospects or financial condition), nor may they tip any other person by disclosing material, non-public information about the Company.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have identified those persons working for us who could have access to inside information on a regular or incidental basis and have informed such persons of the prohibitions on insider trading and market manipulation imposed by U.S. laws, including the sanctions that can be imposed in the event of a violation of those rules.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Certain Disclosure and Reporting Obligations of Directors, Officers and Shareholders of Schmid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directors, officers and shareholders are subject to certain disclosure and reporting obligations under Dutch and U.S. law. The following is a description of the general disclosure obligations of directors, officers and shareholders under Dutch law as such laws exist as of the date of this document and should not be viewed as legal advice for specific circumstances.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DCGC</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we have our registered seat in the Netherlands and have our Ordinary Shares listed on a third (non-EU) country market equivalent to a regulated market (e.g., Nasdaq), we are subject to the Dutch Corporate Governance Code, the updated version of which was published on December 20, 2022, and which entered into force on January 1, 2023, and finds its statutory basis in Book 2 of the Dutch Civil Code (the “DCGC”). The DCGC contains both principles and best practice provisions for the Board, shareholders and the General Meeting, financial reporting, auditors, disclosure compliance and enforcement standards.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DCGC is based on a “comply or explain” principle. Accordingly, we are required to disclose in our management report publicly filed in the Netherlands whether or not we are complying with the various provisions of the DCGC. If we do not comply with one or more of those provisions (e.g., because of a conflicting Nasdaq requirement or U.S. market practice), we are required to explain the reasons for such non-compliance.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Dutch Civil Code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Dutch Civil Code provides for certain disclosure obligations in our annual accounts. Information on directors’ remuneration and rights to acquire Shares must be disclosed in our annual accounts.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Transfer Agent and Warrant Agent</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Under the articles of association, the Board may resolve, with due observation of the statutory requirements, that the laws of the State of New York apply to the property law aspects of the Shares for as long as the Shares are in book-entry form, as included in the part of the register of shareholders kept by the relevant transfer agent and/or listed on a Regulated Market (as defined in our articles of association).</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We have listed the Shares in book-entry form and such Shares, through the transfer agent, are not certificated. We have appointed Continental Stock Transfer &amp; Trust Company as our agent in New York to maintain our shareholders’ and warrant holders’ register on behalf of the Board and to act as transfer agent and registrar for the Shares. Our Ordinary Shares and the Public Warrants trade on Nasdaq in book-entry form.</w:t>
      </w:r>
    </w:p>
    <w:p>
      <w:pPr>
        <w:pStyle w:val="TextBody"/>
        <w:bidi w:val="0"/>
        <w:spacing w:before="0" w:after="200"/>
        <w:ind w:left="200" w:right="200" w:hanging="0"/>
        <w:jc w:val="left"/>
        <w:rPr>
          <w:rFonts w:ascii="Times New Roman;Times;serif" w:hAnsi="Times New Roman;Times;serif"/>
          <w:b/>
          <w:sz w:val="20"/>
        </w:rPr>
      </w:pPr>
      <w:r>
        <w:rPr>
          <w:rFonts w:ascii="Times New Roman;Times;serif" w:hAnsi="Times New Roman;Times;serif"/>
          <w:b/>
          <w:sz w:val="20"/>
        </w:rPr>
        <w:t>Rule 144</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Pursuant to Rule 144, a person who has beneficially owned restricted Shares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Persons who have beneficially owned restricted Shares for at least six months but who are our affiliates at the time of, or at any time during the three months preceding, a sale would be subject to additional restrictions, by which such person would be entitled to sell within any three- month period only a number of securities that does not exceed the greater of:</w:t>
      </w:r>
    </w:p>
    <w:tbl>
      <w:tblPr>
        <w:tblW w:w="5571" w:type="dxa"/>
        <w:jc w:val="left"/>
        <w:tblInd w:w="200" w:type="dxa"/>
        <w:tblLayout w:type="fixed"/>
        <w:tblCellMar>
          <w:top w:w="28" w:type="dxa"/>
          <w:left w:w="28" w:type="dxa"/>
          <w:bottom w:w="28" w:type="dxa"/>
          <w:right w:w="28" w:type="dxa"/>
        </w:tblCellMar>
      </w:tblPr>
      <w:tblGrid>
        <w:gridCol w:w="124"/>
        <w:gridCol w:w="256"/>
        <w:gridCol w:w="5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of the total number of ordinary shares then outstanding; or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weekly reported trading volume of the ordinary shares during the four calendar weeks preceding the filing of a notice on Form 144 with respect to the sale.</w:t>
            </w:r>
          </w:p>
        </w:tc>
      </w:tr>
    </w:tbl>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Sales by our affiliates under Rule 144 are also limited by manner of sale provisions and notice requirements and to the availability of current public information about us.</w:t>
      </w:r>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Restrictions on the Use of Rule 144 by Shell Companies or Former Shell Companies</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tbl>
      <w:tblPr>
        <w:tblW w:w="8196" w:type="dxa"/>
        <w:jc w:val="left"/>
        <w:tblInd w:w="200" w:type="dxa"/>
        <w:tblLayout w:type="fixed"/>
        <w:tblCellMar>
          <w:top w:w="28" w:type="dxa"/>
          <w:left w:w="28" w:type="dxa"/>
          <w:bottom w:w="28" w:type="dxa"/>
          <w:right w:w="28" w:type="dxa"/>
        </w:tblCellMar>
      </w:tblPr>
      <w:tblGrid>
        <w:gridCol w:w="124"/>
        <w:gridCol w:w="256"/>
        <w:gridCol w:w="7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that was formerly a shell company has ceased to be a shell company;</w:t>
            </w:r>
          </w:p>
        </w:tc>
      </w:tr>
    </w:tbl>
    <w:tbl>
      <w:tblPr>
        <w:tblW w:w="9396" w:type="dxa"/>
        <w:jc w:val="left"/>
        <w:tblInd w:w="20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is subject to the reporting requirements of Section 13 or 15(d) of the Exchange Act;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has filed all Exchange Act reports and materials required to be filed, as applicable, during the preceding 12 months (or such shorter period that the issuer was required to file such reports and materials), other than Current Reports;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year has elapsed from the time that the issuer filed current Form 10 type information with the SEC reflecting its status as an entity that is not a shell company. As a result, our initial shareholders became able to sell their Shares pursuant to Rule 144 without registration one year after the Closing Date.</w:t>
            </w:r>
          </w:p>
        </w:tc>
      </w:tr>
    </w:tbl>
    <w:p>
      <w:pPr>
        <w:pStyle w:val="TextBody"/>
        <w:bidi w:val="0"/>
        <w:spacing w:before="0" w:after="200"/>
        <w:ind w:left="200" w:right="200" w:hanging="0"/>
        <w:jc w:val="left"/>
        <w:rPr>
          <w:rFonts w:ascii="Times New Roman;Times;serif" w:hAnsi="Times New Roman;Times;serif"/>
          <w:b/>
          <w:sz w:val="20"/>
        </w:rPr>
      </w:pPr>
      <w:r>
        <w:rPr>
          <w:rFonts w:ascii="Times New Roman;Times;serif" w:hAnsi="Times New Roman;Times;serif"/>
          <w:b/>
          <w:sz w:val="20"/>
        </w:rPr>
        <w:t>Listing of Securities</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Our Ordinary Shares and the Public Warrants are listed on Nasdaq under the symbols “SHMD” and “SHMD.W,” respectively. Holders of our securities should obtain current market quotations for their securities. There can be no assurance that our Ordinary Shares will remain listed on Nasdaq. If we fail to comply with the Nasdaq listing requirements, our Ordinary Shares and/or warrants could be delisted from Nasdaq. A delisting of our Ordinary Shares and warrants will likely affect the liquidity of our Ordinary Shares and warrants and could inhibit or restrict our ability to raise additional financing.</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51" w:name="CERTAINRELATIONSHIPSANDRELATEDTRANSACTIO"/>
      <w:bookmarkStart w:id="52" w:name="_79c0812f_2cc2_4a65_a02d_4fd79b4924aa"/>
      <w:bookmarkEnd w:id="51"/>
      <w:bookmarkEnd w:id="52"/>
      <w:r>
        <w:rPr>
          <w:rFonts w:ascii="Times New Roman;Times;serif" w:hAnsi="Times New Roman;Times;serif"/>
          <w:b/>
          <w:sz w:val="20"/>
        </w:rPr>
        <w:t>CERTAIN RELATIONSHIPS AND RELATED TRANSACTIONS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Related Party Transactions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See also Note 37 of our consolidated financial statements included elsewhere in this prospectus for a description of certain transactions with related parties required to be disclosed under IFRS.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Christian Schmid and Anette Schmid are holders of private warrants and are major shareholders of the Company, see “</w:t>
      </w:r>
      <w:r>
        <w:rPr>
          <w:rFonts w:ascii="Times New Roman;Times;serif" w:hAnsi="Times New Roman;Times;serif"/>
          <w:i/>
          <w:sz w:val="20"/>
        </w:rPr>
        <w:t>Principal Securityholders</w:t>
      </w:r>
      <w:r>
        <w:rPr>
          <w:rFonts w:ascii="Times New Roman;Times;serif" w:hAnsi="Times New Roman;Times;serif"/>
          <w:sz w:val="20"/>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signed a secured two-tranche term loan facility with a total commitment value of up to €10,000,000 with the lender Black Forest Special Situations I, a Cayman Islands incorporated entity, on December 16, 2025. The lender is backed by a consortium that includes the Company’s chairman of the Board, Sir Ralf Speth, other members of the Board of the Company (Stefan Berger and Annedore Streyl), its CFO Arthur Schuetz, and third-party investment and advisory professionals. The first tranche consisted of €2,500,000, which were paid out to the Company on December 18, 2025. For more information see “</w:t>
      </w:r>
      <w:r>
        <w:rPr>
          <w:rFonts w:ascii="Times New Roman;Times;serif" w:hAnsi="Times New Roman;Times;serif"/>
          <w:i/>
          <w:sz w:val="20"/>
        </w:rPr>
        <w:t>Description of Securities - Share Capital</w:t>
      </w:r>
      <w:r>
        <w:rPr>
          <w:rFonts w:ascii="Times New Roman;Times;serif" w:hAnsi="Times New Roman;Times;serif"/>
          <w:sz w:val="20"/>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At the same time as the signing of the two-tranche term loan facility, the Company received a cash injection of €200,000 from Christiane Schmid, a related party to Anette Schmid and Christian Schmid on December 15, 2025. The agreed interest rate is 5% and the loan has a maturity of 15 months. The €200,000 were injected into the Company alongside the Company’s conclusion of the term loan facility described above.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entered into debt assumption agreements with the Company’s wholly owned subsidiary, Gebr. Schmid GmbH and subsequently entered into separate subscription agreements and set-off agreements with Anette Schmid, Christian Schmid, Christine Schmid and Schmid Grundstücke GmbH &amp; Co KG on April 24, 2026, setting off financial liabilities totaling €30.75 million. Pursuant to the subscription agreements and set-off agreements, on May 23, 2026, the Company issued and sold in private placements an aggregate of 4,958,481 Ordinary Shares to Anette Schmid, Christian Schmid, Christine Schmid and Schmid Grundstücke GmbH &amp; Co KG to offset an aggregate amount of EUR 30.75 million owed to them.</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For a description of our remuneration agreements with members of the Board and senior management, see the section titled “</w:t>
      </w:r>
      <w:r>
        <w:rPr>
          <w:rFonts w:ascii="Times New Roman;Times;serif" w:hAnsi="Times New Roman;Times;serif"/>
          <w:i/>
          <w:sz w:val="20"/>
        </w:rPr>
        <w:t>Management</w:t>
      </w:r>
      <w:r>
        <w:rPr>
          <w:rFonts w:ascii="Times New Roman;Times;serif" w:hAnsi="Times New Roman;Times;serif"/>
          <w:sz w:val="20"/>
        </w:rPr>
        <w: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We have adopted a code of business conduct that prohibits directors and executive officers from engaging in the decision-making process relating to transactions in which such director or officer has a conflict of interest. Consistent with Dutch law, if the Board must approve a transaction in which a director has a conflict of interest, such transaction can only be effected if it has been approved by a majority of the Board (including a majority of independent directors) not otherwise interested in the transaction and such transaction must be fair and reasonable to the Company and on terms not less favorable to the Company than those available from unaffiliated third parties.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53" w:name="PRINCIPALSECURITYHOLDERS_631328"/>
      <w:bookmarkStart w:id="54" w:name="_326c5dc2_efd9_49b3_8cec_0e5b1173221f"/>
      <w:bookmarkEnd w:id="53"/>
      <w:bookmarkEnd w:id="54"/>
      <w:r>
        <w:rPr>
          <w:rFonts w:ascii="Times New Roman;Times;serif" w:hAnsi="Times New Roman;Times;serif"/>
          <w:b/>
          <w:sz w:val="20"/>
        </w:rPr>
        <w:t>PRINCIPAL SECURITYHOLDERS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Major Shareholders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table below sets forth information regarding the beneficial ownership of Schmid Group Shares by:</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known by us to beneficially own more than 5% of our outstanding ordinary shares;</w:t>
            </w:r>
          </w:p>
        </w:tc>
      </w:tr>
    </w:tbl>
    <w:tbl>
      <w:tblPr>
        <w:tblW w:w="2241" w:type="dxa"/>
        <w:jc w:val="left"/>
        <w:tblInd w:w="200" w:type="dxa"/>
        <w:tblLayout w:type="fixed"/>
        <w:tblCellMar>
          <w:top w:w="28" w:type="dxa"/>
          <w:left w:w="28" w:type="dxa"/>
          <w:bottom w:w="28" w:type="dxa"/>
          <w:right w:w="28" w:type="dxa"/>
        </w:tblCellMar>
      </w:tblPr>
      <w:tblGrid>
        <w:gridCol w:w="124"/>
        <w:gridCol w:w="256"/>
        <w:gridCol w:w="1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w:t>
            </w:r>
          </w:p>
        </w:tc>
      </w:tr>
    </w:tbl>
    <w:tbl>
      <w:tblPr>
        <w:tblW w:w="3321" w:type="dxa"/>
        <w:jc w:val="left"/>
        <w:tblInd w:w="200" w:type="dxa"/>
        <w:tblLayout w:type="fixed"/>
        <w:tblCellMar>
          <w:top w:w="28" w:type="dxa"/>
          <w:left w:w="28" w:type="dxa"/>
          <w:bottom w:w="28" w:type="dxa"/>
          <w:right w:w="28" w:type="dxa"/>
        </w:tblCellMar>
      </w:tblPr>
      <w:tblGrid>
        <w:gridCol w:w="124"/>
        <w:gridCol w:w="256"/>
        <w:gridCol w:w="2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executive officers; and</w:t>
            </w:r>
          </w:p>
        </w:tc>
      </w:tr>
    </w:tbl>
    <w:tbl>
      <w:tblPr>
        <w:tblW w:w="4761" w:type="dxa"/>
        <w:jc w:val="left"/>
        <w:tblInd w:w="20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executive officers as a group.</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Beneficial ownership is determined in accordance with the rules and regulations of the SEC. Each person named in the table has sole voting and investment power with respect to all of the ordinary shares shown as beneficially owned by such person, except as otherwise indicated in the table or footnotes below.</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Unless otherwise indicated, we believe that all persons named in the table below have sole voting and investment power with respect to all shares beneficially owned by them. To our knowledge, no shares beneficially owned by any executive officer, director or director nominee have been pledged as security.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business address of each person named below is c/o SCHMID Group., Robert-Bosch-Str. 32-36, 72250 Freudenstadt, Germany.</w:t>
      </w:r>
    </w:p>
    <w:tbl>
      <w:tblPr>
        <w:tblW w:w="8318" w:type="dxa"/>
        <w:jc w:val="left"/>
        <w:tblInd w:w="200" w:type="dxa"/>
        <w:tblLayout w:type="fixed"/>
        <w:tblCellMar>
          <w:top w:w="0" w:type="dxa"/>
          <w:left w:w="0" w:type="dxa"/>
          <w:bottom w:w="0" w:type="dxa"/>
          <w:right w:w="0" w:type="dxa"/>
        </w:tblCellMar>
      </w:tblPr>
      <w:tblGrid>
        <w:gridCol w:w="3046"/>
        <w:gridCol w:w="346"/>
        <w:gridCol w:w="1411"/>
        <w:gridCol w:w="346"/>
        <w:gridCol w:w="811"/>
        <w:gridCol w:w="361"/>
        <w:gridCol w:w="1681"/>
        <w:gridCol w:w="316"/>
      </w:tblGrid>
      <w:tr>
        <w:trPr/>
        <w:tc>
          <w:tcPr>
            <w:tcW w:w="30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3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934210" cy="175260"/>
                      <wp:effectExtent l="0" t="0" r="0" b="0"/>
                      <wp:wrapNone/>
                      <wp:docPr id="64" name="Frame62"/>
                      <a:graphic xmlns:a="http://schemas.openxmlformats.org/drawingml/2006/main">
                        <a:graphicData uri="http://schemas.microsoft.com/office/word/2010/wordprocessingShape">
                          <wps:wsp>
                            <wps:cNvSpPr txBox="1"/>
                            <wps:spPr>
                              <a:xfrm>
                                <a:off x="0" y="0"/>
                                <a:ext cx="193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5"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895985" cy="175260"/>
                      <wp:effectExtent l="0" t="0" r="0" b="0"/>
                      <wp:wrapNone/>
                      <wp:docPr id="66" name="Frame64"/>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67"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14985" cy="175260"/>
                      <wp:effectExtent l="0" t="0" r="0" b="0"/>
                      <wp:wrapNone/>
                      <wp:docPr id="68" name="Frame6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29235" cy="175260"/>
                      <wp:effectExtent l="0" t="0" r="0" b="0"/>
                      <wp:wrapNone/>
                      <wp:docPr id="69" name="Frame6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067435" cy="175260"/>
                      <wp:effectExtent l="0" t="0" r="0" b="0"/>
                      <wp:wrapNone/>
                      <wp:docPr id="70" name="Frame68"/>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0660" cy="175260"/>
                      <wp:effectExtent l="0" t="0" r="0" b="0"/>
                      <wp:wrapNone/>
                      <wp:docPr id="71" name="Frame6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16, 2026</w:t>
            </w:r>
          </w:p>
        </w:tc>
        <w:tc>
          <w:tcPr>
            <w:tcW w:w="316" w:type="dxa"/>
            <w:tcBorders/>
            <w:vAlign w:val="center"/>
          </w:tcPr>
          <w:p>
            <w:pPr>
              <w:pStyle w:val="TableContents"/>
              <w:bidi w:val="0"/>
              <w:spacing w:before="0" w:after="0"/>
              <w:ind w:left="0" w:right="0" w:hanging="0"/>
              <w:jc w:val="center"/>
              <w:rPr/>
            </w:pPr>
            <w:r>
              <w:rPr/>
              <w:t> </w:t>
            </w:r>
          </w:p>
        </w:tc>
      </w:tr>
      <w:tr>
        <w:trPr/>
        <w:tc>
          <w:tcPr>
            <w:tcW w:w="3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Voting</w:t>
            </w:r>
          </w:p>
        </w:tc>
        <w:tc>
          <w:tcPr>
            <w:tcW w:w="361"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Share Ownership</w:t>
            </w:r>
          </w:p>
        </w:tc>
        <w:tc>
          <w:tcPr>
            <w:tcW w:w="316" w:type="dxa"/>
            <w:tcBorders/>
            <w:vAlign w:val="center"/>
          </w:tcPr>
          <w:p>
            <w:pPr>
              <w:pStyle w:val="TableContents"/>
              <w:bidi w:val="0"/>
              <w:spacing w:before="0" w:after="0"/>
              <w:ind w:left="0" w:right="0" w:hanging="0"/>
              <w:jc w:val="center"/>
              <w:rPr/>
            </w:pPr>
            <w:r>
              <w:rPr/>
              <w:t> </w:t>
            </w:r>
          </w:p>
        </w:tc>
      </w:tr>
      <w:tr>
        <w:trPr/>
        <w:tc>
          <w:tcPr>
            <w:tcW w:w="304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Beneficial Owner</w:t>
            </w:r>
          </w:p>
        </w:tc>
        <w:tc>
          <w:tcPr>
            <w:tcW w:w="346" w:type="dxa"/>
            <w:tcBorders/>
            <w:vAlign w:val="center"/>
          </w:tcPr>
          <w:p>
            <w:pPr>
              <w:pStyle w:val="TableContents"/>
              <w:bidi w:val="0"/>
              <w:spacing w:before="0" w:after="0"/>
              <w:ind w:left="0" w:right="0" w:hanging="0"/>
              <w:jc w:val="left"/>
              <w:rPr/>
            </w:pPr>
            <w:r>
              <w:rPr/>
              <w:t>  ​ ​ ​</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46" w:type="dxa"/>
            <w:tcBorders/>
            <w:vAlign w:val="center"/>
          </w:tcPr>
          <w:p>
            <w:pPr>
              <w:pStyle w:val="TableContents"/>
              <w:bidi w:val="0"/>
              <w:spacing w:before="0" w:after="0"/>
              <w:ind w:left="0" w:right="0" w:hanging="0"/>
              <w:jc w:val="left"/>
              <w:rPr/>
            </w:pPr>
            <w:r>
              <w:rPr/>
              <w:t>  ​ ​ ​</w:t>
            </w:r>
          </w:p>
        </w:tc>
        <w:tc>
          <w:tcPr>
            <w:tcW w:w="81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Power</w:t>
            </w:r>
            <w:r>
              <w:rPr>
                <w:rFonts w:ascii="Times New Roman;Times;serif" w:hAnsi="Times New Roman;Times;serif"/>
                <w:b/>
                <w:sz w:val="12"/>
              </w:rPr>
              <w:t>(5)</w:t>
            </w:r>
          </w:p>
        </w:tc>
        <w:tc>
          <w:tcPr>
            <w:tcW w:w="361" w:type="dxa"/>
            <w:tcBorders/>
            <w:vAlign w:val="center"/>
          </w:tcPr>
          <w:p>
            <w:pPr>
              <w:pStyle w:val="TableContents"/>
              <w:bidi w:val="0"/>
              <w:spacing w:before="0" w:after="0"/>
              <w:ind w:left="0" w:right="0" w:hanging="0"/>
              <w:jc w:val="left"/>
              <w:rPr/>
            </w:pPr>
            <w:r>
              <w:rPr/>
              <w:t>  ​ ​ ​</w:t>
            </w:r>
          </w:p>
        </w:tc>
        <w:tc>
          <w:tcPr>
            <w:tcW w:w="168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(Disposition Power)</w:t>
            </w:r>
            <w:r>
              <w:rPr>
                <w:rFonts w:ascii="Times New Roman;Times;serif" w:hAnsi="Times New Roman;Times;serif"/>
                <w:b/>
                <w:sz w:val="12"/>
              </w:rPr>
              <w:t>(5)</w:t>
            </w:r>
          </w:p>
        </w:tc>
        <w:tc>
          <w:tcPr>
            <w:tcW w:w="316" w:type="dxa"/>
            <w:tcBorders/>
            <w:vAlign w:val="center"/>
          </w:tcPr>
          <w:p>
            <w:pPr>
              <w:pStyle w:val="TableContents"/>
              <w:bidi w:val="0"/>
              <w:spacing w:before="0" w:after="0"/>
              <w:ind w:left="0" w:right="0" w:hanging="0"/>
              <w:jc w:val="left"/>
              <w:rPr/>
            </w:pPr>
            <w:r>
              <w:rPr/>
              <w:t>​</w:t>
            </w:r>
          </w:p>
        </w:tc>
      </w:tr>
      <w:tr>
        <w:trPr/>
        <w:tc>
          <w:tcPr>
            <w:tcW w:w="3046" w:type="dxa"/>
            <w:tcBorders>
              <w:top w:val="single" w:sz="2" w:space="0" w:color="000000"/>
            </w:tcBorders>
            <w:shd w:fill="CCEEFF" w:val="clear"/>
            <w:tcMar>
              <w:top w:w="28" w:type="dxa"/>
            </w:tcM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Executive Officers and Directors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41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16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046"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Christian Schmid</w:t>
            </w:r>
            <w:r>
              <w:rPr>
                <w:rFonts w:ascii="Times New Roman;Times;serif" w:hAnsi="Times New Roman;Times;serif"/>
                <w:sz w:val="15"/>
              </w:rPr>
              <w:t>(2)(3)</w:t>
            </w:r>
          </w:p>
        </w:tc>
        <w:tc>
          <w:tcPr>
            <w:tcW w:w="34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16,117,337</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46"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Anette Schmid</w:t>
            </w:r>
            <w:r>
              <w:rPr>
                <w:rFonts w:ascii="Times New Roman;Times;serif" w:hAnsi="Times New Roman;Times;serif"/>
                <w:sz w:val="15"/>
              </w:rPr>
              <w:t>(2)(3)</w:t>
            </w:r>
          </w:p>
        </w:tc>
        <w:tc>
          <w:tcPr>
            <w:tcW w:w="34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14,740,556</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46"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Prof. Sir Ralf Speth</w:t>
            </w:r>
            <w:r>
              <w:rPr>
                <w:rFonts w:ascii="Times New Roman;Times;serif" w:hAnsi="Times New Roman;Times;serif"/>
                <w:sz w:val="15"/>
              </w:rPr>
              <w:t>(4)</w:t>
            </w:r>
          </w:p>
        </w:tc>
        <w:tc>
          <w:tcPr>
            <w:tcW w:w="34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185,000</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46"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Dr. Stefan Berger</w:t>
            </w:r>
            <w:r>
              <w:rPr>
                <w:rFonts w:ascii="Times New Roman;Times;serif" w:hAnsi="Times New Roman;Times;serif"/>
                <w:sz w:val="15"/>
              </w:rPr>
              <w:t>(4)</w:t>
            </w:r>
          </w:p>
        </w:tc>
        <w:tc>
          <w:tcPr>
            <w:tcW w:w="34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177,084</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Boo-Keun Yoon</w:t>
            </w:r>
          </w:p>
        </w:tc>
        <w:tc>
          <w:tcPr>
            <w:tcW w:w="34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17,500</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5</w:t>
            </w:r>
            <w:r>
              <w:rPr>
                <w:rFonts w:ascii="Times New Roman;Times;serif" w:hAnsi="Times New Roman;Times;serif"/>
                <w:b/>
                <w:i/>
                <w:sz w:val="20"/>
              </w:rPr>
              <w:t>% and Greater Shareholders</w:t>
            </w:r>
          </w:p>
        </w:tc>
        <w:tc>
          <w:tcPr>
            <w:tcW w:w="34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168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046"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Christian Schmid</w:t>
            </w:r>
            <w:r>
              <w:rPr>
                <w:rFonts w:ascii="Times New Roman;Times;serif" w:hAnsi="Times New Roman;Times;serif"/>
                <w:sz w:val="15"/>
              </w:rPr>
              <w:t>(2)(3)</w:t>
            </w:r>
          </w:p>
        </w:tc>
        <w:tc>
          <w:tcPr>
            <w:tcW w:w="34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16,117,337</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46"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Anette Schmid</w:t>
            </w:r>
            <w:r>
              <w:rPr>
                <w:rFonts w:ascii="Times New Roman;Times;serif" w:hAnsi="Times New Roman;Times;serif"/>
                <w:sz w:val="15"/>
              </w:rPr>
              <w:t>(2)(3)</w:t>
            </w:r>
          </w:p>
        </w:tc>
        <w:tc>
          <w:tcPr>
            <w:tcW w:w="34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14,740,556</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46"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XJ Harbour HK Limited</w:t>
            </w:r>
            <w:r>
              <w:rPr>
                <w:rFonts w:ascii="Times New Roman;Times;serif" w:hAnsi="Times New Roman;Times;serif"/>
                <w:sz w:val="15"/>
              </w:rPr>
              <w:t>(6)</w:t>
            </w:r>
          </w:p>
        </w:tc>
        <w:tc>
          <w:tcPr>
            <w:tcW w:w="34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10,162,575</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7622" w:type="dxa"/>
        <w:jc w:val="left"/>
        <w:tblInd w:w="200" w:type="dxa"/>
        <w:tblLayout w:type="fixed"/>
        <w:tblCellMar>
          <w:top w:w="0" w:type="dxa"/>
          <w:left w:w="0" w:type="dxa"/>
          <w:bottom w:w="0" w:type="dxa"/>
          <w:right w:w="0" w:type="dxa"/>
        </w:tblCellMar>
      </w:tblPr>
      <w:tblGrid>
        <w:gridCol w:w="346"/>
        <w:gridCol w:w="727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2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Annedore Streyl does not own any shares as of the date of this registration statement.</w:t>
            </w:r>
          </w:p>
        </w:tc>
      </w:tr>
    </w:tbl>
    <w:tbl>
      <w:tblPr>
        <w:tblW w:w="9805" w:type="dxa"/>
        <w:jc w:val="left"/>
        <w:tblInd w:w="200" w:type="dxa"/>
        <w:tblLayout w:type="fixed"/>
        <w:tblCellMar>
          <w:top w:w="0" w:type="dxa"/>
          <w:left w:w="0" w:type="dxa"/>
          <w:bottom w:w="0" w:type="dxa"/>
          <w:right w:w="0" w:type="dxa"/>
        </w:tblCellMar>
      </w:tblPr>
      <w:tblGrid>
        <w:gridCol w:w="290"/>
        <w:gridCol w:w="951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Does not include 5,000,000 earn-out shares which existed at the closing of the Business Combination, but for which Christian Schmid and Anette Schmid do not have the voting power or disposition power until USD 15.00 per share (for 2,500,000 shares), respectively, USD 18.00 per share (for the remainder of 2,500,000 shares) are reached. Christian Schmid and Anette Schmid also hold 1,000,000 private warrants each, which can be converted into shares of the Company on a 1:1 basis or converted on a cashless basis. In addition, Christian Schmid and Anette Schmid are entitled to receive an additional 1,000,000 private warrants from Pegasus Digital Mobility Sponsor LLC within nine (9) months of the closing of the Business in accordance with the warranty agreement concluded on April 29, 2024, however, such transfer by Pegasus Digital Mobility Sponsor LLC to Christian Schmid and Anette Schmid has not yet occurred as of the date of this registration statement. 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291"/>
        <w:gridCol w:w="9514"/>
      </w:tblGrid>
      <w:tr>
        <w:trPr/>
        <w:tc>
          <w:tcPr>
            <w:tcW w:w="2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51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Christian Schmid and Anette Schmid each hold their shares and warrants in the Company through holding companies (C. Schmid Beteiligung GmbH &amp; Co. KG and Schmid Aequitas GmbH &amp; Co. KG, respectively). Prior to May 14, 2026 Christian Schmid and Anette Schmid held certain shares individually and some as beneficiaries of the Community of Heirs after Dieter C. Schmid (</w:t>
            </w:r>
            <w:r>
              <w:rPr>
                <w:rFonts w:ascii="Times New Roman;Times;serif" w:hAnsi="Times New Roman;Times;serif"/>
                <w:b w:val="false"/>
                <w:i/>
                <w:sz w:val="20"/>
              </w:rPr>
              <w:t>Erbengemeinschaft</w:t>
            </w:r>
            <w:r>
              <w:rPr>
                <w:rFonts w:ascii="Times New Roman;Times;serif" w:hAnsi="Times New Roman;Times;serif"/>
                <w:b w:val="false"/>
                <w:i w:val="false"/>
                <w:caps w:val="false"/>
                <w:smallCaps w:val="false"/>
                <w:sz w:val="20"/>
              </w:rPr>
              <w:t>), which has now been dissolved. They have voted their shares jointly in the past and are expected to continue to do so. Combined they hold 30,857,893 Ordinary shares and 5,000,000 non-voting earn-out shares, amounting to 50.86% of the voting power and share ownership. Following the dissolution of the Community of Heirs on May 14, 2026, the shares previously held by it have been allocated individually to Christian Schmid and Anette Schmid and are now held through their respective holding entities (C. Schmid Beteiligung GmbH &amp; Co. KG and Schmid Aequitas GmbH &amp; Co. KG), each of whom has sole voting and dispositive power over the shares held by their respective holding entity.</w:t>
            </w:r>
          </w:p>
        </w:tc>
      </w:tr>
    </w:tbl>
    <w:tbl>
      <w:tblPr>
        <w:tblW w:w="9805" w:type="dxa"/>
        <w:jc w:val="left"/>
        <w:tblInd w:w="200" w:type="dxa"/>
        <w:tblLayout w:type="fixed"/>
        <w:tblCellMar>
          <w:top w:w="0" w:type="dxa"/>
          <w:left w:w="0" w:type="dxa"/>
          <w:bottom w:w="0" w:type="dxa"/>
          <w:right w:w="0" w:type="dxa"/>
        </w:tblCellMar>
      </w:tblPr>
      <w:tblGrid>
        <w:gridCol w:w="298"/>
        <w:gridCol w:w="95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2024, Dr. Stefan Berger, Prof. Sir. Ralf Speth and Jeremey Mistry entered into a warrant and share transfer agreement with Pegasus Digital Mobility Sponsor LLC in which they agreed to transfer 2,000,000 private warrants to Pegasus Digital Mobility Sponsor LLC in exchange of 200,000 shares in the Company of which Jeremey Mistry was allocated 100,000 shares and Dr. Stefan Berger was allocated the other 100,000 shares. No shares were allocated to Prof. Sir Ralf Speth under this warrant and share transfer agreement.</w:t>
            </w:r>
          </w:p>
        </w:tc>
      </w:tr>
    </w:tbl>
    <w:tbl>
      <w:tblPr>
        <w:tblW w:w="9805" w:type="dxa"/>
        <w:jc w:val="left"/>
        <w:tblInd w:w="200" w:type="dxa"/>
        <w:tblLayout w:type="fixed"/>
        <w:tblCellMar>
          <w:top w:w="0" w:type="dxa"/>
          <w:left w:w="0" w:type="dxa"/>
          <w:bottom w:w="0" w:type="dxa"/>
          <w:right w:w="0" w:type="dxa"/>
        </w:tblCellMar>
      </w:tblPr>
      <w:tblGrid>
        <w:gridCol w:w="297"/>
        <w:gridCol w:w="9508"/>
      </w:tblGrid>
      <w:tr>
        <w:trPr/>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5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power calculation and share ownership (disposition power) calculation is based on the total number of shares outstanding on the date of this registration statement, which is 60,675,726 shares (i.e. 65,675,726 shares outstanding minus the 5,000,000 earn-out shares for which Christian Schmid and Anette Schmid do not hold any voting power or disposition power as of the date of this registration statement). In addition, the calculations do not account for any warrants (which can be converted into shares on a 1:1 basis or on a cashless basis in the future).</w:t>
            </w:r>
          </w:p>
        </w:tc>
      </w:tr>
    </w:tbl>
    <w:tbl>
      <w:tblPr>
        <w:tblW w:w="6857" w:type="dxa"/>
        <w:jc w:val="left"/>
        <w:tblInd w:w="200" w:type="dxa"/>
        <w:tblLayout w:type="fixed"/>
        <w:tblCellMar>
          <w:top w:w="0" w:type="dxa"/>
          <w:left w:w="0" w:type="dxa"/>
          <w:bottom w:w="0" w:type="dxa"/>
          <w:right w:w="0" w:type="dxa"/>
        </w:tblCellMar>
      </w:tblPr>
      <w:tblGrid>
        <w:gridCol w:w="346"/>
        <w:gridCol w:w="651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6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Schedule 13D filed by XJ Harbour HK Limited on May 12, 2026.</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2028 Convertible Notes are subject to a 4.99% beneficial ownership limitation, which restricts conversion to the extent that, after giving effect to such conversion, the holder would beneficially own more than 4.99% of our outstanding Ordinary Shares, as determined in accordance with Section 13(d) of the Exchange Act and the rules promulgated thereunder.</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2025 conversion right under the Term Loan Facility is not exercisable until 6 months after its completion in December 2025 and is thus not included in the above beneficial ownership table, even though officers and directors of the Company are beneficial owners of Black Forest Special Situations I. For more information, see “</w:t>
      </w:r>
      <w:r>
        <w:rPr>
          <w:rFonts w:ascii="Times New Roman;Times;serif" w:hAnsi="Times New Roman;Times;serif"/>
          <w:i/>
          <w:sz w:val="20"/>
        </w:rPr>
        <w:t>Item 10.C Material Contracts</w:t>
      </w:r>
      <w:r>
        <w:rPr>
          <w:rFonts w:ascii="Times New Roman;Times;serif" w:hAnsi="Times New Roman;Times;serif"/>
          <w:sz w:val="20"/>
        </w:rPr>
        <w:t>”. The 2025 share options were granted to Black Forest Special Situations I, which would own less than 5% of the outstanding capital if it were to exercise them.</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Due to the fact that some of our shares are held by brokers and other nominees, the number of our shares held by, and the number of, beneficial holders with addresses in the U.S. is not fully ascertainable. As of July 8, 2026, according to the records of our transfer agent Continental Stock Transfer &amp; Trust Company, 40,528,657 shares were held through Cede &amp; Co, the nominee of The Depository Trust Company, in whose name all shares held in “street name” are held in the U.S. Overall. As of the date of this prospectus, the Company is aware of the following shares being held by non-US persons: all shares held by Christian Schmid and Anette Schmid (including 5,000,000 earn out shares) and all shares held by XJ Harbour HK Limited. Thus the majority of all outstanding shares are held by non-US persons. The remainder of the shares are held by a mix of U.S. and non-U.S. persons.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55" w:name="SELLINGSECURITYHOLDERS_281592"/>
      <w:bookmarkStart w:id="56" w:name="_ae502ce0_8540_4c9e_862f_afb219c10f4d"/>
      <w:bookmarkEnd w:id="55"/>
      <w:bookmarkEnd w:id="56"/>
      <w:r>
        <w:rPr>
          <w:rFonts w:ascii="Times New Roman;Times;serif" w:hAnsi="Times New Roman;Times;serif"/>
          <w:b/>
          <w:sz w:val="20"/>
        </w:rPr>
        <w:t>SELLING SECURITYHOLDERS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Ordinary Shares being offered by the selling securityholders are those issuable to the selling securityholders upon conversion of the notes. We are registering the Ordinary Shares in order to permit the selling securityholders to offer the shares for resale from time to time. Except for the ownership of the notes, Ordinary Shares issued pursuant to the Securities Purchase Agreement, the selling securityholders have not had any material relationship with us within the past three years.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table below lists the selling securityholders and other information regarding the beneficial ownership (as determined under Section 13(d) of the Securities Exchange Act of 1934, as amended, and the rules and regulations thereunder) of the Ordinary Shares held by each of the selling securityholders. The second column lists the number of Ordinary Shares beneficially owned by the selling securityholders, based on their respective ownership of Ordinary Shares, notes, as of July 15, 2026, assuming conversion of the notes held by each such selling shareholder on that date but taking account of any limitations on conversion and exercise set forth therein.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third column lists the Ordinary Shares being offered by this prospectus by the selling securityholders and does not take in account any limitations on conversion of the notes set forth therein.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accordance with the terms of a registration rights agreement with the holders of the Ordinary Shares, notes, this prospectus generally covers the resale of the sum of (i) the Ordinary Shares currently held by the holders and (ii) the maximum number of Ordinary Shares issued or issuable pursuant to the Notes, including payment of interest on the notes through the maturity date of the notes, assuming such interest is paid-in-kind to the maximum extent permissible in accordance with the indenture, and in each case, determined as if the outstanding notes (including interest on the notes through the maturity date of the notes) were converted or exercised (as the case may be) in full (without regard to any limitations on conversion or exercise contained therein solely for the purpose of such calculation) at a conversion price or exercise price (as the case may be) calculated as of July 15, 2026. Because the conversion price of the notes, the number of shares that will actually be issued may be more or less than the number of shares being offered by this prospectus. The fourth column assumes the sale of all of the shares offered by the selling securityholders pursuant to this prospectus.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Under the terms of the notes, a selling shareholder may not convert the notes to the extent (but only to the extent) such selling shareholder or any of its affiliates would beneficially own a number of our Ordinary Shares which would exceed 4.99% of the outstanding shares of the Company. The number of shares in the second column reflects these limitations. The selling securityholders may sell all, some or none of their shares in this offering. See “</w:t>
      </w:r>
      <w:r>
        <w:rPr>
          <w:rFonts w:ascii="Times New Roman;Times;serif" w:hAnsi="Times New Roman;Times;serif"/>
          <w:i/>
          <w:sz w:val="20"/>
        </w:rPr>
        <w:t>Plan of Distribution</w:t>
      </w:r>
      <w:r>
        <w:rPr>
          <w:rFonts w:ascii="Times New Roman;Times;serif" w:hAnsi="Times New Roman;Times;serif"/>
          <w:sz w:val="20"/>
        </w:rPr>
        <w:t>.”</w:t>
      </w:r>
    </w:p>
    <w:tbl>
      <w:tblPr>
        <w:tblW w:w="9805" w:type="dxa"/>
        <w:jc w:val="left"/>
        <w:tblInd w:w="200" w:type="dxa"/>
        <w:tblLayout w:type="fixed"/>
        <w:tblCellMar>
          <w:top w:w="0" w:type="dxa"/>
          <w:left w:w="0" w:type="dxa"/>
          <w:bottom w:w="0" w:type="dxa"/>
          <w:right w:w="0" w:type="dxa"/>
        </w:tblCellMar>
      </w:tblPr>
      <w:tblGrid>
        <w:gridCol w:w="5493"/>
        <w:gridCol w:w="346"/>
        <w:gridCol w:w="1051"/>
        <w:gridCol w:w="346"/>
        <w:gridCol w:w="991"/>
        <w:gridCol w:w="346"/>
        <w:gridCol w:w="931"/>
        <w:gridCol w:w="301"/>
      </w:tblGrid>
      <w:tr>
        <w:trPr/>
        <w:tc>
          <w:tcPr>
            <w:tcW w:w="549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ind w:left="0" w:right="0" w:hanging="0"/>
              <w:jc w:val="left"/>
              <w:rPr>
                <w:sz w:val="4"/>
                <w:szCs w:val="4"/>
              </w:rPr>
            </w:pPr>
            <w:r>
              <w:rPr>
                <w:sz w:val="4"/>
                <w:szCs w:val="4"/>
              </w:rPr>
            </w:r>
          </w:p>
        </w:tc>
      </w:tr>
      <w:tr>
        <w:trPr/>
        <w:tc>
          <w:tcPr>
            <w:tcW w:w="54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01" w:type="dxa"/>
            <w:tcBorders/>
            <w:vAlign w:val="center"/>
          </w:tcPr>
          <w:p>
            <w:pPr>
              <w:pStyle w:val="TableContents"/>
              <w:bidi w:val="0"/>
              <w:spacing w:before="0" w:after="0"/>
              <w:ind w:left="0" w:right="0" w:hanging="0"/>
              <w:jc w:val="center"/>
              <w:rPr/>
            </w:pPr>
            <w:r>
              <w:rPr/>
              <w:t>​</w:t>
            </w:r>
          </w:p>
        </w:tc>
      </w:tr>
      <w:tr>
        <w:trPr/>
        <w:tc>
          <w:tcPr>
            <w:tcW w:w="54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01" w:type="dxa"/>
            <w:tcBorders/>
            <w:vAlign w:val="center"/>
          </w:tcPr>
          <w:p>
            <w:pPr>
              <w:pStyle w:val="TableContents"/>
              <w:bidi w:val="0"/>
              <w:spacing w:before="0" w:after="0"/>
              <w:ind w:left="0" w:right="0" w:hanging="0"/>
              <w:jc w:val="center"/>
              <w:rPr/>
            </w:pPr>
            <w:r>
              <w:rPr/>
              <w:t>​</w:t>
            </w:r>
          </w:p>
        </w:tc>
      </w:tr>
      <w:tr>
        <w:trPr/>
        <w:tc>
          <w:tcPr>
            <w:tcW w:w="54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01" w:type="dxa"/>
            <w:tcBorders/>
            <w:vAlign w:val="center"/>
          </w:tcPr>
          <w:p>
            <w:pPr>
              <w:pStyle w:val="TableContents"/>
              <w:bidi w:val="0"/>
              <w:spacing w:before="0" w:after="0"/>
              <w:ind w:left="0" w:right="0" w:hanging="0"/>
              <w:jc w:val="center"/>
              <w:rPr/>
            </w:pPr>
            <w:r>
              <w:rPr/>
              <w:t>​</w:t>
            </w:r>
          </w:p>
        </w:tc>
      </w:tr>
      <w:tr>
        <w:trPr/>
        <w:tc>
          <w:tcPr>
            <w:tcW w:w="54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to be</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01" w:type="dxa"/>
            <w:tcBorders/>
            <w:vAlign w:val="center"/>
          </w:tcPr>
          <w:p>
            <w:pPr>
              <w:pStyle w:val="TableContents"/>
              <w:bidi w:val="0"/>
              <w:spacing w:before="0" w:after="0"/>
              <w:ind w:left="0" w:right="0" w:hanging="0"/>
              <w:jc w:val="center"/>
              <w:rPr/>
            </w:pPr>
            <w:r>
              <w:rPr/>
              <w:t>​</w:t>
            </w:r>
          </w:p>
        </w:tc>
      </w:tr>
      <w:tr>
        <w:trPr/>
        <w:tc>
          <w:tcPr>
            <w:tcW w:w="54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Sold</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01" w:type="dxa"/>
            <w:tcBorders/>
            <w:vAlign w:val="center"/>
          </w:tcPr>
          <w:p>
            <w:pPr>
              <w:pStyle w:val="TableContents"/>
              <w:bidi w:val="0"/>
              <w:spacing w:before="0" w:after="0"/>
              <w:ind w:left="0" w:right="0" w:hanging="0"/>
              <w:jc w:val="center"/>
              <w:rPr/>
            </w:pPr>
            <w:r>
              <w:rPr/>
              <w:t>​</w:t>
            </w:r>
          </w:p>
        </w:tc>
      </w:tr>
      <w:tr>
        <w:trPr/>
        <w:tc>
          <w:tcPr>
            <w:tcW w:w="54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Owned Prior</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Pursuant to</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Owned</w:t>
            </w:r>
          </w:p>
        </w:tc>
        <w:tc>
          <w:tcPr>
            <w:tcW w:w="301" w:type="dxa"/>
            <w:tcBorders/>
            <w:vAlign w:val="center"/>
          </w:tcPr>
          <w:p>
            <w:pPr>
              <w:pStyle w:val="TableContents"/>
              <w:bidi w:val="0"/>
              <w:spacing w:before="0" w:after="0"/>
              <w:ind w:left="0" w:right="0" w:hanging="0"/>
              <w:jc w:val="center"/>
              <w:rPr/>
            </w:pPr>
            <w:r>
              <w:rPr/>
              <w:t>​</w:t>
            </w:r>
          </w:p>
        </w:tc>
      </w:tr>
      <w:tr>
        <w:trPr/>
        <w:tc>
          <w:tcPr>
            <w:tcW w:w="54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this</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After</w:t>
            </w:r>
          </w:p>
        </w:tc>
        <w:tc>
          <w:tcPr>
            <w:tcW w:w="301" w:type="dxa"/>
            <w:tcBorders/>
            <w:vAlign w:val="center"/>
          </w:tcPr>
          <w:p>
            <w:pPr>
              <w:pStyle w:val="TableContents"/>
              <w:bidi w:val="0"/>
              <w:spacing w:before="0" w:after="0"/>
              <w:ind w:left="0" w:right="0" w:hanging="0"/>
              <w:jc w:val="center"/>
              <w:rPr/>
            </w:pPr>
            <w:r>
              <w:rPr/>
              <w:t>​</w:t>
            </w:r>
          </w:p>
        </w:tc>
      </w:tr>
      <w:tr>
        <w:trPr/>
        <w:tc>
          <w:tcPr>
            <w:tcW w:w="549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of Selling Shareholder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Offering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Prospectus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Offering</w:t>
            </w:r>
          </w:p>
        </w:tc>
        <w:tc>
          <w:tcPr>
            <w:tcW w:w="301" w:type="dxa"/>
            <w:tcBorders/>
            <w:vAlign w:val="center"/>
          </w:tcPr>
          <w:p>
            <w:pPr>
              <w:pStyle w:val="TableContents"/>
              <w:bidi w:val="0"/>
              <w:spacing w:before="0" w:after="0"/>
              <w:ind w:left="0" w:right="0" w:hanging="0"/>
              <w:jc w:val="center"/>
              <w:rPr/>
            </w:pPr>
            <w:r>
              <w:rPr/>
              <w:t>​</w:t>
            </w:r>
          </w:p>
        </w:tc>
      </w:tr>
      <w:tr>
        <w:trPr/>
        <w:tc>
          <w:tcPr>
            <w:tcW w:w="5493"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Linden Capital L.P.</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3,242,788</w:t>
            </w:r>
          </w:p>
        </w:tc>
        <w:tc>
          <w:tcPr>
            <w:tcW w:w="3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w:t>
            </w:r>
          </w:p>
        </w:tc>
        <w:tc>
          <w:tcPr>
            <w:tcW w:w="93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3,242,788</w:t>
            </w:r>
          </w:p>
        </w:tc>
        <w:tc>
          <w:tcPr>
            <w:tcW w:w="301"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w:t>
            </w:r>
          </w:p>
        </w:tc>
      </w:tr>
      <w:tr>
        <w:trPr/>
        <w:tc>
          <w:tcPr>
            <w:tcW w:w="5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Crown Managed Accounts SPC, acting for and on behalf of Crown/Linden Segregated Portfolio</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78,208</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78,208</w:t>
            </w:r>
          </w:p>
        </w:tc>
        <w:tc>
          <w:tcPr>
            <w:tcW w:w="301" w:type="dxa"/>
            <w:tcBorders/>
            <w:vAlign w:val="center"/>
          </w:tcPr>
          <w:p>
            <w:pPr>
              <w:pStyle w:val="TableContents"/>
              <w:bidi w:val="0"/>
              <w:spacing w:before="0" w:after="0"/>
              <w:ind w:left="0" w:right="0" w:hanging="0"/>
              <w:jc w:val="right"/>
              <w:rPr/>
            </w:pPr>
            <w:r>
              <w:rPr/>
              <w:t>​</w:t>
            </w:r>
          </w:p>
        </w:tc>
      </w:tr>
      <w:tr>
        <w:trPr/>
        <w:tc>
          <w:tcPr>
            <w:tcW w:w="549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PCH Manager Fund, SPC, on behalf of and for the account of Segregated Portfolio 214</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96,694</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96,694</w:t>
            </w:r>
          </w:p>
        </w:tc>
        <w:tc>
          <w:tcPr>
            <w:tcW w:w="301" w:type="dxa"/>
            <w:tcBorders/>
            <w:shd w:fill="CCEEFF" w:val="clear"/>
            <w:vAlign w:val="center"/>
          </w:tcPr>
          <w:p>
            <w:pPr>
              <w:pStyle w:val="TableContents"/>
              <w:bidi w:val="0"/>
              <w:spacing w:before="0" w:after="0"/>
              <w:ind w:left="0" w:right="60" w:hanging="0"/>
              <w:jc w:val="right"/>
              <w:rPr/>
            </w:pPr>
            <w:r>
              <w:rPr/>
              <w:t>​</w:t>
            </w:r>
          </w:p>
        </w:tc>
      </w:tr>
    </w:tbl>
    <w:tbl>
      <w:tblPr>
        <w:tblW w:w="9805" w:type="dxa"/>
        <w:jc w:val="left"/>
        <w:tblInd w:w="200" w:type="dxa"/>
        <w:tblLayout w:type="fixed"/>
        <w:tblCellMar>
          <w:top w:w="0" w:type="dxa"/>
          <w:left w:w="0" w:type="dxa"/>
          <w:bottom w:w="0" w:type="dxa"/>
          <w:right w:w="0" w:type="dxa"/>
        </w:tblCellMar>
      </w:tblPr>
      <w:tblGrid>
        <w:gridCol w:w="252"/>
        <w:gridCol w:w="9553"/>
      </w:tblGrid>
      <w:tr>
        <w:trPr/>
        <w:tc>
          <w:tcPr>
            <w:tcW w:w="252" w:type="dxa"/>
            <w:tcBorders/>
            <w:vAlign w:val="center"/>
          </w:tcPr>
          <w:p>
            <w:pPr>
              <w:pStyle w:val="TableContents"/>
              <w:bidi w:val="0"/>
              <w:spacing w:lineRule="auto" w:line="240" w:before="0" w:after="0"/>
              <w:jc w:val="left"/>
              <w:rPr>
                <w:rFonts w:ascii="Times New Roman;Times;serif" w:hAnsi="Times New Roman;Times;serif"/>
                <w:sz w:val="15"/>
              </w:rPr>
            </w:pPr>
            <w:r>
              <w:rPr>
                <w:rFonts w:ascii="Times New Roman;Times;serif" w:hAnsi="Times New Roman;Times;serif"/>
                <w:sz w:val="15"/>
              </w:rPr>
              <w:t>(1)</w:t>
            </w:r>
          </w:p>
        </w:tc>
        <w:tc>
          <w:tcPr>
            <w:tcW w:w="955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Pursuant to the terms of the 2029 Convertible Notes, selling shareholder may not convert the notes to the extent which would exceed 4.99% of the outstanding shares of the Company. Absent this limitation, the number of Ordinary Shares beneficially owned by Linden Capital L.P. would be 4,564,996 Ordinary Shares, representing approximately 7.02% of the Ordinary Shares outstanding as of that date.</w:t>
            </w:r>
          </w:p>
        </w:tc>
      </w:tr>
    </w:tbl>
    <w:p>
      <w:pPr>
        <w:pStyle w:val="TextBody"/>
        <w:bidi w:val="0"/>
        <w:spacing w:before="0" w:after="0"/>
        <w:ind w:left="200" w:right="200" w:hanging="0"/>
        <w:jc w:val="left"/>
        <w:rPr/>
      </w:pPr>
      <w:r>
        <w:rPr/>
        <w:t>​</w:t>
      </w:r>
    </w:p>
    <w:p>
      <w:pPr>
        <w:pStyle w:val="TextBody"/>
        <w:pBdr/>
        <w:bidi w:val="0"/>
        <w:spacing w:before="0" w:after="240"/>
        <w:ind w:left="200" w:right="200" w:hanging="36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57" w:name="TAXATION_517921"/>
      <w:bookmarkStart w:id="58" w:name="_af9c856f_bb42_48b8_8909_3291ec800b19"/>
      <w:bookmarkEnd w:id="57"/>
      <w:bookmarkEnd w:id="58"/>
      <w:r>
        <w:rPr>
          <w:rFonts w:ascii="Times New Roman;Times;serif" w:hAnsi="Times New Roman;Times;serif"/>
          <w:b/>
          <w:sz w:val="20"/>
        </w:rPr>
        <w:t>TAXATION</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Certain Material U.S. Federal Income Tax Considerations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This section describes certain material U.S. federal income tax consequences to a U.S. holder (as defined below) with respect to the ownership and disposition of the Ordinary Shares and the Public Warrants (collectively, the “</w:t>
      </w:r>
      <w:r>
        <w:rPr>
          <w:rFonts w:ascii="Times New Roman;Times;serif" w:hAnsi="Times New Roman;Times;serif"/>
          <w:b/>
          <w:sz w:val="20"/>
        </w:rPr>
        <w:t>Schmid securities</w:t>
      </w:r>
      <w:r>
        <w:rPr>
          <w:rFonts w:ascii="Times New Roman;Times;serif" w:hAnsi="Times New Roman;Times;serif"/>
          <w:sz w:val="20"/>
        </w:rPr>
        <w:t>”). This discussion deals only with U.S. holders that hold their Schmid securities as capital assets (generally assets held for investment). It does not cover all aspects of U.S. federal income taxation that may be relevant to the U.S. holders (including reporting requirements, consequences under any alternative minimum tax or net investment income tax), and does not address state, local, non-U.S. or other tax laws (such as estate or gift tax laws). This discussion also does not address tax considerations applicable to U.S. holders that own (directly, indirectly or by attribution) 5% or more of the Schmid securities by vote or value, nor does this section discuss all of the tax considerations that may be relevant to certain types of investors subject to special treatment under the U.S. federal income tax laws (such as financial institutions; insurance companies; individual retirement accounts and other tax-deferred accounts; tax-exempt organizations; dealers in securities or currencies; traders in securities that elect to mark their securities to market for U.S. federal income tax purposes; investors that hold Schmid securities as part of straddles, hedging transactions or conversion transactions for U.S. federal income tax purposes; persons that received Schmid securities as compensation for services; nonresident alien individuals present in the United States for 183 days or more during any taxable year; persons that have ceased to be U.S. citizens or lawful permanent residents of the United States; investors holding the Schmid securities in connection with a trade or business conducted outside of the United States; S corporations; partnerships or other entities or arrangements treated as partnerships or other flow-through entities for U.S. federal income tax purposes (and investors therein); U.S. citizens or lawful permanent residents living abroad; investors that are required to include amounts in their taxable income in advance of receipt under rules regarding applicable financial statements; or U.S. holders whose functional currency is not the U.S. dollar).</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used herein, the term “</w:t>
      </w:r>
      <w:r>
        <w:rPr>
          <w:rFonts w:ascii="Times New Roman;Times;serif" w:hAnsi="Times New Roman;Times;serif"/>
          <w:b/>
          <w:sz w:val="20"/>
        </w:rPr>
        <w:t>U.S. holder</w:t>
      </w:r>
      <w:r>
        <w:rPr>
          <w:rFonts w:ascii="Times New Roman;Times;serif" w:hAnsi="Times New Roman;Times;serif"/>
          <w:sz w:val="20"/>
        </w:rPr>
        <w:t>” means a beneficial owner of Schmid securities that is, for U.S. federal income tax purposes, (i) an individual citizen or resident of the United States, (ii) a corporation created or organized under the laws of the United States, any state thereof or the District of Columbia, (iii) an estate the income of which is subject to U.S. federal income tax without regard to its source or (iv) a trust if a court within the United States is able to exercise primary supervision over the administration of the trust and one or more U.S. persons have the authority to control all substantial decisions of the trust.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U.S. federal income tax treatment of a partner in an entity or arrangement treated as a partnership for U.S. federal income tax purposes that holds Schmid securities will depend on the status of the partner and the activities of the partnership. Entities or arrangements treated as partnerships for U.S. federal income tax purposes should consult their tax advisers concerning the U.S. federal income tax consequences to them and their partners of owning Schmid securities.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This discussion is based on the tax laws of the United States, including the Code, its legislative history, existing and proposed regulations thereunder, published rulings of the IRS and court decisions, all as of the date hereof and all subject to change at any time, possibly with retroactive effect. Any such change or differing interpretation could affect the accuracy of the statements and conclusions set forth in this discussion. No assurance can be given that the IRS would not assert, or that a court would not sustain, a position contrary to any of the tax considerations described in this discussion. No ruling has been or will be sought from the IRS regarding any matter discussed below.</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ALL HOLDERS OF SCHMID SECURITIES SHOULD CONSULT THEIR TAX ADVISORS AS TO THE PARTICULAR TAX CONSEQUENCES TO THEM RELATING TO THE OWNERSHIP OF SCHMID SECURITIES, INCLUDING THE APPLICABILITY AND EFFECT OF STATE, LOCAL, NON-U.S. AND OTHER TAX LAWS AND POSSIBLE CHANGES IN TAX LAW.</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Ownership of Schmid Securities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b/>
          <w:sz w:val="20"/>
        </w:rPr>
        <w:t xml:space="preserve">This discussion is subject to the discussion in “— </w:t>
      </w:r>
      <w:r>
        <w:rPr>
          <w:rFonts w:ascii="Times New Roman;Times;serif" w:hAnsi="Times New Roman;Times;serif"/>
          <w:b/>
          <w:i/>
          <w:sz w:val="20"/>
        </w:rPr>
        <w:t>Application of the PFIC Rules to Schmid Securities</w:t>
      </w:r>
      <w:r>
        <w:rPr>
          <w:rFonts w:ascii="Times New Roman;Times;serif" w:hAnsi="Times New Roman;Times;serif"/>
          <w:sz w:val="20"/>
        </w:rPr>
        <w:t xml:space="preserve">” </w:t>
      </w:r>
      <w:r>
        <w:rPr>
          <w:rFonts w:ascii="Times New Roman;Times;serif" w:hAnsi="Times New Roman;Times;serif"/>
          <w:b/>
          <w:sz w:val="20"/>
        </w:rPr>
        <w:t>below.</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Distributions on Ordinary Shares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The gross amount of any distribution on Ordinary Shares that is made out of the Company’s current or 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received deduction generally allowed to U.S. corporations in respect of dividends received from other U.S. corporations. To the extent that the amount of the distribution exceeds the Company’s current and accumulated earnings and profits (as determined under U.S. federal income tax principles), such excess amount will be treated first as a non-taxable return of capital to the extent of the U.S. holder’s adjusted tax basis in its Ordinary Shares, and thereafter as capital gain recognized on a sale or exchange.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Dividends paid by the Company generally will be taxable to a non-corporate U.S. holder at the reduced rate normally applicable to long-term capital gains, provided that the Company is considered a “qualified foreign corporation” and certain other requirements are met. A qualified foreign corporation includes a foreign corporation that is eligible for the benefits of the income tax treaty between Germany and the United States (the “Treaty”). A foreign corporation is also treated as a “qualified foreign corporation” with respect to dividends paid by that corporation on shares that are readily tradable on an established securities market in the United States. U.S. Treasury Department guidance indicates that shares listed on the NASDAQ, such as the Ordinary Shares, will be readily tradable on an established securities market in the United States. There can be no assurance, however, that the Ordinary Shares will be considered readily tradable on an established securities market in later years or that the Company will be eligible for the benefits of the Treaty. A U.S. holder will not be able to claim the reduced rate on dividends received from the Company if the Company is treated as a PFIC in the taxable year in which the dividends are received or in the preceding taxable year (or if any shares of the Company that they own are treated as stock in a PFIC). See the section entitled “— </w:t>
      </w:r>
      <w:r>
        <w:rPr>
          <w:rFonts w:ascii="Times New Roman;Times;serif" w:hAnsi="Times New Roman;Times;serif"/>
          <w:i/>
          <w:sz w:val="20"/>
        </w:rPr>
        <w:t>Application of the PFIC Rules to Schmid Securities</w:t>
      </w:r>
      <w:r>
        <w:rPr>
          <w:rFonts w:ascii="Times New Roman;Times;serif" w:hAnsi="Times New Roman;Times;serif"/>
          <w:sz w:val="20"/>
        </w:rPr>
        <w:t>” below.</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Subject to certain conditions and limitations, withholding taxes, if any, on dividends paid by the Company may be treated as foreign taxes eligible for credit against a U.S. holder’s U.S. federal income tax liability under the U.S. foreign tax credit rules. For purposes of calculating the U.S. foreign tax credit, dividends paid on the Ordinary Shares will generally be treated as income from sources outside the United States and will generally constitute passive category income. The rules governing the U.S. foreign tax credit are complex and recent changes in the rules have imposed additional requirements and limitations that may further limit a U.S. Holder’s ability to claim a foreign tax credit in respect of any withholding taxes on dividends paid by the Company. Recent IRS guidance provides temporary relief from some of these additional requirements and limitations, subject to certain requirements being met, until further notice by the IRS. U.S. holders should consult their tax advisors regarding the availability of the U.S. foreign tax credit under particular circumstances.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Sale, Exchange, Redemption or Other Taxable Disposition of Schmid Securities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 U.S. holder generally will recognize gain or loss on any sale, exchange, redemption or other taxable disposition of Schmid securities in an amount equal to the difference between (i) the amount realized on the disposition and (ii) such U.S. holder’s adjusted tax basis in such securities. Any gain or loss recognized by a U.S. holder on a taxable disposition of Schmid securities generally will be capital gain or loss and will be long-term capital gain or loss if the holder’s holding period in such securities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Schmid securities generally will be treated as U.S.-source gain or loss. Therefore, a U.S. holder may have insufficient foreign-source income to utilize foreign tax credits attributable to any non-U.S. withholding tax (if any) imposed on a sale, exchange, redemption or other taxable disposition. U.S. holders should consult their tax advisors as to the availability of and limitations on any foreign tax credit attributable to non-U.S. withholding taxes (if any such taxes are imposed).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Exercise or Lapse of a Public Warrant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Except as discussed below with respect to the cashless exercise of a Public Warrant, a U.S. holder generally will not recognize gain or loss upon the acquisition of an Ordinary Share on the exercise of a Public Warrant for cash. A U.S. holder’s tax basis in a Ordinary Share received upon exercise of the Public Warrant generally should be an amount equal to the sum of the U.S. holder’s adjusted tax basis in the Public Warrant exchanged therefor and the exercise price. The U.S. holder’s holding period for a Ordinary Share received upon exercise of the Public Warrant will begin on the date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holder’s adjusted tax basis in the Public Warrant. The deductibility of capital losses is subject to limitations.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The tax consequences of a cashless exercise of a Public Warrant are not clear under current tax law. A cashless exercise may be tax-deferred, either because the exercise is not a gain realization event or because the exercise is treated as a recapitalization for U.S. federal income tax purposes. In either tax-deferred situation, a U.S. holder’s basis in the Ordinary Shares received would equal the holder’s basis in the Public Warrants exercised therefor. If the cashless exercise were treated as not being a gain realization event, a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U.S. holder’s holding period in the Ordinary Shares would be treated as commencing on the date following the date of exercise (or possibly the date of exercise) of the Public Warrants. If the cashless exercise were treated as a recapitalization, the holding period of the Ordinary Shares generally would include the holding period of the Public Warrants exercised therefor.</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It is also possible that a cashless exercise of a Public Warrant could be treated in part as a taxable exchange in which gain or loss would be recognized. In such event, a U.S. holder would recognize gain or loss with respect to the portion of the exercised Public Warrants treated as surrendered to pay the exercise price of the Public Warrants (the “</w:t>
      </w:r>
      <w:r>
        <w:rPr>
          <w:rFonts w:ascii="Times New Roman;Times;serif" w:hAnsi="Times New Roman;Times;serif"/>
          <w:b/>
          <w:sz w:val="20"/>
        </w:rPr>
        <w:t>surrendered warrants</w:t>
      </w:r>
      <w:r>
        <w:rPr>
          <w:rFonts w:ascii="Times New Roman;Times;serif" w:hAnsi="Times New Roman;Times;serif"/>
          <w:sz w:val="20"/>
        </w:rPr>
        <w:t>”). The U.S. holder would recognize capital gain or loss with respect to the surrendered warrants in an amount generally equal to the difference between (i) the fair market value of the Ordinary Shares that would have been received with respect to the surrendered warrants in a regular exercise of the Public Warrants and (ii) the sum of the U.S. holder’s adjusted tax basis in the surrendered warrants and the aggregate cash exercise price of such warrants (if they had been exercised in a regular exercise). In this case, a U.S. holder’s tax basis in the Ordinary Shares received would equal the U.S. holder’s tax basis in the Public Warrants exercised plus (or minus) the gain (or loss) recognized with respect to the surrendered warrants. A U.S. holder’s holding period for the Ordinary Shares generally would commence on the date following the date of exercise (or possibly the date of exercise) of the Public Warrants.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Due to the absence of authority on the U.S. federal income tax treatment of a cashless exercise of warrants, there can be no assurance which, if any, of the alternative tax consequences and holding periods described above would be adopted by the IRS or a court of law. Accordingly, U.S. holders should consult their tax advisors regarding the tax consequences of a cashless exercise of Public Warrants.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Possible Constructive Distributions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terms of each Public Warrant provide for an adjustment to the number of Ordinary Shares for which the Public Warrant may be exercised or to the exercise price of the Public Warrant in certain events. An adjustment which has the effect of preventing dilution generally is not taxable. A U.S. holder of a Public Warrant generally would be treated as receiving a constructive distribution from the Company if, for example, the adjustment increases the holder’s proportionate interest in the Company’s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in the section entitled “— </w:t>
      </w:r>
      <w:r>
        <w:rPr>
          <w:rFonts w:ascii="Times New Roman;Times;serif" w:hAnsi="Times New Roman;Times;serif"/>
          <w:i/>
          <w:sz w:val="20"/>
        </w:rPr>
        <w:t>Distributions on Ordinary Shares</w:t>
      </w:r>
      <w:r>
        <w:rPr>
          <w:rFonts w:ascii="Times New Roman;Times;serif" w:hAnsi="Times New Roman;Times;serif"/>
          <w:sz w:val="20"/>
        </w:rPr>
        <w:t>” above. Such constructive distribution generally would be subject to tax as described in the section entitled that section in the same manner as if the U.S. holder of such warrant received a cash distribution from the Company equal to the fair market value of such increased interest.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Application of the PFIC Rules to Schmid Securities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 non-U.S. corporation, such as the Company, will be a PFIC for U.S. federal income tax purposes in any taxable year in which, after applying relevant look-through rules with respect to the income and assets of its subsidiaries, (i) 75% or more of its gross income is passive income, and/or (ii) 50% or more of the value of its assets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Based on the expected composition of the Company’s gross assets and income and the manner in which the Company expects to operate its business in 2024 and future years, the Company does not expect to be classified as a PFIC for U.S. federal income tax purposes for the Company’s 2024 taxable year or in the foreseeable future. Whether the Company is a PFIC is a factual determination made annually, and the Company’s status could change depending, among other things, upon changes in the composition and relative value of its gross receipts and assets.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If the Company were a PFIC in any year during which a U.S. holder owns Ordinary Shares, subject to the discussion below regarding the mark-to-market (“</w:t>
      </w:r>
      <w:r>
        <w:rPr>
          <w:rFonts w:ascii="Times New Roman;Times;serif" w:hAnsi="Times New Roman;Times;serif"/>
          <w:b/>
          <w:sz w:val="20"/>
        </w:rPr>
        <w:t>MTM</w:t>
      </w:r>
      <w:r>
        <w:rPr>
          <w:rFonts w:ascii="Times New Roman;Times;serif" w:hAnsi="Times New Roman;Times;serif"/>
          <w:sz w:val="20"/>
        </w:rPr>
        <w:t>”) or qualified electing fund (“</w:t>
      </w:r>
      <w:r>
        <w:rPr>
          <w:rFonts w:ascii="Times New Roman;Times;serif" w:hAnsi="Times New Roman;Times;serif"/>
          <w:b/>
          <w:sz w:val="20"/>
        </w:rPr>
        <w:t>QEF</w:t>
      </w:r>
      <w:r>
        <w:rPr>
          <w:rFonts w:ascii="Times New Roman;Times;serif" w:hAnsi="Times New Roman;Times;serif"/>
          <w:sz w:val="20"/>
        </w:rPr>
        <w:t xml:space="preserve">”) elections, a U.S. holder generally will be subject to special rules (regardless of whether the Company continues to be a PFIC) with respect to (i) any “excess distribution” (generally, any distributions received by a U.S. holder on its Ordinary Shares in a taxable year that are greater than 125% of the average annual distributions received by the U.S. holder in the three preceding taxable years or, if shorter, the U.S. holder’s holding period for the Ordinary Shares) and (ii) any gain realized on the sale or other disposition of Ordinary Shares. Under these rules (a) the excess distribution or gain will be allocated ratably over the U.S. holder’s holding period, (b) the amount allocated to the current taxable year and any taxable year prior to the first taxable year in which the Company is a PFIC will be taxed as ordinary income, and (c) the amount allocated to each of the other taxable years will be subject to tax at the highest rate of tax in effect for the applicable class of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taxpayer for that year and an interest charge for the deemed deferral benefit will be imposed with respect to the resulting tax attributable to each such other taxable year.</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 U.S. holder may be able to avoid some of the adverse impacts of the PFIC rules described under in the preceding paragraph by making an MTM election with respect to its Ordinary Shares. The election is available only if the Ordinary Shares are considered “marketable stock,” which generally includes stock that is regularly traded in more than de minimis quantities on a qualifying exchange. If a U.S. holder makes the MTM election, it generally will not be subject to the excess distribution regime discussed in the preceding paragraph and the tax consequences should be as set forth above under this paragraph. Any gain from marking the Ordinary Shares to market or from disposing of them would be ordinary income. Any loss from marking the Ordinary Shares to market would be recognized only to the extent of unreversed gains previously included in income. Loss from marking the Ordinary Shares to market would be ordinary, but loss on disposing of them would be capital loss except to the extent of unreversed inclusions with respect to such stock. It is expected that Ordinary Shares, which are listed on NASDAQ, will qualify as marketable shares for the PFIC rules purposes. No assurance can be given that the Ordinary Shares will be traded in sufficient frequency and quantity to be considered “marketable stock.” A valid MTM election cannot be revoked without the consent of the IRS unless the Ordinary Shares cease to be marketable stock. In addition, it is anticipated that U.S. holders of Public Warrants will not be able to make an MTM election with respect to such warrants.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 U.S. holder would not be able to avoid the tax consequences described above by electing to treat the Company as a QEF because the Company does not intend to provide U.S. holders with the information that would be necessary to make a QEF election with respect to the Ordinary Shares. In any event, U.S. holders of Public Warrants will not be able to make a QEF election with respect to their warrants.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U.S. holders should consult their own tax advisors concerning the Company’s possible PFIC status and the consequences to them, including potential reporting requirements, if the Company were classified as a PFIC for any taxable year.</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Information Reporting and Backup Withholding</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Information reporting requirements may apply to distributions on and proceeds from a disposition of the Schmid securities. Backup withholding may apply to such amounts if the U.S. holder fails to provide an accurate taxpayer identification number or is otherwise subject to backup withholding.</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Backup withholding is not an additional tax. Amounts withheld as backup withholding may be credited against the U.S. holder’s U.S. federal income tax liability, and a U.S. holder may obtain a refund of any excess amounts withheld under the backup withholding rules by timely filing the appropriate claim for a refund with the IRS and furnishing any required information. U.S. holders should consult their tax advisors regarding these rules and any other reporting obligations that may apply to the ownership or disposition of Schmid securities, including reporting obligations related to the holding of certain foreign financial assets.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Material Dutch Tax Considerations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summary of certain Dutch taxation matters is based on the laws and practice in force as of the date of this proxy statement/prospectus and is subject to any changes in law and the interpretation and application thereof, which changes could have retroactive effect. The following summary does not purport to be a comprehensive description of all the tax considerations that may be relevant to a decision to acquire, hold or dispose of Ordinary Shares and/or Warrants, and does not purport to deal with the tax consequences applicable to all categories of investors, some of which may be subject to special rules. An investor holding Ordinary Shares is being referred to as a shareholder (“</w:t>
      </w:r>
      <w:r>
        <w:rPr>
          <w:rFonts w:ascii="Times New Roman;Times;serif" w:hAnsi="Times New Roman;Times;serif"/>
          <w:b/>
          <w:sz w:val="20"/>
        </w:rPr>
        <w:t>Shareholder</w:t>
      </w:r>
      <w:r>
        <w:rPr>
          <w:rFonts w:ascii="Times New Roman;Times;serif" w:hAnsi="Times New Roman;Times;serif"/>
          <w:sz w:val="20"/>
        </w:rPr>
        <w:t>”) and an investor holding Warrants is being referred to as a warrant holder (“</w:t>
      </w:r>
      <w:r>
        <w:rPr>
          <w:rFonts w:ascii="Times New Roman;Times;serif" w:hAnsi="Times New Roman;Times;serif"/>
          <w:b/>
          <w:sz w:val="20"/>
        </w:rPr>
        <w:t>Warrant Holder</w:t>
      </w:r>
      <w:r>
        <w:rPr>
          <w:rFonts w:ascii="Times New Roman;Times;serif" w:hAnsi="Times New Roman;Times;serif"/>
          <w:sz w:val="20"/>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For the purpose of the paragraph “Taxes on Income and Capital Gains” below it is assumed that an individual holding Ordinary Shares and/or Warrants who is taxed as a resident of the Netherlands for income tax purposes did not, does not and will not have a substantial interest (</w:t>
      </w:r>
      <w:r>
        <w:rPr>
          <w:rFonts w:ascii="Times New Roman;Times;serif" w:hAnsi="Times New Roman;Times;serif"/>
          <w:i/>
          <w:sz w:val="20"/>
        </w:rPr>
        <w:t>aanmerkelijk belang</w:t>
      </w:r>
      <w:r>
        <w:rPr>
          <w:rFonts w:ascii="Times New Roman;Times;serif" w:hAnsi="Times New Roman;Times;serif"/>
          <w:sz w:val="20"/>
        </w:rPr>
        <w:t>) or a deemed substantial interest in Schmid.</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Generally speaking, an individual has a substantial interest in a company if (a) such individual, either alone or together with his partner, directly or indirectly has or is deemed to have, or (b) certain relatives of such individual or his partner directly or indirectly have or are deemed to have (i) the ownership of, a right to acquire the ownership of, or certain rights over, shares representing 5% or more of either the total issued and outstanding capital of such company or the issued and outstanding capital of any class of shares of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such company, or (ii) the ownership of, or certain rights over, profit participating certificates (</w:t>
      </w:r>
      <w:r>
        <w:rPr>
          <w:rFonts w:ascii="Times New Roman;Times;serif" w:hAnsi="Times New Roman;Times;serif"/>
          <w:i/>
          <w:sz w:val="20"/>
        </w:rPr>
        <w:t>winstbewijzen</w:t>
      </w:r>
      <w:r>
        <w:rPr>
          <w:rFonts w:ascii="Times New Roman;Times;serif" w:hAnsi="Times New Roman;Times;serif"/>
          <w:sz w:val="20"/>
        </w:rPr>
        <w:t>) that relate to 5% or more of either the annual profit or the liquidation proceeds of such company. Also, an individual has a substantial interest in a company if his partner has, or if certain relatives of the individual or his partner have, a deemed substantial interest. In such company. Generally, an individual or his partner or relevant relative has a deemed substantial interest in a company if either (a) such person or his predecessor has disposed of or is deemed to have disposed of all or part of a substantial interest or (b) such person has transferred an enterprise in exchange for shares in such company, on a non-recognition basis.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This summary assumes that Schmid is not affiliated (</w:t>
      </w:r>
      <w:r>
        <w:rPr>
          <w:rFonts w:ascii="Times New Roman;Times;serif" w:hAnsi="Times New Roman;Times;serif"/>
          <w:i/>
          <w:sz w:val="20"/>
        </w:rPr>
        <w:t>gelieerd</w:t>
      </w:r>
      <w:r>
        <w:rPr>
          <w:rFonts w:ascii="Times New Roman;Times;serif" w:hAnsi="Times New Roman;Times;serif"/>
          <w:sz w:val="20"/>
        </w:rPr>
        <w:t>) to any recipient (</w:t>
      </w:r>
      <w:r>
        <w:rPr>
          <w:rFonts w:ascii="Times New Roman;Times;serif" w:hAnsi="Times New Roman;Times;serif"/>
          <w:i/>
          <w:sz w:val="20"/>
        </w:rPr>
        <w:t>voordeelgerechtigde</w:t>
      </w:r>
      <w:r>
        <w:rPr>
          <w:rFonts w:ascii="Times New Roman;Times;serif" w:hAnsi="Times New Roman;Times;serif"/>
          <w:sz w:val="20"/>
        </w:rPr>
        <w:t>) of any payments under the Ordinary Shares and/or Warrants within the meaning of the Withholding Tax Act 2021 (</w:t>
      </w:r>
      <w:r>
        <w:rPr>
          <w:rFonts w:ascii="Times New Roman;Times;serif" w:hAnsi="Times New Roman;Times;serif"/>
          <w:i/>
          <w:sz w:val="20"/>
        </w:rPr>
        <w:t>Wet bronbelasting 2021</w:t>
      </w:r>
      <w:r>
        <w:rPr>
          <w:rFonts w:ascii="Times New Roman;Times;serif" w:hAnsi="Times New Roman;Times;serif"/>
          <w:sz w:val="20"/>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Generally speaking, an entity is regarded as ‘affiliated’ for Dutch Withholding Tax Act 2021 (</w:t>
      </w:r>
      <w:r>
        <w:rPr>
          <w:rFonts w:ascii="Times New Roman;Times;serif" w:hAnsi="Times New Roman;Times;serif"/>
          <w:i/>
          <w:sz w:val="20"/>
        </w:rPr>
        <w:t>Wet bronbelasting 2021</w:t>
      </w:r>
      <w:r>
        <w:rPr>
          <w:rFonts w:ascii="Times New Roman;Times;serif" w:hAnsi="Times New Roman;Times;serif"/>
          <w:sz w:val="20"/>
        </w:rPr>
        <w:t>) purposes, if (i) it has a qualifying interest in Schmid, (ii) Schmid has a qualifying interest in the relevant entity or (iii) a third party has a qualifying interest in both Schmid and the relevant entity. Generally, the term “qualifying interest” means a direct or indirectly held interest, individually or jointly as part of a collaborating group (</w:t>
      </w:r>
      <w:r>
        <w:rPr>
          <w:rFonts w:ascii="Times New Roman;Times;serif" w:hAnsi="Times New Roman;Times;serif"/>
          <w:i/>
          <w:sz w:val="20"/>
        </w:rPr>
        <w:t>samenwerkende groep</w:t>
      </w:r>
      <w:r>
        <w:rPr>
          <w:rFonts w:ascii="Times New Roman;Times;serif" w:hAnsi="Times New Roman;Times;serif"/>
          <w:sz w:val="20"/>
        </w:rPr>
        <w:t>), that gives the holder of such interest definite influence over the decisions of the entity in which the interest is held and allows determination of its activities.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Where this summary refers to a Shareholder, Warrant Holder, holder of Ordinary Shares and Warrants, an individual holding Ordinary Shares and Warrants or an entity holding Ordinary Shares and Warrants, such reference is restricted to an individual or entity holding legal title to as well as an economic interest in such Ordinary Shares and Warrants or otherwise being regarded as owning Ordinary Shares and Warrants for Dutch tax purposes. It is noted that for purposes of Dutch income, corporate and gift and inheritance tax, assets legally owned by a third party such as a trustee, foundation or similar entity, may be treated as assets owned by the (deemed) settlor, grantor or similar originator or the beneficiaries in proportion to their interest in such arrangement.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Where the summary refers to “the Netherlands” or “Dutch” it refers only to the European part of the Kingdom of the Netherlands.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This overview assumes that Schmid shall have its place of effective management in Germany and that it is treated as a German tax resident for German tax purposes.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Investors should consult their professional advisers as to the tax consequences of acquiring, holding and disposing of Ordinary Shares.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Dividend Withholding tax</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Ordinary Shares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general, Schmid must withhold Dutch dividend tax from dividends distributed on the Ordinary Shares at the rate of 15%.</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Dividends include, without limitation:</w:t>
      </w:r>
    </w:p>
    <w:tbl>
      <w:tblPr>
        <w:tblW w:w="9805" w:type="dxa"/>
        <w:jc w:val="left"/>
        <w:tblInd w:w="200" w:type="dxa"/>
        <w:tblLayout w:type="fixed"/>
        <w:tblCellMar>
          <w:top w:w="28" w:type="dxa"/>
          <w:left w:w="28" w:type="dxa"/>
          <w:bottom w:w="28" w:type="dxa"/>
          <w:right w:w="28" w:type="dxa"/>
        </w:tblCellMar>
      </w:tblPr>
      <w:tblGrid>
        <w:gridCol w:w="124"/>
        <w:gridCol w:w="266"/>
        <w:gridCol w:w="9415"/>
      </w:tblGrid>
      <w:tr>
        <w:trPr/>
        <w:tc>
          <w:tcPr>
            <w:tcW w:w="124" w:type="dxa"/>
            <w:tcBorders/>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4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of profits (including paid-in capital not recognised for Dutch dividend tax purposes) in cash or in kind, including deemed and constructive dividends;</w:t>
            </w:r>
          </w:p>
        </w:tc>
      </w:tr>
    </w:tbl>
    <w:tbl>
      <w:tblPr>
        <w:tblW w:w="9805" w:type="dxa"/>
        <w:jc w:val="left"/>
        <w:tblInd w:w="200" w:type="dxa"/>
        <w:tblLayout w:type="fixed"/>
        <w:tblCellMar>
          <w:top w:w="28" w:type="dxa"/>
          <w:left w:w="28" w:type="dxa"/>
          <w:bottom w:w="28" w:type="dxa"/>
          <w:right w:w="28" w:type="dxa"/>
        </w:tblCellMar>
      </w:tblPr>
      <w:tblGrid>
        <w:gridCol w:w="124"/>
        <w:gridCol w:w="309"/>
        <w:gridCol w:w="9372"/>
      </w:tblGrid>
      <w:tr>
        <w:trPr/>
        <w:tc>
          <w:tcPr>
            <w:tcW w:w="124" w:type="dxa"/>
            <w:tcBorders/>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3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liquidation distributions and, generally, proceeds realised upon a repurchase of Ordinary Shares by Schmid or upon the transfer of Ordinary Shares to a direct or indirect subsidiary of Schmid, in excess of the average paid-in capital recognised for Dutch dividend tax purposes;</w:t>
            </w:r>
          </w:p>
        </w:tc>
      </w:tr>
    </w:tbl>
    <w:tbl>
      <w:tblPr>
        <w:tblW w:w="9805" w:type="dxa"/>
        <w:jc w:val="left"/>
        <w:tblInd w:w="200" w:type="dxa"/>
        <w:tblLayout w:type="fixed"/>
        <w:tblCellMar>
          <w:top w:w="28" w:type="dxa"/>
          <w:left w:w="28" w:type="dxa"/>
          <w:bottom w:w="28" w:type="dxa"/>
          <w:right w:w="28" w:type="dxa"/>
        </w:tblCellMar>
      </w:tblPr>
      <w:tblGrid>
        <w:gridCol w:w="124"/>
        <w:gridCol w:w="369"/>
        <w:gridCol w:w="9312"/>
      </w:tblGrid>
      <w:tr>
        <w:trPr/>
        <w:tc>
          <w:tcPr>
            <w:tcW w:w="124" w:type="dxa"/>
            <w:tcBorders/>
            <w:vAlign w:val="center"/>
          </w:tcPr>
          <w:p>
            <w:pPr>
              <w:pStyle w:val="TableContents"/>
              <w:bidi w:val="0"/>
              <w:spacing w:before="0" w:after="283"/>
              <w:jc w:val="left"/>
              <w:rPr>
                <w:sz w:val="4"/>
                <w:szCs w:val="4"/>
              </w:rPr>
            </w:pPr>
            <w:r>
              <w:rPr>
                <w:sz w:val="4"/>
                <w:szCs w:val="4"/>
              </w:rPr>
            </w:r>
          </w:p>
        </w:tc>
        <w:tc>
          <w:tcPr>
            <w:tcW w:w="36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31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 value of Ordinary Shares issued to a shareholder or any increase in the par value of Ordinary Shares, except to the extent such (increase in the) par value is contributed to or funded out of the Schmid’s paid-in capital recognised for Dutch dividend tax purposes;</w:t>
            </w:r>
          </w:p>
        </w:tc>
      </w:tr>
    </w:tbl>
    <w:tbl>
      <w:tblPr>
        <w:tblW w:w="9805" w:type="dxa"/>
        <w:jc w:val="left"/>
        <w:tblInd w:w="200" w:type="dxa"/>
        <w:tblLayout w:type="fixed"/>
        <w:tblCellMar>
          <w:top w:w="28" w:type="dxa"/>
          <w:left w:w="28" w:type="dxa"/>
          <w:bottom w:w="28" w:type="dxa"/>
          <w:right w:w="28" w:type="dxa"/>
        </w:tblCellMar>
      </w:tblPr>
      <w:tblGrid>
        <w:gridCol w:w="124"/>
        <w:gridCol w:w="346"/>
        <w:gridCol w:w="9335"/>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33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repayments of paid-in capital recognised for Dutch dividend tax purposes up to the amount of Schmid’s profits (</w:t>
            </w:r>
            <w:r>
              <w:rPr>
                <w:rFonts w:ascii="Times New Roman;Times;serif" w:hAnsi="Times New Roman;Times;serif"/>
                <w:b w:val="false"/>
                <w:i/>
                <w:sz w:val="20"/>
              </w:rPr>
              <w:t>zuivere winst</w:t>
            </w:r>
            <w:r>
              <w:rPr>
                <w:rFonts w:ascii="Times New Roman;Times;serif" w:hAnsi="Times New Roman;Times;serif"/>
                <w:b w:val="false"/>
                <w:i w:val="false"/>
                <w:caps w:val="false"/>
                <w:smallCaps w:val="false"/>
                <w:sz w:val="20"/>
              </w:rPr>
              <w:t>) unless Schmid’s general meeting of shareholders has resolved in advance that Schmid shall make such repayments and the par value of the Ordinary Shares concerned has been reduced by a corresponding amount through an amendment of Schmid’s articles of association.</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However, Schmid is not required to withhold Dutch dividend tax from dividends distributed on the Ordinary Shares if, and for as long as, Schmid is resident solely in Germany for purposes of the convention between Germany and the Netherlands for the avoidance of double taxation and the prevention of fiscal evasion with respect to taxes on income (the “</w:t>
      </w:r>
      <w:r>
        <w:rPr>
          <w:rFonts w:ascii="Times New Roman;Times;serif" w:hAnsi="Times New Roman;Times;serif"/>
          <w:b/>
          <w:sz w:val="20"/>
        </w:rPr>
        <w:t>German-Dutch tax treaty</w:t>
      </w:r>
      <w:r>
        <w:rPr>
          <w:rFonts w:ascii="Times New Roman;Times;serif" w:hAnsi="Times New Roman;Times;serif"/>
          <w:sz w:val="20"/>
        </w:rPr>
        <w:t>”), unless:</w:t>
      </w:r>
    </w:p>
    <w:tbl>
      <w:tblPr>
        <w:tblW w:w="9805" w:type="dxa"/>
        <w:jc w:val="left"/>
        <w:tblInd w:w="200" w:type="dxa"/>
        <w:tblLayout w:type="fixed"/>
        <w:tblCellMar>
          <w:top w:w="28" w:type="dxa"/>
          <w:left w:w="28" w:type="dxa"/>
          <w:bottom w:w="28" w:type="dxa"/>
          <w:right w:w="28" w:type="dxa"/>
        </w:tblCellMar>
      </w:tblPr>
      <w:tblGrid>
        <w:gridCol w:w="124"/>
        <w:gridCol w:w="243"/>
        <w:gridCol w:w="9438"/>
      </w:tblGrid>
      <w:tr>
        <w:trPr/>
        <w:tc>
          <w:tcPr>
            <w:tcW w:w="124" w:type="dxa"/>
            <w:tcBorders/>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43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Shareholder is an individual who is resident or deemed to be resident in the Netherlands for Dutch income tax purposes or an entity or enterprise that is subject to the Corporate Tax Act 1969 (</w:t>
            </w:r>
            <w:r>
              <w:rPr>
                <w:rFonts w:ascii="Times New Roman;Times;serif" w:hAnsi="Times New Roman;Times;serif"/>
                <w:b w:val="false"/>
                <w:i/>
                <w:sz w:val="20"/>
              </w:rPr>
              <w:t>Wet op de vennootschapsbelasting 1969</w:t>
            </w:r>
            <w:r>
              <w:rPr>
                <w:rFonts w:ascii="Times New Roman;Times;serif" w:hAnsi="Times New Roman;Times;serif"/>
                <w:b w:val="false"/>
                <w:i w:val="false"/>
                <w:caps w:val="false"/>
                <w:smallCaps w:val="false"/>
                <w:sz w:val="20"/>
              </w:rPr>
              <w:t>) and is resident or deemed to be resident in the Netherlands for Dutch corporate tax purposes; or</w:t>
            </w:r>
          </w:p>
        </w:tc>
      </w:tr>
    </w:tbl>
    <w:tbl>
      <w:tblPr>
        <w:tblW w:w="9805" w:type="dxa"/>
        <w:jc w:val="left"/>
        <w:tblInd w:w="200" w:type="dxa"/>
        <w:tblLayout w:type="fixed"/>
        <w:tblCellMar>
          <w:top w:w="28" w:type="dxa"/>
          <w:left w:w="28" w:type="dxa"/>
          <w:bottom w:w="28" w:type="dxa"/>
          <w:right w:w="28" w:type="dxa"/>
        </w:tblCellMar>
      </w:tblPr>
      <w:tblGrid>
        <w:gridCol w:w="124"/>
        <w:gridCol w:w="297"/>
        <w:gridCol w:w="9384"/>
      </w:tblGrid>
      <w:tr>
        <w:trPr/>
        <w:tc>
          <w:tcPr>
            <w:tcW w:w="124" w:type="dxa"/>
            <w:tcBorders/>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384"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Shareholder is an individual not resident and not deemed to be resident in the Netherlands for Dutch income tax purposes or an entity not resident and not deemed to be resident in the Netherlands for Dutch corporate tax purposes and derives profits from an enterprise, which enterprise is, in whole or in part, carried on through a permanent establishment (</w:t>
            </w:r>
            <w:r>
              <w:rPr>
                <w:rFonts w:ascii="Times New Roman;Times;serif" w:hAnsi="Times New Roman;Times;serif"/>
                <w:b w:val="false"/>
                <w:i/>
                <w:sz w:val="20"/>
              </w:rPr>
              <w:t>vaste inrichting</w:t>
            </w:r>
            <w:r>
              <w:rPr>
                <w:rFonts w:ascii="Times New Roman;Times;serif" w:hAnsi="Times New Roman;Times;serif"/>
                <w:b w:val="false"/>
                <w:i w:val="false"/>
                <w:caps w:val="false"/>
                <w:smallCaps w:val="false"/>
                <w:sz w:val="20"/>
              </w:rPr>
              <w:t>) or a permanent representative (</w:t>
            </w:r>
            <w:r>
              <w:rPr>
                <w:rFonts w:ascii="Times New Roman;Times;serif" w:hAnsi="Times New Roman;Times;serif"/>
                <w:b w:val="false"/>
                <w:i/>
                <w:sz w:val="20"/>
              </w:rPr>
              <w:t>vaste vertegenwoordiger</w:t>
            </w:r>
            <w:r>
              <w:rPr>
                <w:rFonts w:ascii="Times New Roman;Times;serif" w:hAnsi="Times New Roman;Times;serif"/>
                <w:b w:val="false"/>
                <w:i w:val="false"/>
                <w:caps w:val="false"/>
                <w:smallCaps w:val="false"/>
                <w:sz w:val="20"/>
              </w:rPr>
              <w:t>) in the Netherlands, to which the Ordinary Shares are attributable.</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current German-Dutch tax treaty stipulates that if a company is treated as tax resident of both the Netherlands and Germany it shall be treated as resident of the country in which it has its place of effective management for purposes of the treaty. As set out above, for the purposes of this summary we assume that Schmid shall have its place of effective management in Germany.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the Shareholder is a resident or deemed to be a resident of the Netherlands for Dutch corporate or income tax purposes, Dutch dividend withholding tax which is withheld with respect to proceeds from the Ordinary Shares will generally be creditable for Dutch corporate tax or Dutch income tax purposes. For Shareholders that are subject to Dutch corporate tax, the credit of Dutch dividend withholding tax per annum is limited to the amount of Dutch corporate tax due in that year. Any uncredited Dutch dividend withholding can be carried forward without time restrictions.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Under the terms of Dutch domestic anti-dividend stripping rules, a recipient of dividends distributed on Ordinary Shares will not be entitled to an exemption from, reduction, refund, or credit of dividend tax if the recipient is not the beneficial owner of such dividends as meant in those rules.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It is currently uncertain what evidence, information and documentation will be required by the Dutch tax authorities for purposes of accepting application of the German-Dutch tax treaty as described above, either at source or through a refund request by a Shareholder or Warrant Holder.</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Warrants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mere exercise of a Warrant does in the view of Schmid not give rise to Dutch dividend withholding tax, except to the extent (i) the exercise price paid in cash per issued Ordinary Share is below the nominal value of a Ordinary Share and (ii) such difference is not charged against Schmid’s share premium reserve recognized for purposes of Dutch dividend withholding tax. If any Dutch dividend withholding tax due is not effectively withheld for the account of the relevant Warrant Holder, Dutch dividend withholding tax shall be due by Schmid on a grossed-up basis, meaning that the Dutch dividend withholding tax basis shall be equal to the amount referred to in the preceding sentence multiplied by 100/85. Exceptions and relief from Dutch dividend withholding tax may apply as set forth in the preceding paragraph.</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Taxes on Income and Capital Gains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Residents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Resident entities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An entity holding the Ordinary Shares and Warrants which is or is deemed to be resident in the Netherlands for Dutch corporate tax purposes and which is not tax exempt, will generally be subject to corporate tax (</w:t>
      </w:r>
      <w:r>
        <w:rPr>
          <w:rFonts w:ascii="Times New Roman;Times;serif" w:hAnsi="Times New Roman;Times;serif"/>
          <w:i/>
          <w:sz w:val="20"/>
        </w:rPr>
        <w:t>vennootschapsbelasting</w:t>
      </w:r>
      <w:r>
        <w:rPr>
          <w:rFonts w:ascii="Times New Roman;Times;serif" w:hAnsi="Times New Roman;Times;serif"/>
          <w:sz w:val="20"/>
        </w:rPr>
        <w:t>) in the Netherlands in respect of income or a capital gain derived from such Ordinary Shares and Warrants at rates up to 25.8%, unless the entity has the benefit of the participation exemption (</w:t>
      </w:r>
      <w:r>
        <w:rPr>
          <w:rFonts w:ascii="Times New Roman;Times;serif" w:hAnsi="Times New Roman;Times;serif"/>
          <w:i/>
          <w:sz w:val="20"/>
        </w:rPr>
        <w:t>deelnemingsvrijstelling</w:t>
      </w:r>
      <w:r>
        <w:rPr>
          <w:rFonts w:ascii="Times New Roman;Times;serif" w:hAnsi="Times New Roman;Times;serif"/>
          <w:sz w:val="20"/>
        </w:rPr>
        <w:t>) with respect to such Ordinary Shares. Generally speaking, the entity holding Ordinary Shares will have the benefit of the participation exemption if the entity owns at least 5% of the nominal paid-up share capital of Schmid.</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Resident individuals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 Shareholder or Warrant Holder who is or is deemed to be resident in the Netherlands for Dutch income tax purposes will generally be subject to income tax in the Netherlands in respect of income or a capital gain derived from such Ordinary Shares and Warrants at rates up to 49.5% if:</w:t>
      </w:r>
    </w:p>
    <w:tbl>
      <w:tblPr>
        <w:tblW w:w="9805" w:type="dxa"/>
        <w:jc w:val="left"/>
        <w:tblInd w:w="200" w:type="dxa"/>
        <w:tblLayout w:type="fixed"/>
        <w:tblCellMar>
          <w:top w:w="28" w:type="dxa"/>
          <w:left w:w="28" w:type="dxa"/>
          <w:bottom w:w="28" w:type="dxa"/>
          <w:right w:w="28" w:type="dxa"/>
        </w:tblCellMar>
      </w:tblPr>
      <w:tblGrid>
        <w:gridCol w:w="124"/>
        <w:gridCol w:w="279"/>
        <w:gridCol w:w="9402"/>
      </w:tblGrid>
      <w:tr>
        <w:trPr/>
        <w:tc>
          <w:tcPr>
            <w:tcW w:w="124" w:type="dxa"/>
            <w:tcBorders/>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40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or capital gain is attributable to an enterprise from which the holder derives profits (other than as a shareholder); or</w:t>
            </w:r>
          </w:p>
        </w:tc>
      </w:tr>
    </w:tbl>
    <w:tbl>
      <w:tblPr>
        <w:tblW w:w="9805" w:type="dxa"/>
        <w:jc w:val="left"/>
        <w:tblInd w:w="200" w:type="dxa"/>
        <w:tblLayout w:type="fixed"/>
        <w:tblCellMar>
          <w:top w:w="28" w:type="dxa"/>
          <w:left w:w="28" w:type="dxa"/>
          <w:bottom w:w="28" w:type="dxa"/>
          <w:right w:w="28" w:type="dxa"/>
        </w:tblCellMar>
      </w:tblPr>
      <w:tblGrid>
        <w:gridCol w:w="124"/>
        <w:gridCol w:w="304"/>
        <w:gridCol w:w="9377"/>
      </w:tblGrid>
      <w:tr>
        <w:trPr/>
        <w:tc>
          <w:tcPr>
            <w:tcW w:w="124" w:type="dxa"/>
            <w:tcBorders/>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37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income or capital gain qualifies as income from miscellaneous activities (</w:t>
            </w:r>
            <w:r>
              <w:rPr>
                <w:rFonts w:ascii="Times New Roman;Times;serif" w:hAnsi="Times New Roman;Times;serif"/>
                <w:b w:val="false"/>
                <w:i/>
                <w:sz w:val="20"/>
              </w:rPr>
              <w:t>belastbaar resultaat uit overige werkzaamheden</w:t>
            </w:r>
            <w:r>
              <w:rPr>
                <w:rFonts w:ascii="Times New Roman;Times;serif" w:hAnsi="Times New Roman;Times;serif"/>
                <w:b w:val="false"/>
                <w:i w:val="false"/>
                <w:caps w:val="false"/>
                <w:smallCaps w:val="false"/>
                <w:sz w:val="20"/>
              </w:rPr>
              <w:t>) as defined in the Income Tax Act 2001 (</w:t>
            </w:r>
            <w:r>
              <w:rPr>
                <w:rFonts w:ascii="Times New Roman;Times;serif" w:hAnsi="Times New Roman;Times;serif"/>
                <w:b w:val="false"/>
                <w:i/>
                <w:sz w:val="20"/>
              </w:rPr>
              <w:t>Wet inkomstenbelasting 2001</w:t>
            </w:r>
            <w:r>
              <w:rPr>
                <w:rFonts w:ascii="Times New Roman;Times;serif" w:hAnsi="Times New Roman;Times;serif"/>
                <w:b w:val="false"/>
                <w:i w:val="false"/>
                <w:caps w:val="false"/>
                <w:smallCaps w:val="false"/>
                <w:sz w:val="20"/>
              </w:rPr>
              <w:t>), including, without limitation, activities that exceed normal, active asset management (</w:t>
            </w:r>
            <w:r>
              <w:rPr>
                <w:rFonts w:ascii="Times New Roman;Times;serif" w:hAnsi="Times New Roman;Times;serif"/>
                <w:b w:val="false"/>
                <w:i/>
                <w:sz w:val="20"/>
              </w:rPr>
              <w:t>normaal, actief vermogensbeheer</w:t>
            </w:r>
            <w:r>
              <w:rPr>
                <w:rFonts w:ascii="Times New Roman;Times;serif" w:hAnsi="Times New Roman;Times;serif"/>
                <w:b w:val="false"/>
                <w:i w:val="false"/>
                <w:caps w:val="false"/>
                <w:smallCaps w:val="false"/>
                <w:sz w:val="20"/>
              </w:rPr>
              <w:t>).</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neither condition (i) nor (ii) applies, the individual holding Ordinary Shares and Public Warrants will in principle be subject to Dutch income tax based on an aggregate deemed return for savings, debts and investments, regardless of any actual income or capital gain derived from the Ordinary Shares and Public Warrants. Separate deemed return percentages for savings, debts and investments apply as at the beginning of the relevant calendar year. The applicable percentages should be updated annually based on historic market yields. For 2026, the deemed return percentage for the category investments (including the Ordinary Shares and Public Warrants) is 6%.</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However, if the Shareholder or Warrant Holder demonstrates that the aggregate actual return for savings, debts and investments — calculated in accordance with the Dutch Counterevidence Act (</w:t>
      </w:r>
      <w:r>
        <w:rPr>
          <w:rFonts w:ascii="Times New Roman;Times;serif" w:hAnsi="Times New Roman;Times;serif"/>
          <w:i/>
          <w:sz w:val="20"/>
        </w:rPr>
        <w:t>Wet tegenbewijsregeling box 3</w:t>
      </w:r>
      <w:r>
        <w:rPr>
          <w:rFonts w:ascii="Times New Roman;Times;serif" w:hAnsi="Times New Roman;Times;serif"/>
          <w:sz w:val="20"/>
        </w:rPr>
        <w:t>) — is lower than the applicable aggregate deemed return, the taxable basis should be that lower amount.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individual’s taxable income from savings and investments (including the Ordinary Shares and Public Warrants) will be taxed at the prevailing statutory rate (36% in 2026).</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Non-residents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 Shareholder or Warrant Holder which is not and is not deemed to be resident in the Netherlands for the relevant tax purposes will not be subject to taxation in the Netherlands on income or a capital gain derived from Ordinary Shares and Warrants, unless:</w:t>
      </w:r>
    </w:p>
    <w:tbl>
      <w:tblPr>
        <w:tblW w:w="9805" w:type="dxa"/>
        <w:jc w:val="left"/>
        <w:tblInd w:w="200" w:type="dxa"/>
        <w:tblLayout w:type="fixed"/>
        <w:tblCellMar>
          <w:top w:w="28" w:type="dxa"/>
          <w:left w:w="28" w:type="dxa"/>
          <w:bottom w:w="28" w:type="dxa"/>
          <w:right w:w="28" w:type="dxa"/>
        </w:tblCellMar>
      </w:tblPr>
      <w:tblGrid>
        <w:gridCol w:w="124"/>
        <w:gridCol w:w="240"/>
        <w:gridCol w:w="94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44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income or capital gain is attributable to an enterprise or part thereof which is either effectively managed in the Netherlands or carried on through a permanent establishment (</w:t>
            </w:r>
            <w:r>
              <w:rPr>
                <w:rFonts w:ascii="Times New Roman;Times;serif" w:hAnsi="Times New Roman;Times;serif"/>
                <w:b w:val="false"/>
                <w:i/>
                <w:sz w:val="20"/>
              </w:rPr>
              <w:t>vaste inrichting</w:t>
            </w:r>
            <w:r>
              <w:rPr>
                <w:rFonts w:ascii="Times New Roman;Times;serif" w:hAnsi="Times New Roman;Times;serif"/>
                <w:b w:val="false"/>
                <w:i w:val="false"/>
                <w:caps w:val="false"/>
                <w:smallCaps w:val="false"/>
                <w:sz w:val="20"/>
              </w:rPr>
              <w:t>) or a permanent representative (</w:t>
            </w:r>
            <w:r>
              <w:rPr>
                <w:rFonts w:ascii="Times New Roman;Times;serif" w:hAnsi="Times New Roman;Times;serif"/>
                <w:b w:val="false"/>
                <w:i/>
                <w:sz w:val="20"/>
              </w:rPr>
              <w:t>vaste vertegenwoordiger</w:t>
            </w:r>
            <w:r>
              <w:rPr>
                <w:rFonts w:ascii="Times New Roman;Times;serif" w:hAnsi="Times New Roman;Times;serif"/>
                <w:b w:val="false"/>
                <w:i w:val="false"/>
                <w:caps w:val="false"/>
                <w:smallCaps w:val="false"/>
                <w:sz w:val="20"/>
              </w:rPr>
              <w:t>) taxable in the Netherlands and the Shareholder or Warrant Holder derives profits from such enterprise (other than by way of the holding of securities); or</w:t>
            </w:r>
          </w:p>
        </w:tc>
      </w:tr>
    </w:tbl>
    <w:tbl>
      <w:tblPr>
        <w:tblW w:w="9805" w:type="dxa"/>
        <w:jc w:val="left"/>
        <w:tblInd w:w="200" w:type="dxa"/>
        <w:tblLayout w:type="fixed"/>
        <w:tblCellMar>
          <w:top w:w="28" w:type="dxa"/>
          <w:left w:w="28" w:type="dxa"/>
          <w:bottom w:w="28" w:type="dxa"/>
          <w:right w:w="28" w:type="dxa"/>
        </w:tblCellMar>
      </w:tblPr>
      <w:tblGrid>
        <w:gridCol w:w="124"/>
        <w:gridCol w:w="301"/>
        <w:gridCol w:w="9380"/>
      </w:tblGrid>
      <w:tr>
        <w:trPr/>
        <w:tc>
          <w:tcPr>
            <w:tcW w:w="124" w:type="dxa"/>
            <w:tcBorders/>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38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Shareholder or Warrant Holder is an individual and the income or capital gain qualifies as income from miscellaneous activities (</w:t>
            </w:r>
            <w:r>
              <w:rPr>
                <w:rFonts w:ascii="Times New Roman;Times;serif" w:hAnsi="Times New Roman;Times;serif"/>
                <w:b w:val="false"/>
                <w:i/>
                <w:sz w:val="20"/>
              </w:rPr>
              <w:t>belastbaar resultaat uit overige werkzaamheden</w:t>
            </w:r>
            <w:r>
              <w:rPr>
                <w:rFonts w:ascii="Times New Roman;Times;serif" w:hAnsi="Times New Roman;Times;serif"/>
                <w:b w:val="false"/>
                <w:i w:val="false"/>
                <w:caps w:val="false"/>
                <w:smallCaps w:val="false"/>
                <w:sz w:val="20"/>
              </w:rPr>
              <w:t>) in the Netherlands as defined in the Income Tax Act 2001 (</w:t>
            </w:r>
            <w:r>
              <w:rPr>
                <w:rFonts w:ascii="Times New Roman;Times;serif" w:hAnsi="Times New Roman;Times;serif"/>
                <w:b w:val="false"/>
                <w:i/>
                <w:sz w:val="20"/>
              </w:rPr>
              <w:t>Wet inkomstenbelasting 2001</w:t>
            </w:r>
            <w:r>
              <w:rPr>
                <w:rFonts w:ascii="Times New Roman;Times;serif" w:hAnsi="Times New Roman;Times;serif"/>
                <w:b w:val="false"/>
                <w:i w:val="false"/>
                <w:caps w:val="false"/>
                <w:smallCaps w:val="false"/>
                <w:sz w:val="20"/>
              </w:rPr>
              <w:t>), including, without limitation, activities that exceed normal, active asset management (</w:t>
            </w:r>
            <w:r>
              <w:rPr>
                <w:rFonts w:ascii="Times New Roman;Times;serif" w:hAnsi="Times New Roman;Times;serif"/>
                <w:b w:val="false"/>
                <w:i/>
                <w:sz w:val="20"/>
              </w:rPr>
              <w:t>normaal, actief vermogensbeheer</w:t>
            </w:r>
            <w:r>
              <w:rPr>
                <w:rFonts w:ascii="Times New Roman;Times;serif" w:hAnsi="Times New Roman;Times;serif"/>
                <w:b w:val="false"/>
                <w:i w:val="false"/>
                <w:caps w:val="false"/>
                <w:smallCaps w:val="false"/>
                <w:sz w:val="20"/>
              </w:rPr>
              <w:t>).</w:t>
            </w:r>
          </w:p>
        </w:tc>
      </w:tr>
    </w:tbl>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Gift and Inheritance Taxes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Dutch gift or inheritance taxes will not be levied on the occasion of the transfer of a Shareholder or Warrant Holder by way of gift by, or on the death of, a holder, unless:</w:t>
      </w:r>
    </w:p>
    <w:tbl>
      <w:tblPr>
        <w:tblW w:w="9066" w:type="dxa"/>
        <w:jc w:val="left"/>
        <w:tblInd w:w="200" w:type="dxa"/>
        <w:tblLayout w:type="fixed"/>
        <w:tblCellMar>
          <w:top w:w="28" w:type="dxa"/>
          <w:left w:w="28" w:type="dxa"/>
          <w:bottom w:w="28" w:type="dxa"/>
          <w:right w:w="28" w:type="dxa"/>
        </w:tblCellMar>
      </w:tblPr>
      <w:tblGrid>
        <w:gridCol w:w="124"/>
        <w:gridCol w:w="286"/>
        <w:gridCol w:w="865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8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holder is or is deemed to be resident in the Netherlands for the purpose of the relevant provisions; or</w:t>
            </w:r>
          </w:p>
        </w:tc>
      </w:tr>
    </w:tbl>
    <w:tbl>
      <w:tblPr>
        <w:tblW w:w="9805" w:type="dxa"/>
        <w:jc w:val="left"/>
        <w:tblInd w:w="200" w:type="dxa"/>
        <w:tblLayout w:type="fixed"/>
        <w:tblCellMar>
          <w:top w:w="28" w:type="dxa"/>
          <w:left w:w="28" w:type="dxa"/>
          <w:bottom w:w="28" w:type="dxa"/>
          <w:right w:w="28" w:type="dxa"/>
        </w:tblCellMar>
      </w:tblPr>
      <w:tblGrid>
        <w:gridCol w:w="124"/>
        <w:gridCol w:w="317"/>
        <w:gridCol w:w="9364"/>
      </w:tblGrid>
      <w:tr>
        <w:trPr/>
        <w:tc>
          <w:tcPr>
            <w:tcW w:w="124" w:type="dxa"/>
            <w:tcBorders/>
            <w:vAlign w:val="center"/>
          </w:tcPr>
          <w:p>
            <w:pPr>
              <w:pStyle w:val="TableContents"/>
              <w:bidi w:val="0"/>
              <w:spacing w:before="0" w:after="283"/>
              <w:jc w:val="left"/>
              <w:rPr>
                <w:sz w:val="4"/>
                <w:szCs w:val="4"/>
              </w:rPr>
            </w:pPr>
            <w:r>
              <w:rPr>
                <w:sz w:val="4"/>
                <w:szCs w:val="4"/>
              </w:rPr>
            </w:r>
          </w:p>
        </w:tc>
        <w:tc>
          <w:tcPr>
            <w:tcW w:w="31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36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is construed as an inheritance or gift made by, or on behalf of, a person who, at the time of the gift or death, is or is deemed to be resident in the Netherlands for the purpose of the relevant provisions.</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Value Added Tax</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There is no Dutch value added tax payable by a Shareholder or Warrant Holder in respect of payments in consideration for the acquisition of Ordinary Shares and Warrants, payments of dividend on the Ordinary Shares and Warrants, or payments in consideration for the disposal of Ordinary Shares and Warrants.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Other Taxes and Duties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There is no Dutch registration tax, stamp duty, or any other similar tax or duty payable in the Netherlands in respect of or in connection with the subscription, issue, placement, allotment, delivery or transfer of Ordinary Shares and Warrants.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Residence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 Shareholder or Warrant Holder will not be and will not be deemed to be resident in the Netherlands for Dutch tax purposes and, subject to the exceptions set out above, will not otherwise be subject to Dutch taxation, by reason only of acquiring, holding or disposing of Ordinary Shares and Warrants.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Material German Tax Considerations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section is a description of the material German tax considerations that become relevant when acquiring, owning and/or disposing of Ordinary Shares and Warrants as from the date of this registration statement. It is based on the German tax law applicable as of the date of this registration statement without prejudice to any amendments introduced at a later date and implemented with or without retroactive effect.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This section is intended as general information only and does not purport to be a comprehensive or complete description of all potential German tax effects of the acquisition, ownership or disposal of Ordinary Shares or Warrants and does not set forth all German tax considerations that may be relevant to a particular person’s decision to acquire Ordinary Shares or Warrants. It cannot be ruled out that the German tax authorities or courts may consider an alternative interpretation or application to be correct that differs from the one described in this section.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This section does not describe any German tax considerations or consequences that may be relevant to the acquisition, ownership or disposal of Ordinary Shares or Warrants by a shareholder (i) for whom or for a direct or indirect shareholder or beneficiary of whom the income or capital gains derived from the Ordinary Shares or Warrants are attributable to employment, trade or freelancing activities, the income from which is taxable in Germany, or (ii) who exchanges, or has exchanged, other German taxable assets for Ordinary Shares or Warrants (or vice versa) under a German tax deferral transaction of the German reorganization tax act (</w:t>
      </w:r>
      <w:r>
        <w:rPr>
          <w:rFonts w:ascii="Times New Roman;Times;serif" w:hAnsi="Times New Roman;Times;serif"/>
          <w:i/>
          <w:sz w:val="20"/>
        </w:rPr>
        <w:t>Umwandlungssteuergesetz</w:t>
      </w:r>
      <w:r>
        <w:rPr>
          <w:rFonts w:ascii="Times New Roman;Times;serif" w:hAnsi="Times New Roman;Times;serif"/>
          <w:sz w:val="20"/>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This section does not constitute particular German tax advice and potential purchasers of Ordinary Shares or Warrants are urged to consult their own tax advisors regarding the tax consequences of the acquisition, ownership and/or disposal of Ordinary Shares or Warrants in light of their particular circumstances with regard to the application of German tax law to their particular situations, in particular with respect to the procedure to be complied with to obtain a relief of withholding tax on dividends and on capital gains (Kapitalertragsteuer) and with respect to the influence of provisions of any applicable income tax treaty on the mitigation of double taxation (each a “tax treaty”), as well as any tax consequences arising under the laws of any state, local or other non-German jurisdiction. A shareholder or holder of Warrants may include an individual who or an entity that does not have the legal title to the Ordinary Shares or Warrants, but to whom nevertheless the Ordinary Shares or Warrants are attributed for German tax purposes, based either on such individual or entity owning a beneficial interest in the Ordinary Shares or Warrants or based on specific statutory provisions.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All of the following is subject to change as from the date of this registration statement. Such changes could apply retroactively and could affect the consequences set forth below. This section does neither refer to any German filing, notification or other German tax compliance aspects nor to foreign account tax compliance act (“FATCA”) aspects.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Tax Residency Status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have our statutory seat in the Netherlands and our sole place of management in Germany and are therefore tax resident in Germany as from the date of this registration statement (both under German domestic law and for purposes of the German-Dutch tax treaty). Thus, we qualify as a corporation subject to German unlimited liability for corporate income tax purposes and are treated as a resident of Germany under the Dutch-German tax treaty. However, because our tax residency depends on future facts regarding our place of management, the German unlimited liability for corporate income tax purposes may change in the future.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assume for all purposes herein that we shall be tax resident in Germany at all relevant points in time when taxable events may occur. For the avoidance of doubt, any tax effects in relation to the Warrants or Ordinary Shares (other than as regards withholding tax as addressed below) are out of the scope of this registration statement.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German Taxation of Holders of Ordinary Shares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Taxation of Dividends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Withholding Tax on Dividend Payments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Dividends distributed from Schmid to our shareholders are generally subject to German withholding tax, except for certain scenarios in which a dividend is either excluded from the scope of German withholding tax (for example, repayments of capital from the tax contribution account (</w:t>
      </w:r>
      <w:r>
        <w:rPr>
          <w:rFonts w:ascii="Times New Roman;Times;serif" w:hAnsi="Times New Roman;Times;serif"/>
          <w:i/>
          <w:sz w:val="20"/>
        </w:rPr>
        <w:t>steuerliches Einlagekonto</w:t>
      </w:r>
      <w:r>
        <w:rPr>
          <w:rFonts w:ascii="Times New Roman;Times;serif" w:hAnsi="Times New Roman;Times;serif"/>
          <w:sz w:val="20"/>
        </w:rPr>
        <w:t>)) or fully or partially withholding tax exempt, as further described. The withholding tax rate is 25% plus a 5.5% solidarity surcharge (</w:t>
      </w:r>
      <w:r>
        <w:rPr>
          <w:rFonts w:ascii="Times New Roman;Times;serif" w:hAnsi="Times New Roman;Times;serif"/>
          <w:i/>
          <w:sz w:val="20"/>
        </w:rPr>
        <w:t>Solidaritätszuschlag</w:t>
      </w:r>
      <w:r>
        <w:rPr>
          <w:rFonts w:ascii="Times New Roman;Times;serif" w:hAnsi="Times New Roman;Times;serif"/>
          <w:sz w:val="20"/>
        </w:rPr>
        <w:t>) thereon, totaling 26.375% of the gross dividend amount and potentially church withholding tax for shareholders who are private individuals in certain cases (see below). Withholding tax is to be withheld and passed on for the account of the shareholders, depending on the specific circumstances, by a domestic branch of a domestic or foreign credit or financial services institution (</w:t>
      </w:r>
      <w:r>
        <w:rPr>
          <w:rFonts w:ascii="Times New Roman;Times;serif" w:hAnsi="Times New Roman;Times;serif"/>
          <w:i/>
          <w:sz w:val="20"/>
        </w:rPr>
        <w:t>Kredit- oder Finanzdienstleistungsinstitut</w:t>
      </w:r>
      <w:r>
        <w:rPr>
          <w:rFonts w:ascii="Times New Roman;Times;serif" w:hAnsi="Times New Roman;Times;serif"/>
          <w:sz w:val="20"/>
        </w:rPr>
        <w:t>) or by the domestic securities institution (</w:t>
      </w:r>
      <w:r>
        <w:rPr>
          <w:rFonts w:ascii="Times New Roman;Times;serif" w:hAnsi="Times New Roman;Times;serif"/>
          <w:i/>
          <w:sz w:val="20"/>
        </w:rPr>
        <w:t>inländisches Wertpapierinstitut</w:t>
      </w:r>
      <w:r>
        <w:rPr>
          <w:rFonts w:ascii="Times New Roman;Times;serif" w:hAnsi="Times New Roman;Times;serif"/>
          <w:sz w:val="20"/>
        </w:rPr>
        <w:t>) that keeps and administers the Ordinary Shares and disburses or credits the dividends or disburses the dividends to a foreign agent, or by the securities custodian bank (</w:t>
      </w:r>
      <w:r>
        <w:rPr>
          <w:rFonts w:ascii="Times New Roman;Times;serif" w:hAnsi="Times New Roman;Times;serif"/>
          <w:i/>
          <w:sz w:val="20"/>
        </w:rPr>
        <w:t>Wertpapiersammelbank</w:t>
      </w:r>
      <w:r>
        <w:rPr>
          <w:rFonts w:ascii="Times New Roman;Times;serif" w:hAnsi="Times New Roman;Times;serif"/>
          <w:sz w:val="20"/>
        </w:rPr>
        <w:t>) to which the Ordinary Shares were entrusted for custody if the dividends are distributed to a foreign agent by such securities custodian bank (each of which is referred to as the “Dividend Paying Agent”), or, in the case the Ordinary Shares are not held in deposit with a Dividend Paying Agent, Schmid is responsible for withholding and remitting the tax to the competent tax office. Such withholding tax is generally levied and withheld irrespective of whether and to what extent the dividend distribution is taxable at the level of the shareholder and whether the shareholder is a person residing in Germany or in a foreign country.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the case of dividends distributed to a parent company within the meaning of Art. 3 para. 1 lit. a of the amended EU Directive 2011/96/EU of the Council of November 30, 2011 (the “EU Parent Subsidiary Directive”) domiciled in another Member State of the European Union, withholding tax may be refunded or not levied upon application and subject to further conditions (as set out below). This also applies to dividends distributed to a permanent establishment located in another Member State of the European Union of such a parent company or of a parent company tax resident in Germany if the participation in Schmid is effectively connected with and actually attributed to this permanent establishment. The key prerequisite for the application of the EU Parent Subsidiary Directive is that the shareholder has held a direct participation in the share capital of Schmid of at least 10% for an uninterrupted period of at least twelve months. Further, the foreign resident shareholder must be eligible for purposes of the EU Parent Subsidiary Directive (as set out above) to invoke the reduction, and in addition, nor the German anti-directive/ treaty shopping provision of Section 50d paragraph 3 of the German Income Tax Act (</w:t>
      </w:r>
      <w:r>
        <w:rPr>
          <w:rFonts w:ascii="Times New Roman;Times;serif" w:hAnsi="Times New Roman;Times;serif"/>
          <w:i/>
          <w:sz w:val="20"/>
        </w:rPr>
        <w:t>Einkommensteuergesetz</w:t>
      </w:r>
      <w:r>
        <w:rPr>
          <w:rFonts w:ascii="Times New Roman;Times;serif" w:hAnsi="Times New Roman;Times;serif"/>
          <w:sz w:val="20"/>
        </w:rPr>
        <w:t>) must not be fulfilled.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withholding tax on dividends distributed to other foreign resident shareholders may be refunded or not levied upon application (as set out below) in accordance with an applicable tax treaty (to 15%, 5% or 0% depending on certain prerequisites) if Germany has concluded such tax treaty with the country of residence of the shareholder and if the shareholder does not hold the Ordinary Shares either as part of the assets of a permanent establishment or a fixed place of business in Germany or as business assets for which a permanent representative has been appointed in Germany. Further, the foreign resident shareholder must be eligible for tax treaty purposes, and in addition, neither the limitation of benefits provision in a tax treaty and nor the German anti-directive/treaty shopping provision of Section 50d paragraph 3 of the German Income Tax Act (</w:t>
      </w:r>
      <w:r>
        <w:rPr>
          <w:rFonts w:ascii="Times New Roman;Times;serif" w:hAnsi="Times New Roman;Times;serif"/>
          <w:i/>
          <w:sz w:val="20"/>
        </w:rPr>
        <w:t>Einkommensteuergesetz</w:t>
      </w:r>
      <w:r>
        <w:rPr>
          <w:rFonts w:ascii="Times New Roman;Times;serif" w:hAnsi="Times New Roman;Times;serif"/>
          <w:sz w:val="20"/>
        </w:rPr>
        <w:t>) must be fulfilled.</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In the case of dividends received by corporate bodies (</w:t>
      </w:r>
      <w:r>
        <w:rPr>
          <w:rFonts w:ascii="Times New Roman;Times;serif" w:hAnsi="Times New Roman;Times;serif"/>
          <w:i/>
          <w:sz w:val="20"/>
        </w:rPr>
        <w:t>Körperschaften</w:t>
      </w:r>
      <w:r>
        <w:rPr>
          <w:rFonts w:ascii="Times New Roman;Times;serif" w:hAnsi="Times New Roman;Times;serif"/>
          <w:sz w:val="20"/>
        </w:rPr>
        <w:t xml:space="preserve">) which are not tax resident in Germany, i.e., corporate bodies with no registered office or place of management in Germany and if the shares neither belong to the assets of a permanent establishment or fixed place of business in Germany nor are part of business assets for which a permanent representative in Germany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has been appointed, two-fifths of the withholding tax deducted and remitted may be refunded or not levied upon application (as set out below) without the need to fulfill all prerequisites required for such refund under the EU Parent Subsidiary Directive or under a tax treaty or if no tax treaty has been concluded between the state of residence of the shareholder, however, likewise subject to the conditions of the aforementioned German anti-directive/treaty shopping provision.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application for a refund of withholding tax under the EU Parent Subsidiary Directive, a tax treaty or the aforementioned option for foreign corporate bodies is to be filed with the German Federal Central Tax Office (</w:t>
      </w:r>
      <w:r>
        <w:rPr>
          <w:rFonts w:ascii="Times New Roman;Times;serif" w:hAnsi="Times New Roman;Times;serif"/>
          <w:i/>
          <w:sz w:val="20"/>
        </w:rPr>
        <w:t>Bundeszentralamt für Steuern</w:t>
      </w:r>
      <w:r>
        <w:rPr>
          <w:rFonts w:ascii="Times New Roman;Times;serif" w:hAnsi="Times New Roman;Times;serif"/>
          <w:sz w:val="20"/>
        </w:rPr>
        <w:t>) within four years following the end of the calendar year in which the dividends were received. The application shall be made by submitting a completed form for refund (available at the website of the Federal Central Tax Office (http://www.bzst.de) as well as at the German embassies and consulates) together with a withholding tax certificate (</w:t>
      </w:r>
      <w:r>
        <w:rPr>
          <w:rFonts w:ascii="Times New Roman;Times;serif" w:hAnsi="Times New Roman;Times;serif"/>
          <w:i/>
          <w:sz w:val="20"/>
        </w:rPr>
        <w:t>Kapitalertragsteuerbescheinigung</w:t>
      </w:r>
      <w:r>
        <w:rPr>
          <w:rFonts w:ascii="Times New Roman;Times;serif" w:hAnsi="Times New Roman;Times;serif"/>
          <w:sz w:val="20"/>
        </w:rPr>
        <w:t>) issued by the institution that deducted the respective withholding tax via the website of the German Federal Central Tax Office (“electronic procedure”). In this case, the refund of deducted withholding tax is procedurally granted in such a manner that the difference between the total amount withheld, including the solidarity surcharge, and the tax liability determined on the basis of the EU Parent Subsidiary Directive (0) % or on the basis of the tax rate set forth in the applicable tax treaty (15%, 5% or 0) % is refunded by the German Federal Central Tax Office.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under fulfillment of the prerequisites of the EU Parent Subsidiary Directive or a tax treaty, withholding tax is not to be levied at all, the relevant shareholder must apply to the German Federal Central Tax Office for the issuance of an exemption certificate (</w:t>
      </w:r>
      <w:r>
        <w:rPr>
          <w:rFonts w:ascii="Times New Roman;Times;serif" w:hAnsi="Times New Roman;Times;serif"/>
          <w:i/>
          <w:sz w:val="20"/>
        </w:rPr>
        <w:t>Freistellungsbescheinigung</w:t>
      </w:r>
      <w:r>
        <w:rPr>
          <w:rFonts w:ascii="Times New Roman;Times;serif" w:hAnsi="Times New Roman;Times;serif"/>
          <w:sz w:val="20"/>
        </w:rPr>
        <w:t>) that documents that the prerequisites for the application of the reduced withholding tax rates have been met. Dividends covered by the exemption certificate of the shareholder are then only subject to the reduced withholding tax rates stipulated in the exemption certificate.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Please note that applying for a non-assessment notice and/or applying for a refund might require a significant amount of time. On 2 April 2024, the German Federal Government published a statement, according to which the Central Federal Tax Office currently needs (on an average basis) 480 days for deciding about the issuance of non-assessment notices under relief of source procedures (</w:t>
      </w:r>
      <w:r>
        <w:rPr>
          <w:rFonts w:ascii="Times New Roman;Times;serif" w:hAnsi="Times New Roman;Times;serif"/>
          <w:i/>
          <w:sz w:val="20"/>
        </w:rPr>
        <w:t>Freistellungsverfahren</w:t>
      </w:r>
      <w:r>
        <w:rPr>
          <w:rFonts w:ascii="Times New Roman;Times;serif" w:hAnsi="Times New Roman;Times;serif"/>
          <w:sz w:val="20"/>
        </w:rPr>
        <w:t>) and 615 days for deciding about refunds under the retain and refund procedures (</w:t>
      </w:r>
      <w:r>
        <w:rPr>
          <w:rFonts w:ascii="Times New Roman;Times;serif" w:hAnsi="Times New Roman;Times;serif"/>
          <w:i/>
          <w:sz w:val="20"/>
        </w:rPr>
        <w:t>Erstattungsverfahren</w:t>
      </w:r>
      <w:r>
        <w:rPr>
          <w:rFonts w:ascii="Times New Roman;Times;serif" w:hAnsi="Times New Roman;Times;serif"/>
          <w:sz w:val="20"/>
        </w:rPr>
        <w:t>). According to a recent statement on the website of the German Federal Central Tax Office, due to the large number of applications received, processing times for refund can exceed 20 months.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aforementioned refunds of (or exemptions from) withholding tax are further restricted if (i) the applicable tax treaty provides for a tax reduction resulting in an applicable tax rate of less than 15% and (ii) the shareholder is not a corporation that directly holds at least 10% in the equity capital of Schmid and is subject to tax on its income and profits in its state of residence without being exempt. In this case, the refund of (or exemption from) withholding tax is subject to the following three cumulative prerequisites: (i) the shareholder must qualify as beneficial owner of the shares in a company for a minimum holding period of 45 consecutive days occurring within a period of 45 days prior and 45 days after the due date of the dividends; (ii) the shareholder has to bear (taking into account claims of the shareholder from transactions reducing the risk of changes of the market value of the shares and corresponding claims of related parties of the shareholder) at least 70% of the change in value risk related to the shares in a company during the minimum holding period; and (iii) the shareholder must not be required to fully or largely compensate directly or indirectly the dividends to third parties.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the absence of the fulfillment of all of the three prerequisites, three-fifths of the withholding tax imposed on the dividends must not be credited against the shareholder’s (corporate) income tax liability but may, upon application, be deducted from the shareholder’s tax base for the relevant assessment period. Furthermore, a shareholder that has received gross dividends without any deduction of withholding tax due to a tax exemption without qualifying for such a full tax credit has (i) to notify the competent local tax office accordingly, (ii) to declare according to the officially prescribed form and (iii) to make a payment in the amount of the omitted withholding tax deduction.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However, these special rules on the restriction of withholding tax credit do not apply to a shareholder whose overall dividend earnings within an assessment period do not exceed €20,000 or that has been the beneficial owner of the shares in a company for at least one uninterrupted year upon receipt of the dividends.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For individual or corporate shareholders tax resident outside Germany not holding the Ordinary Shares through a permanent establishment (</w:t>
      </w:r>
      <w:r>
        <w:rPr>
          <w:rFonts w:ascii="Times New Roman;Times;serif" w:hAnsi="Times New Roman;Times;serif"/>
          <w:i/>
          <w:sz w:val="20"/>
        </w:rPr>
        <w:t>Betriebsstätte</w:t>
      </w:r>
      <w:r>
        <w:rPr>
          <w:rFonts w:ascii="Times New Roman;Times;serif" w:hAnsi="Times New Roman;Times;serif"/>
          <w:sz w:val="20"/>
        </w:rPr>
        <w:t>) in Germany or as business assets (</w:t>
      </w:r>
      <w:r>
        <w:rPr>
          <w:rFonts w:ascii="Times New Roman;Times;serif" w:hAnsi="Times New Roman;Times;serif"/>
          <w:i/>
          <w:sz w:val="20"/>
        </w:rPr>
        <w:t>Betriebsvermögen</w:t>
      </w:r>
      <w:r>
        <w:rPr>
          <w:rFonts w:ascii="Times New Roman;Times;serif" w:hAnsi="Times New Roman;Times;serif"/>
          <w:sz w:val="20"/>
        </w:rPr>
        <w:t>) for which a permanent representative (</w:t>
      </w:r>
      <w:r>
        <w:rPr>
          <w:rFonts w:ascii="Times New Roman;Times;serif" w:hAnsi="Times New Roman;Times;serif"/>
          <w:i/>
          <w:sz w:val="20"/>
        </w:rPr>
        <w:t>ständiger Vertreter</w:t>
      </w:r>
      <w:r>
        <w:rPr>
          <w:rFonts w:ascii="Times New Roman;Times;serif" w:hAnsi="Times New Roman;Times;serif"/>
          <w:sz w:val="20"/>
        </w:rPr>
        <w:t xml:space="preserve">) has been appointed in Germany, the remaining and paid withholding tax (if any) is then final (i.e., not refundable) and settles the shareholder’s limited tax liability in Germany. For individual or corporate shareholders tax resident in Germany (for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example, those shareholders whose residence, domicile, registered office or place of management is located in Germany) holding their Ordinary Shares as business assets, as well as for shareholders tax resident outside of Germany holding their Ordinary Shares through a permanent establishment in Germany or as business assets for which a permanent representative has been appointed in Germany, the withholding tax withheld (including solidarity surcharge) can be credited against the shareholder’s personal income tax or corporate income tax liability in Germany. Any withholding tax (including solidarity surcharge) in excess of such tax liability will be refunded upon receipt of the relevant tax assessment. For individual shareholders tax resident in Germany holding Ordinary Shares as private assets, the withholding tax is a final tax (</w:t>
      </w:r>
      <w:r>
        <w:rPr>
          <w:rFonts w:ascii="Times New Roman;Times;serif" w:hAnsi="Times New Roman;Times;serif"/>
          <w:i/>
          <w:sz w:val="20"/>
        </w:rPr>
        <w:t>Abgeltungsteuer</w:t>
      </w:r>
      <w:r>
        <w:rPr>
          <w:rFonts w:ascii="Times New Roman;Times;serif" w:hAnsi="Times New Roman;Times;serif"/>
          <w:sz w:val="20"/>
        </w:rPr>
        <w:t>), subject to the exceptions described in the following section.</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Taxation of Dividend Income of Shareholders Tax Resident in Germany Holding Ordinary Shares as Private Assets (Private Individuals)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For individual shareholders (individuals) resident in Germany holding Ordinary Shares as private assets, dividends are subject to a flat rate tax, which is satisfied by the withholding tax actually withheld (</w:t>
      </w:r>
      <w:r>
        <w:rPr>
          <w:rFonts w:ascii="Times New Roman;Times;serif" w:hAnsi="Times New Roman;Times;serif"/>
          <w:i/>
          <w:sz w:val="20"/>
        </w:rPr>
        <w:t>Abgeltungsteuer</w:t>
      </w:r>
      <w:r>
        <w:rPr>
          <w:rFonts w:ascii="Times New Roman;Times;serif" w:hAnsi="Times New Roman;Times;serif"/>
          <w:sz w:val="20"/>
        </w:rPr>
        <w:t>). Accordingly, dividend income will be taxed at a flat tax rate of 25% plus 5.5% solidarity surcharge thereon totaling 26.375% and church tax (</w:t>
      </w:r>
      <w:r>
        <w:rPr>
          <w:rFonts w:ascii="Times New Roman;Times;serif" w:hAnsi="Times New Roman;Times;serif"/>
          <w:i/>
          <w:sz w:val="20"/>
        </w:rPr>
        <w:t>Kirchensteuer</w:t>
      </w:r>
      <w:r>
        <w:rPr>
          <w:rFonts w:ascii="Times New Roman;Times;serif" w:hAnsi="Times New Roman;Times;serif"/>
          <w:sz w:val="20"/>
        </w:rPr>
        <w:t>) in case the shareholder is subject to church tax because of his or her personal circumstances. An automatic procedure for deduction of church tax by way of withholding will apply to shareholders being subject to church tax, unless the shareholder has filed a blocking notice (</w:t>
      </w:r>
      <w:r>
        <w:rPr>
          <w:rFonts w:ascii="Times New Roman;Times;serif" w:hAnsi="Times New Roman;Times;serif"/>
          <w:i/>
          <w:sz w:val="20"/>
        </w:rPr>
        <w:t>Sperrvermerk</w:t>
      </w:r>
      <w:r>
        <w:rPr>
          <w:rFonts w:ascii="Times New Roman;Times;serif" w:hAnsi="Times New Roman;Times;serif"/>
          <w:sz w:val="20"/>
        </w:rPr>
        <w:t>) with the German Federal Tax Office (details related to the computation of the specific tax rate, including church tax, are to be discussed with the individual tax advisor of the relevant shareholder). Except for an annual lump sum savings allowance (</w:t>
      </w:r>
      <w:r>
        <w:rPr>
          <w:rFonts w:ascii="Times New Roman;Times;serif" w:hAnsi="Times New Roman;Times;serif"/>
          <w:i/>
          <w:sz w:val="20"/>
        </w:rPr>
        <w:t>Sparer-Pauschbetrag</w:t>
      </w:r>
      <w:r>
        <w:rPr>
          <w:rFonts w:ascii="Times New Roman;Times;serif" w:hAnsi="Times New Roman;Times;serif"/>
          <w:sz w:val="20"/>
        </w:rPr>
        <w:t>) of up to €1,000 (for individual filers) or up to €2,000 (for married couples and for partners in accordance with the registered partnership law (</w:t>
      </w:r>
      <w:r>
        <w:rPr>
          <w:rFonts w:ascii="Times New Roman;Times;serif" w:hAnsi="Times New Roman;Times;serif"/>
          <w:i/>
          <w:sz w:val="20"/>
        </w:rPr>
        <w:t>Gesetz über die Eingetragene Lebenspartnerschaft</w:t>
      </w:r>
      <w:r>
        <w:rPr>
          <w:rFonts w:ascii="Times New Roman;Times;serif" w:hAnsi="Times New Roman;Times;serif"/>
          <w:sz w:val="20"/>
        </w:rPr>
        <w:t>) filing jointly), private individual shareholders will not be entitled to deduct expenses incurred in connection with the capital investment from their dividend income.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income tax owed for the dividend income is satisfied by the withholding tax withheld by the an agent of Schmid or Schmid. However, if the flat tax results in a higher tax burden as opposed to the private individual shareholder’s personal income tax rate, the private individual shareholder can opt for taxation at his or her personal income tax rate. In that case, the final withholding tax will be credited against the income tax. The option can be exercised only for all capital income from capital investments received in the relevant assessment period uniformly, and married couples as well as partners in accordance with the registered partnership law filing jointly can only jointly exercise the option.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Exceptions from the flat rate tax (satisfied by withholding the tax at source, A</w:t>
      </w:r>
      <w:r>
        <w:rPr>
          <w:rFonts w:ascii="Times New Roman;Times;serif" w:hAnsi="Times New Roman;Times;serif"/>
          <w:i/>
          <w:sz w:val="20"/>
        </w:rPr>
        <w:t>bgeltungswirkung</w:t>
      </w:r>
      <w:r>
        <w:rPr>
          <w:rFonts w:ascii="Times New Roman;Times;serif" w:hAnsi="Times New Roman;Times;serif"/>
          <w:sz w:val="20"/>
        </w:rPr>
        <w:t xml:space="preserve">) may apply — that is, only upon application — (i) for shareholders who have a shareholding of at least 25% in Schmid and (ii) for shareholders who have a shareholding of at least 1% in Schmid and work for the Company in a professional capacity, each within the assessment period for which the application is first made. In such a case, the same rules apply as for sole proprietors holding Ordinary Shares as business assets (see below “— </w:t>
      </w:r>
      <w:r>
        <w:rPr>
          <w:rFonts w:ascii="Times New Roman;Times;serif" w:hAnsi="Times New Roman;Times;serif"/>
          <w:i/>
          <w:sz w:val="20"/>
        </w:rPr>
        <w:t>Taxation of Dividend Income of Shareholders Tax Resident in Germany Holding Ordinary Shares as Business Assets — Sole Proprietors</w:t>
      </w:r>
      <w:r>
        <w:rPr>
          <w:rFonts w:ascii="Times New Roman;Times;serif" w:hAnsi="Times New Roman;Times;serif"/>
          <w:sz w:val="20"/>
        </w:rPr>
        <w:t>”). Further, the flat rate tax does not apply if and to the extent dividends reduced Schmid taxable income.</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Taxation of Dividend Income of Shareholders Tax Resident in Germany Holding Ordinary Shares as Business Assets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a shareholder holds Ordinary Shares as business assets, the taxation of the dividend income depends on whether the respective shareholder is a corporation, a sole proprietor or a partnership.</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Dividend income of corporate shareholders is exempt from corporate income tax, provided that the corporation holds a direct participation of at least 10% in the share capital of a company at the beginning of the calendar year in which the dividends are paid (participation exemption). The acquisition of a participation of at least 10% in the course of a calendar year (in one instance) is deemed to have occurred at the beginning of such calendar year. Participations in the share capital of the Company that a corporate shareholder holds through a partnership, including co-entrepreneurships (</w:t>
      </w:r>
      <w:r>
        <w:rPr>
          <w:rFonts w:ascii="Times New Roman;Times;serif" w:hAnsi="Times New Roman;Times;serif"/>
          <w:i/>
          <w:sz w:val="20"/>
        </w:rPr>
        <w:t>Mitunternehmerschaften</w:t>
      </w:r>
      <w:r>
        <w:rPr>
          <w:rFonts w:ascii="Times New Roman;Times;serif" w:hAnsi="Times New Roman;Times;serif"/>
          <w:sz w:val="20"/>
        </w:rPr>
        <w:t>), are attributable to such corporate shareholder only on a pro rata basis at the ratio of the interest share of the corporate shareholder in the assets of the relevant partnership. However, 5% of the tax-exempt dividends are deemed to be non-deductible business expenses for tax purposes and therefore are effectively subject to corporate income tax (plus solidarity surcharge); i.e., tax exemption of 95%. Business expenses incurred in connection with the dividends received are entirely tax deductible. The participation exemption does not apply if and to the extent dividends reduced Schmid’s taxable income.</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For trade tax purposes, the entire dividend income is subject to trade tax (i.e., the tax-exempt dividends must be added back when determining the trade taxable income), unless the corporate shareholder holds at least 15% of the Company’s registered share capital at the beginning of the relevant tax assessment period (</w:t>
      </w:r>
      <w:r>
        <w:rPr>
          <w:rFonts w:ascii="Times New Roman;Times;serif" w:hAnsi="Times New Roman;Times;serif"/>
          <w:i/>
          <w:sz w:val="20"/>
        </w:rPr>
        <w:t>Erhebungszeitraum</w:t>
      </w:r>
      <w:r>
        <w:rPr>
          <w:rFonts w:ascii="Times New Roman;Times;serif" w:hAnsi="Times New Roman;Times;serif"/>
          <w:sz w:val="20"/>
        </w:rPr>
        <w:t xml:space="preserve">). In such case, the dividends are not subject to trade tax.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 xml:space="preserve">However, trade tax is levied on the amount considered to be a non-deductible business expense (amounting to 5% of the dividend). Trade tax depends on the municipal trade tax multiplier applied by the relevant municipal authority. In the case of an indirect participation via a partnership, please refer to the section “— </w:t>
      </w:r>
      <w:r>
        <w:rPr>
          <w:rFonts w:ascii="Times New Roman;Times;serif" w:hAnsi="Times New Roman;Times;serif"/>
          <w:i/>
          <w:sz w:val="20"/>
        </w:rPr>
        <w:t>Partnerships</w:t>
      </w:r>
      <w:r>
        <w:rPr>
          <w:rFonts w:ascii="Times New Roman;Times;serif" w:hAnsi="Times New Roman;Times;serif"/>
          <w:sz w:val="20"/>
        </w:rPr>
        <w:t>” below.</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the shareholding is below 10% in the share capital, dividends are taxable at the applicable corporate income tax rate of 15% plus 5.5% solidarity surcharge thereon and trade tax (the rate of which depends on the applicable municipality levy rate determined by the municipality in which the corporate shareholder has its place of management and permanent establishments, respectively, to which the Ordinary Shares are attributed).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Special regulations apply that abolish the 95% tax exemption, if Ordinary Shares are held (i) as trading portfolio (Handelsbestand) assets in the meaning of Section 340e paragraph 3 of the German Commercial Code (Handelsgesetzbuch) by a (a) credit institution (Kreditinstitut), (b) securities institution (Wertpapierinstitut) or (c) financial service institution (Finanzdienstleistungsinstitut) or (ii) as current assets (Umlaufvermögen) by a financial enterprise (Finanzunternehmen) within the meaning of the German Banking Act (Kreditwesengesetz), in the case more than 50% of the shares of such financial enterprise are held directly or indirectly by a credit institution, a securities institution or a financial service institution, or (iii) by a life insurance company, a health insurance company or a pension fund in the case the shares are attributable to the capital investments, resulting in fully taxable income (any shareholder falling under (i), (ii) or (iii), a “Non-Exempt Corporation”).</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Sole proprietors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For sole proprietors (individuals) resident in Germany holding Ordinary Shares as business assets, dividends are subject to the partial income rule (</w:t>
      </w:r>
      <w:r>
        <w:rPr>
          <w:rFonts w:ascii="Times New Roman;Times;serif" w:hAnsi="Times New Roman;Times;serif"/>
          <w:i/>
          <w:sz w:val="20"/>
        </w:rPr>
        <w:t>Teileinkünfteverfahren</w:t>
      </w:r>
      <w:r>
        <w:rPr>
          <w:rFonts w:ascii="Times New Roman;Times;serif" w:hAnsi="Times New Roman;Times;serif"/>
          <w:sz w:val="20"/>
        </w:rPr>
        <w:t>). Accordingly, only (i) 60% of the dividend income will be taxed at his/her personal income tax rate plus 5.5% solidarity surcharge thereon (if applicable) and (ii) 60% of the business expenses related to the dividend income are deductible for tax purposes. This does not apply to church tax (if applicable). In addition, the dividend income is entirely subject to trade tax if the Ordinary Shares are held as business assets of a permanent establishment in Germany within the meaning of the German Trade Tax Act (</w:t>
      </w:r>
      <w:r>
        <w:rPr>
          <w:rFonts w:ascii="Times New Roman;Times;serif" w:hAnsi="Times New Roman;Times;serif"/>
          <w:i/>
          <w:sz w:val="20"/>
        </w:rPr>
        <w:t>Gewerbesteuergesetz</w:t>
      </w:r>
      <w:r>
        <w:rPr>
          <w:rFonts w:ascii="Times New Roman;Times;serif" w:hAnsi="Times New Roman;Times;serif"/>
          <w:sz w:val="20"/>
        </w:rPr>
        <w:t>), unless the shareholder holds at least 15% of the Company’s registered share capital at the beginning of the relevant assessment period. In this latter case, the net amount of dividends, i.e., after deducting directly related expenses, is exempt from trade tax. The trade tax levied will be eligible for credit against the shareholder’s personal income tax liability based on the applicable municipal trade tax rate and the individual tax situation of the shareholder limited to currently up to 4.0 times the trade tax measurement amount (</w:t>
      </w:r>
      <w:r>
        <w:rPr>
          <w:rFonts w:ascii="Times New Roman;Times;serif" w:hAnsi="Times New Roman;Times;serif"/>
          <w:i/>
          <w:sz w:val="20"/>
        </w:rPr>
        <w:t>Gewerbesteuer-Messbetrag</w:t>
      </w:r>
      <w:r>
        <w:rPr>
          <w:rFonts w:ascii="Times New Roman;Times;serif" w:hAnsi="Times New Roman;Times;serif"/>
          <w:sz w:val="20"/>
        </w:rPr>
        <w:t>) and also limited to the amount of trade tax actually to be paid.</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Partnerships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the case Ordinary Shares are held by a partnership, the partnership itself is not subject to corporate income tax or personal income tax. In this regard, corporate income tax or personal income tax (and church tax, if applicable) as well as solidarity surcharge (if applicable) are levied only at the level of the partner with respect to their relevant part of the partnership’s taxable income and depending on their individual circumstances:</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if the partner is a corporation, the dividend income will be subject to corporate income tax plus solidarity surcharge (see above </w:t>
            </w:r>
            <w:r>
              <w:rPr/>
              <w:t xml:space="preserve">“— </w:t>
            </w:r>
            <w:r>
              <w:rPr>
                <w:rFonts w:ascii="Times New Roman;Times;serif" w:hAnsi="Times New Roman;Times;serif"/>
                <w:b w:val="false"/>
                <w:i/>
                <w:sz w:val="20"/>
              </w:rPr>
              <w:t>Corporations</w:t>
            </w:r>
            <w:r>
              <w:rPr>
                <w:caps w:val="false"/>
                <w:smallCaps w:val="false"/>
              </w:rPr>
              <w:t>”</w:t>
            </w:r>
            <w:r>
              <w:rPr>
                <w:rFonts w:ascii="Times New Roman;Times;serif" w:hAnsi="Times New Roman;Times;serif"/>
                <w:b w:val="false"/>
                <w:i w:val="false"/>
                <w:caps w:val="false"/>
                <w:smallCaps w:val="false"/>
                <w:sz w:val="20"/>
              </w:rPr>
              <w: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if the partner is a sole proprietor, the dividend income will be subject to the partial income rule (see above </w:t>
            </w:r>
            <w:r>
              <w:rPr/>
              <w:t xml:space="preserve">“— </w:t>
            </w:r>
            <w:r>
              <w:rPr>
                <w:rFonts w:ascii="Times New Roman;Times;serif" w:hAnsi="Times New Roman;Times;serif"/>
                <w:b w:val="false"/>
                <w:i/>
                <w:sz w:val="20"/>
              </w:rPr>
              <w:t>Sole Proprietors</w:t>
            </w:r>
            <w:r>
              <w:rPr>
                <w:caps w:val="false"/>
                <w:smallCaps w:val="false"/>
              </w:rPr>
              <w:t>”</w:t>
            </w:r>
            <w:r>
              <w:rPr>
                <w:rFonts w:ascii="Times New Roman;Times;serif" w:hAnsi="Times New Roman;Times;serif"/>
                <w:b w:val="false"/>
                <w:i w:val="false"/>
                <w:caps w:val="false"/>
                <w:smallCaps w:val="false"/>
                <w:sz w:val="20"/>
              </w:rPr>
              <w:t>); or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if the partner is a private individual — only possible if the partnership is not a (operative or deemed) commercial partnership, the dividend income will be subject to the flat tax rate (see above </w:t>
            </w:r>
            <w:r>
              <w:rPr/>
              <w:t xml:space="preserve">“—  </w:t>
            </w:r>
            <w:r>
              <w:rPr>
                <w:rFonts w:ascii="Times New Roman;Times;serif" w:hAnsi="Times New Roman;Times;serif"/>
                <w:b w:val="false"/>
                <w:i/>
                <w:sz w:val="20"/>
              </w:rPr>
              <w:t>Private Individuals</w:t>
            </w:r>
            <w:r>
              <w:rPr>
                <w:caps w:val="false"/>
                <w:smallCaps w:val="false"/>
              </w:rPr>
              <w:t>”</w:t>
            </w:r>
            <w:r>
              <w:rPr>
                <w:rFonts w:ascii="Times New Roman;Times;serif" w:hAnsi="Times New Roman;Times;serif"/>
                <w:b w:val="false"/>
                <w:i w:val="false"/>
                <w:caps w:val="false"/>
                <w:smallCaps w:val="false"/>
                <w:sz w:val="20"/>
              </w:rPr>
              <w:t>).</w:t>
            </w:r>
          </w:p>
        </w:tc>
      </w:tr>
    </w:tbl>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In the case the partnership is a (operative or deemed) commercial partnership with its place of management in Germany, the dividend income is subject to German trade tax at the level of the partnership, unless the partnership holds at least 15% of a company’s registered share capital at the beginning of the relevant assessment period. In such case, the dividend income is 95% exempt from trade tax to the extent the partners of the partnership are corporations (indirectly holding at least 10% of the shares in Schmid) and 40% exempt from trade tax to the extent the partners of the partnership are sole proprietors. Any trade tax levied on the level of the partnership will be eligible for credit against an individual shareholder’s personal income tax liability based on the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applicable municipal trade tax rate, depending on the individual tax situation of the shareholder and further circumstances and limited to currently 4.0 times the partial trade tax measurement amount allocable to such individual shareholder.</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Partnerships can opt to be treated as a corporation for purposes of German income taxation. If the shareholder is a partnership that has validly exercised such option right, any dividends from shares or subscription rights are subject to corporate income tax (and, for the avoidance of doubt, trade tax).</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Taxation of Dividend Income of Shareholders Tax Resident Outside of Germany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For foreign individual or corporate shareholders tax resident outside of Germany not holding the Ordinary Shares through a permanent establishment in Germany or as business assets for which a permanent representative has been appointed in Germany, the deducted withholding tax (possibly reduced by way of a tax relief under a tax treaty or domestic tax law, such as in connection with the EU Parent Subsidiary Directive) is final (that is, not refundable) and settles the shareholder’s limited tax liability in Germany, unless the shareholder is entitled to apply for a withholding tax refund or exemption (as set out above in “— </w:t>
      </w:r>
      <w:r>
        <w:rPr>
          <w:rFonts w:ascii="Times New Roman;Times;serif" w:hAnsi="Times New Roman;Times;serif"/>
          <w:i/>
          <w:sz w:val="20"/>
        </w:rPr>
        <w:t>Withholding Tax on Dividend Payments</w:t>
      </w:r>
      <w:r>
        <w:rPr>
          <w:rFonts w:ascii="Times New Roman;Times;serif" w:hAnsi="Times New Roman;Times;serif"/>
          <w:sz w:val="20"/>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contrast, individual or corporate shareholders tax resident outside of Germany holding the Company’s Ordinary Shares through a permanent establishment in Germany or as business assets for which a permanent representative has been appointed in Germany are subject to the same rules as applicable (and described above) to shareholders resident in Germany holding the Ordinary Shares as business assets. The withholding tax withheld (including solidarity surcharge) will generally be credited against the shareholder’s personal income tax or corporate income tax liability in Germany if the prerequisites set out above (see “— Withholding Tax on Dividend Payments”) are fulfilled.</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Taxation of Capital Gains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Withholding Tax on Capital Gains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Capital gains realized on the disposal of Ordinary Shares are only subject to withholding tax if a domestic branch of a domestic or foreign credit or financial services institution (</w:t>
      </w:r>
      <w:r>
        <w:rPr>
          <w:rFonts w:ascii="Times New Roman;Times;serif" w:hAnsi="Times New Roman;Times;serif"/>
          <w:i/>
          <w:sz w:val="20"/>
        </w:rPr>
        <w:t>Kredit- oder Finanzdienstleistungsinstitut</w:t>
      </w:r>
      <w:r>
        <w:rPr>
          <w:rFonts w:ascii="Times New Roman;Times;serif" w:hAnsi="Times New Roman;Times;serif"/>
          <w:sz w:val="20"/>
        </w:rPr>
        <w:t>) or a domestic securities institution (</w:t>
      </w:r>
      <w:r>
        <w:rPr>
          <w:rFonts w:ascii="Times New Roman;Times;serif" w:hAnsi="Times New Roman;Times;serif"/>
          <w:i/>
          <w:sz w:val="20"/>
        </w:rPr>
        <w:t>inländisches Wertpapierinstitut</w:t>
      </w:r>
      <w:r>
        <w:rPr>
          <w:rFonts w:ascii="Times New Roman;Times;serif" w:hAnsi="Times New Roman;Times;serif"/>
          <w:sz w:val="20"/>
        </w:rPr>
        <w:t>) (each of which is referred to as the “German Disbursing Agent”) stores or administrates or carries out the disposal of the Ordinary Shares and pays or credits the capital gains. In those cases, the institution (and not the Company) is required to deduct the withholding tax at the time of payment for the account of the shareholder and to pay the withholding tax to the competent tax authority.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the case the Ordinary Shares are held (i) as business assets by a sole proprietor, a partnership or a corporation and such shares are attributable to a German business or (ii) in the case of a corporation being subject to unlimited corporate income tax liability in Germany, the capital gains are not subject to withholding tax. In case of the aforementioned exemption under (i), the withholding tax exemption is subject to the condition that the paying agent has been notified by the beneficiary (Gläubiger) that the capital gains are exempt from withholding tax. The respective notification has to be filed with the tax office competent for the beneficiary by using the officially prescribed form.</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Taxation of Capital Gains Realized by Shareholders Tax Resident in Germany Holding Ordinary Shares as Private Assets (Private Individuals)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For individual shareholders (individuals) resident in Germany holding Ordinary Shares as private assets, capital gains realized on the disposal of Ordinary Shares are subject to final withholding tax (</w:t>
      </w:r>
      <w:r>
        <w:rPr>
          <w:rFonts w:ascii="Times New Roman;Times;serif" w:hAnsi="Times New Roman;Times;serif"/>
          <w:i/>
          <w:sz w:val="20"/>
        </w:rPr>
        <w:t>Abgeltungsteuer</w:t>
      </w:r>
      <w:r>
        <w:rPr>
          <w:rFonts w:ascii="Times New Roman;Times;serif" w:hAnsi="Times New Roman;Times;serif"/>
          <w:sz w:val="20"/>
        </w:rPr>
        <w:t>). Accordingly, capital gains will be taxed at a flat tax rate of 25% plus 5.5% solidarity surcharge thereon totaling 26.375% and church tax in case the shareholder is subject to church tax because of his or her personal circumstances. An automatic procedure for deduction of church tax by way of withholding will apply to shareholders being subject to church tax unless the shareholder has filed a blocking notice (</w:t>
      </w:r>
      <w:r>
        <w:rPr>
          <w:rFonts w:ascii="Times New Roman;Times;serif" w:hAnsi="Times New Roman;Times;serif"/>
          <w:i/>
          <w:sz w:val="20"/>
        </w:rPr>
        <w:t>Sperrvermerk</w:t>
      </w:r>
      <w:r>
        <w:rPr>
          <w:rFonts w:ascii="Times New Roman;Times;serif" w:hAnsi="Times New Roman;Times;serif"/>
          <w:sz w:val="20"/>
        </w:rPr>
        <w:t>) with the German Federal Central Tax Office (details related to the computation of the specific tax rate, including church tax, are to be discussed with the personal tax advisor of the relevant shareholder). The taxable capital gain is calculated by deducting the acquisition costs of the Ordinary Shares and the expenses directly and materially related to the disposal from the proceeds of the disposal. Apart from that, except for an annual lump sum savings allowance (</w:t>
      </w:r>
      <w:r>
        <w:rPr>
          <w:rFonts w:ascii="Times New Roman;Times;serif" w:hAnsi="Times New Roman;Times;serif"/>
          <w:i/>
          <w:sz w:val="20"/>
        </w:rPr>
        <w:t>Sparer-Pauschbetrag</w:t>
      </w:r>
      <w:r>
        <w:rPr>
          <w:rFonts w:ascii="Times New Roman;Times;serif" w:hAnsi="Times New Roman;Times;serif"/>
          <w:sz w:val="20"/>
        </w:rPr>
        <w:t>) of up to €1,000 (for individual filers) or up to €2,000 (for married couples and for partners in accordance with the registered partnership law (</w:t>
      </w:r>
      <w:r>
        <w:rPr>
          <w:rFonts w:ascii="Times New Roman;Times;serif" w:hAnsi="Times New Roman;Times;serif"/>
          <w:i/>
          <w:sz w:val="20"/>
        </w:rPr>
        <w:t>Gesetz über die Eingetragene Lebenspartnerschaft</w:t>
      </w:r>
      <w:r>
        <w:rPr>
          <w:rFonts w:ascii="Times New Roman;Times;serif" w:hAnsi="Times New Roman;Times;serif"/>
          <w:sz w:val="20"/>
        </w:rPr>
        <w:t>) filing jointly), private individual shareholders will not be entitled to deduct expenses incurred in connection with the capital investment from their capital gain.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case the flat tax results in a higher tax burden as opposed to the private individual shareholder’s personal income tax rate, the private individual shareholder can opt for taxation at his or her personal income tax rate. In that case, the withholding tax (including solidarity surcharge) withheld will be credited against the income tax. The option can be exercised only for all capital income from capital investments received in the relevant assessment period uniformly and married couples as well as for partners in accordance with the registered partnership law filing jointly may only jointly exercise the option.</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Capital losses arising from the disposal of the Ordinary Shares can only be offset against other capital gains resulting from the disposition of the Ordinary Shares or shares in other stock corporations during the same calendar year. Offsetting of overall losses with other income (such as business or rental income) and other capital income is not possible. Such losses are to be carried forward and to be offset against positive capital gains deriving from the disposal of shares in stock corporations in future years. The constitutionality of such limitation on the offsetting of losses is currently the subject of a pending procedure at the German Federal Constitutional Court.</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The final withholding tax (</w:t>
      </w:r>
      <w:r>
        <w:rPr>
          <w:rFonts w:ascii="Times New Roman;Times;serif" w:hAnsi="Times New Roman;Times;serif"/>
          <w:i/>
          <w:sz w:val="20"/>
        </w:rPr>
        <w:t>Abgeltungsteuer</w:t>
      </w:r>
      <w:r>
        <w:rPr>
          <w:rFonts w:ascii="Times New Roman;Times;serif" w:hAnsi="Times New Roman;Times;serif"/>
          <w:sz w:val="20"/>
        </w:rPr>
        <w:t>) will not apply if the seller of the Ordinary Shares or in case of gratuitous transfer, its legal predecessor, has held, directly or indirectly, at least 1% of the Company’s registered share capital at any time during the five years prior to the disposal. In that case, capital gains are subject to the partial income rule (</w:t>
      </w:r>
      <w:r>
        <w:rPr>
          <w:rFonts w:ascii="Times New Roman;Times;serif" w:hAnsi="Times New Roman;Times;serif"/>
          <w:i/>
          <w:sz w:val="20"/>
        </w:rPr>
        <w:t>Teileinkünfteverfahren</w:t>
      </w:r>
      <w:r>
        <w:rPr>
          <w:rFonts w:ascii="Times New Roman;Times;serif" w:hAnsi="Times New Roman;Times;serif"/>
          <w:sz w:val="20"/>
        </w:rPr>
        <w:t>). Accordingly, only (i) 60% of the capital gains will be taxed at his or her personal income tax rate plus 5.5% solidarity surcharge (if applicable) thereon and church tax (if applicable) and (ii) 60% of the business expenses related to the capital gains are deductible for tax purposes. The withholding tax withheld (including solidarity surcharge) will be credited against the shareholder’s personal income tax liability in Germany.</w:t>
      </w:r>
    </w:p>
    <w:p>
      <w:pPr>
        <w:pStyle w:val="TextBody"/>
        <w:bidi w:val="0"/>
        <w:spacing w:before="0" w:after="180"/>
        <w:ind w:left="200" w:right="200" w:hanging="0"/>
        <w:jc w:val="left"/>
        <w:rPr>
          <w:rFonts w:ascii="Times New Roman;Times;serif" w:hAnsi="Times New Roman;Times;serif"/>
          <w:sz w:val="20"/>
        </w:rPr>
      </w:pPr>
      <w:r>
        <w:rPr>
          <w:rFonts w:ascii="Times New Roman;Times;serif" w:hAnsi="Times New Roman;Times;serif"/>
          <w:sz w:val="20"/>
        </w:rPr>
        <w:t>Taxation of Capital Gains Realized by Shareholders Tax Resident in Germany Holding Ordinary Shares as Business Assets</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If a shareholder holds Ordinary Shares as business assets, the taxation of capital gains realized on the disposal of such shares depends on whether the respective shareholder is a corporation, a sole proprietor or a partnership:</w:t>
      </w:r>
    </w:p>
    <w:p>
      <w:pPr>
        <w:pStyle w:val="TextBody"/>
        <w:bidi w:val="0"/>
        <w:spacing w:before="0" w:after="180"/>
        <w:ind w:left="200" w:right="200" w:hanging="0"/>
        <w:jc w:val="left"/>
        <w:rPr>
          <w:rFonts w:ascii="Times New Roman;Times;serif" w:hAnsi="Times New Roman;Times;serif"/>
          <w:sz w:val="20"/>
        </w:rPr>
      </w:pPr>
      <w:r>
        <w:rPr>
          <w:rFonts w:ascii="Times New Roman;Times;serif" w:hAnsi="Times New Roman;Times;serif"/>
          <w:sz w:val="20"/>
        </w:rPr>
        <w:t>Corporations</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Capital gains realized on the disposal of Ordinary Shares by a corporate shareholder are generally exempt from corporate income tax and trade tax. However, 5% of the tax-exempt capital gains are deemed to be non-deductible business expenses for tax purposes and therefore are effectively subject to corporate income tax (plus solidarity surcharge) and trade tax; i.e., tax exemption of 95%. Business expenses incurred in connection with the capital gains are entirely tax deductible.</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Capital losses incurred upon the disposal of Ordinary Shares or other impairments of the share value are not tax deductible. A reduction of profit is also defined as any losses incurred in connection with a loan or security in the event the loan or the security is granted by a shareholder or by a related party thereto or by a third person with the right of recourse against the before mentioned persons and the shareholder holds directly or indirectly more than 25% of the Company’s registered share capital.</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Special regulations apply, which may exclude aforementioned tax exemptions, if the Ordinary Shares are held by a Non-Exempt Corporation.</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120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200" w:right="200" w:hanging="0"/>
        <w:jc w:val="left"/>
        <w:rPr>
          <w:rFonts w:ascii="Times New Roman;Times;serif" w:hAnsi="Times New Roman;Times;serif"/>
          <w:sz w:val="20"/>
        </w:rPr>
      </w:pPr>
      <w:r>
        <w:rPr>
          <w:rFonts w:ascii="Times New Roman;Times;serif" w:hAnsi="Times New Roman;Times;serif"/>
          <w:sz w:val="20"/>
        </w:rPr>
        <w:t>Sole Proprietors</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If the Ordinary Shares are held by a sole proprietor, capital gains realized on the disposal of the Ordinary Shares are subject to the partial income rule (</w:t>
      </w:r>
      <w:r>
        <w:rPr>
          <w:rFonts w:ascii="Times New Roman;Times;serif" w:hAnsi="Times New Roman;Times;serif"/>
          <w:i/>
          <w:sz w:val="20"/>
        </w:rPr>
        <w:t>Teileinkünfteverfahren</w:t>
      </w:r>
      <w:r>
        <w:rPr>
          <w:rFonts w:ascii="Times New Roman;Times;serif" w:hAnsi="Times New Roman;Times;serif"/>
          <w:sz w:val="20"/>
        </w:rPr>
        <w:t>). Accordingly, only (i) 60% of the capital gains will be taxed at his or her personal income tax rate plus 5.5% solidarity surcharge (if applicable) thereon and church tax (if applicable) and (ii) 60% of the business expenses related to the dividend income are deductible for tax purposes. In addition, 60% of the capital gains are subject to trade tax if the Ordinary Shares are held as business assets of a permanent establishment in Germany within the meaning of the German Trade Tax Act (</w:t>
      </w:r>
      <w:r>
        <w:rPr>
          <w:rFonts w:ascii="Times New Roman;Times;serif" w:hAnsi="Times New Roman;Times;serif"/>
          <w:i/>
          <w:sz w:val="20"/>
        </w:rPr>
        <w:t>Gewerbesteuergesetz</w:t>
      </w:r>
      <w:r>
        <w:rPr>
          <w:rFonts w:ascii="Times New Roman;Times;serif" w:hAnsi="Times New Roman;Times;serif"/>
          <w:sz w:val="20"/>
        </w:rPr>
        <w:t>). The trade tax levied will be eligible for credit against the shareholder’s personal income tax liability based on the applicable municipal trade tax rate and the individual tax situation of the shareholder limited to currently up to 4.0 times the trade tax measurement amount.</w:t>
      </w:r>
    </w:p>
    <w:p>
      <w:pPr>
        <w:pStyle w:val="TextBody"/>
        <w:bidi w:val="0"/>
        <w:spacing w:before="0" w:after="180"/>
        <w:ind w:left="200" w:right="200" w:hanging="0"/>
        <w:jc w:val="left"/>
        <w:rPr>
          <w:rFonts w:ascii="Times New Roman;Times;serif" w:hAnsi="Times New Roman;Times;serif"/>
          <w:sz w:val="20"/>
        </w:rPr>
      </w:pPr>
      <w:r>
        <w:rPr>
          <w:rFonts w:ascii="Times New Roman;Times;serif" w:hAnsi="Times New Roman;Times;serif"/>
          <w:sz w:val="20"/>
        </w:rPr>
        <w:t>Partnerships</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In the case the Ordinary Shares are held by a partnership, the partnership itself is not subject to corporate income tax or personal income tax as well as solidarity surcharge (and church tax) since partnerships qualify as transparent for German income tax purposes. In this regard, corporate income tax or personal income tax as well as solidarity surcharge (and church tax, if applicable) are levied only at the level of the partner with respect to their relevant part of the partnership’s taxable income and depending on their individual circumstances:</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If the partner is a corporation, the capital gains will be subject to corporate income tax plus solidarity surcharge (see above </w:t>
            </w:r>
            <w:r>
              <w:rPr/>
              <w:t>“— </w:t>
            </w:r>
            <w:r>
              <w:rPr>
                <w:rFonts w:ascii="Times New Roman;Times;serif" w:hAnsi="Times New Roman;Times;serif"/>
                <w:b w:val="false"/>
                <w:i/>
                <w:sz w:val="20"/>
              </w:rPr>
              <w:t>Corporations</w:t>
            </w:r>
            <w:r>
              <w:rPr>
                <w:caps w:val="false"/>
                <w:smallCaps w:val="false"/>
              </w:rPr>
              <w:t>”</w:t>
            </w:r>
            <w:r>
              <w:rPr>
                <w:rFonts w:ascii="Times New Roman;Times;serif" w:hAnsi="Times New Roman;Times;serif"/>
                <w:b w:val="false"/>
                <w:i w:val="false"/>
                <w:caps w:val="false"/>
                <w:smallCaps w:val="false"/>
                <w:sz w:val="20"/>
              </w:rPr>
              <w:t>). Trade tax will be levied additionally at the level of the partner insofar as the relevant profit of the partnership is not subject to trade tax at the level of the partnership. However, with respect to both corporate income and trade tax, the 95%-exemption rule as described above applies. With regard to corporations as partners, special regulations apply if they are held by a Non-Exempt Corporation, as described above.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If the partner is a sole proprietor (individual), the capital gains are subject to the partial income rule (see above “— </w:t>
            </w:r>
            <w:r>
              <w:rPr>
                <w:rFonts w:ascii="Times New Roman;Times;serif" w:hAnsi="Times New Roman;Times;serif"/>
                <w:b w:val="false"/>
                <w:i/>
                <w:sz w:val="20"/>
              </w:rPr>
              <w:t>Sole Proprietors</w:t>
            </w:r>
            <w:r>
              <w:rPr>
                <w:caps w:val="false"/>
                <w:smallCaps w:val="false"/>
              </w:rPr>
              <w:t>”</w:t>
            </w:r>
            <w:r>
              <w:rPr>
                <w:rFonts w:ascii="Times New Roman;Times;serif" w:hAnsi="Times New Roman;Times;serif"/>
                <w:b w:val="false"/>
                <w:i w:val="false"/>
                <w:caps w:val="false"/>
                <w:smallCaps w:val="false"/>
                <w:sz w:val="20"/>
              </w:rPr>
              <w:t>).</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addition, if the partnership is liable to German trade tax, 60% of the capital gains are subject to trade tax at the level of the partnership, to the extent the partners are individuals, and 5% of the capital gains are subject to trade tax, to the extent the partners are corporations. However, if a partner is an individual, any trade tax paid on the level of the partnership will be eligible for credit against an individual partner’s personal income tax liability based on the applicable municipal trade tax rate and depending on the individual tax situation of the individual and further circumstances, limited to currently 4.0 times of the partial trade tax measurement (</w:t>
      </w:r>
      <w:r>
        <w:rPr>
          <w:rFonts w:ascii="Times New Roman;Times;serif" w:hAnsi="Times New Roman;Times;serif"/>
          <w:i/>
          <w:sz w:val="20"/>
        </w:rPr>
        <w:t>Gewerbesteuer-Messbetrag</w:t>
      </w:r>
      <w:r>
        <w:rPr>
          <w:rFonts w:ascii="Times New Roman;Times;serif" w:hAnsi="Times New Roman;Times;serif"/>
          <w:sz w:val="20"/>
        </w:rPr>
        <w:t>) and also limited to the amount of trade tax actually to be paid.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Partnerships can opt to be treated as a corporation for purposes of German income taxation. If the shareholder is a partnership that has validly exercised such option right, any capital gains from the disposal of shares or subscription rights are subject to corporate income tax (and, for the avoidance of doubt, trade tax).</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Taxation of Capital Gains Realized by Shareholders Tax Resident Outside of Germany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Capital gains realized on the disposal of the Ordinary Shares by a shareholder tax resident outside of Germany are subject to German taxation provided that (i) the Ordinary Shares are held as business assets of a permanent establishment or as business assets for which a permanent representative has been appointed in Germany or (ii) the shareholder or, in case of a gratuitous transfer, its legal predecessor has held, directly or indirectly, at least 1% of the Company’s share capital at any time during a five years period prior to the disposal.</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these cases, capital gains are generally subject to the same rules as described above for shareholders resident in Germany. However, if capital gains are realized in case (ii) above by corporations tax resident outside of Germany that are not Non-Exempt Corporations, these capital gains are fully tax exempt under German tax law according to the case law of the German Federal Fiscal Court (</w:t>
      </w:r>
      <w:r>
        <w:rPr>
          <w:rFonts w:ascii="Times New Roman;Times;serif" w:hAnsi="Times New Roman;Times;serif"/>
          <w:i/>
          <w:sz w:val="20"/>
        </w:rPr>
        <w:t>Bundesfinanzhof</w:t>
      </w:r>
      <w:r>
        <w:rPr>
          <w:rFonts w:ascii="Times New Roman;Times;serif" w:hAnsi="Times New Roman;Times;serif"/>
          <w:sz w:val="20"/>
        </w:rPr>
        <w:t>). Additionally, except for the cases referred to in (i) above, most tax treaties concluded by Germany provide for a full exemption from German taxation except if the Company is considered a German real estate holding entity for treaty purposes.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121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German Taxation of Holders of Warrants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Holders of Warrants are likely to be taxed in particular upon certain forms of the exercise, sale or disposal of Warrants (taxation of capital gains) and the gratuitous transfer of Warrants (inheritance and gift tax).</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Taxation of Holders of Warrants Not Tax Resident in Germany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capital gains from the disposition of the Warrants realized by a non-German tax resident holder of the Warrants would not be treated as German source income and not be subject to German income tax provided that (i) such non-German resident holder does not maintain a permanent establishment or other taxable presence in Germany that the Warrants form part of and (ii) the income does not otherwise constitute German-source income (such as income from the letting and leasing of certain German-situs property or income from certain capital investments directly or indirectly secured by German-situs real estate). If either requirement (i) or (ii) above is not met, a non-German tax resident holder will be subject to German taxation on the aforementioned capital gains corresponding to the taxation of holders of Warrants tax resident in Germany holding the Warrants as business assets, as set out below.</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this case, non-German resident holders of the Warrants are, in general, exempt from German withholding tax on capital gains. However, if capital gains derived from the Warrants are paid out or credited to the holder of the Warrants by a German Disbursing Agent, withholding tax may be levied under certain circumstances both in the case of business and non-business holders of Warrants. The withholding tax may be refunded based on an assessment to tax or under an applicable tax treaty, depending on the individual circumstances of the holder.</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Taxation of Holders of Warrants Tax Resident in Germany</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Withholding Tax on Capital Gains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capital gains from the disposition (i.e., the difference between the proceeds from the disposal, redemption, repayment or assignment after deduction of expenses directly related to the disposal, redemption, repayment or assignment and the cost of acquisition) or (if applicable pursuant to the warrant agreement underlying the Warrants) a cash settlement (i.e., the cash amount received minus directly related costs and expenses, e.g., the acquisition costs) of the Warrants received by a German resident holder of Warrants holding the Warrants as private assets will be subject to German withholding tax if the Warrants are kept or administered in a custodial account with a German Disbursing Agent. The tax rate is 25% (plus a 5.5% solidarity surcharge thereon, resulting in an aggregate rate of 26.375%; plus church tax, if applicable). For individual holders who are subject to church tax, the church tax generally has to be withheld by the German Disbursing Agent based on an automatic data access procedure, unless the shareholder has filed a blocking notice (</w:t>
      </w:r>
      <w:r>
        <w:rPr>
          <w:rFonts w:ascii="Times New Roman;Times;serif" w:hAnsi="Times New Roman;Times;serif"/>
          <w:i/>
          <w:sz w:val="20"/>
        </w:rPr>
        <w:t>Sperrvermerk</w:t>
      </w:r>
      <w:r>
        <w:rPr>
          <w:rFonts w:ascii="Times New Roman;Times;serif" w:hAnsi="Times New Roman;Times;serif"/>
          <w:sz w:val="20"/>
        </w:rPr>
        <w:t>) with the Federal Central Tax Office.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the case the Warrants have not been kept or administered in a custodial account with the same German Disbursing Agent since the time of their acquisition, the withholding tax rate will be applied to 30% of the (disposal) proceeds (the so called “Lump Sum Substitute Basis”), unless the current German Disbursing Agent has been notified of the actual acquisition costs of the Warrants by the previous German Disbursing Agent or by a statement of a bank or financial services institution from another member state of the European Union or the European Economic Area or from certain other countries (e.g., Switzerland or Andorra).</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the event of delivery of Ordinary Shares upon exercise of the Warrants, the tax consequences are not entirely clear under German tax law. In principle, the acquisition costs of the Warrants plus any additional sum paid upon exercise should be regarded as acquisition costs of the Ordinary Shares received upon physical settlement. Consequently and subject to the following, no capital gain and no withholding tax may result from such exercise and delivery of Ordinary Shares upon exercise. Withholding tax may in this case only apply to any gain resulting later from the subsequent disposal, redemption or assignment of the Ordinary Shares received under certain circumstances.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Please note, however, that the German tax authorities have not confirmed the above treatment for the exercise of U.S. warrants, but only for the exercise of convertible bonds (</w:t>
      </w:r>
      <w:r>
        <w:rPr>
          <w:rFonts w:ascii="Times New Roman;Times;serif" w:hAnsi="Times New Roman;Times;serif"/>
          <w:i/>
          <w:sz w:val="20"/>
        </w:rPr>
        <w:t>Wandelschuldverschreibungen, Optionsscheine</w:t>
      </w:r>
      <w:r>
        <w:rPr>
          <w:rFonts w:ascii="Times New Roman;Times;serif" w:hAnsi="Times New Roman;Times;serif"/>
          <w:sz w:val="20"/>
        </w:rPr>
        <w:t xml:space="preserve">), wherefore, uncertainty remains regarding its application on the exercise of the Warrants. Therefore, there is a relevant risk that the delivery of Ordinary Shares upon exercise of the Warrants may constitute a taxable event and may attract withholding tax (as regards the latter, in the case a German Disbursing Agent is involved as per the above). Generally, capital gains are determined as the difference between (a) the proceeds of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122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the sale or other disposition and (b) the acquisition costs plus the expenses directly connected to the sale or other disposition. It is unclear how exactly such capital gain would have to be determined in case of delivery of Ordinary Shares upon exercise of the Warrants; possibly, the fair market value of the Ordinary Shares at the time of the exercise would be deemed relevant.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computing any German tax to be withheld, the German Disbursing Agent generally deducts from the basis of the withholding tax, subject to certain limitations, negative investment income realized by a non-business holder of the Warrants via the German Disbursing Agent (e.g., losses from the sale of other securities with the exception of shares). The German Disbursing Agent also deducts accrued interest on other securities (if any) paid separately upon the acquisition of the respective security by a non-business holder of Warrants via the German Disbursing Agent. In addition, subject to certain requirements and restrictions, the German Disbursing Agent may credit foreign withholding taxes levied on investment income in a given year regarding securities held by a non-business holder of Warrants in the custodial account with the German Disbursing Agent.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Non-business holders of the Warrants are entitled to an annual saver’s allowance of €1,000 for an individual or €2,000 for married couples and for partners in accordance with the registered partnership law (</w:t>
      </w:r>
      <w:r>
        <w:rPr>
          <w:rFonts w:ascii="Times New Roman;Times;serif" w:hAnsi="Times New Roman;Times;serif"/>
          <w:i/>
          <w:sz w:val="20"/>
        </w:rPr>
        <w:t>Gesetz über die Eingetragene Lebenspartnerschaft</w:t>
      </w:r>
      <w:r>
        <w:rPr>
          <w:rFonts w:ascii="Times New Roman;Times;serif" w:hAnsi="Times New Roman;Times;serif"/>
          <w:sz w:val="20"/>
        </w:rPr>
        <w:t>) assessed jointly for all investment income received in a given year. Upon the non-business holder of the Warrants filing an exemption certificate (</w:t>
      </w:r>
      <w:r>
        <w:rPr>
          <w:rFonts w:ascii="Times New Roman;Times;serif" w:hAnsi="Times New Roman;Times;serif"/>
          <w:i/>
          <w:sz w:val="20"/>
        </w:rPr>
        <w:t>Freistellungsauftrag</w:t>
      </w:r>
      <w:r>
        <w:rPr>
          <w:rFonts w:ascii="Times New Roman;Times;serif" w:hAnsi="Times New Roman;Times;serif"/>
          <w:sz w:val="20"/>
        </w:rPr>
        <w:t>) with the Disbursing Agent, the Disbursing Agent will take the allowance into account when computing the amount of tax to be withheld.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No withholding tax will be deducted if the holder of the Warrants has submitted to the Disbursing Agent a certificate of non-assessment (</w:t>
      </w:r>
      <w:r>
        <w:rPr>
          <w:rFonts w:ascii="Times New Roman;Times;serif" w:hAnsi="Times New Roman;Times;serif"/>
          <w:i/>
          <w:sz w:val="20"/>
        </w:rPr>
        <w:t>Nichtveranlagungs-Bescheinigung</w:t>
      </w:r>
      <w:r>
        <w:rPr>
          <w:rFonts w:ascii="Times New Roman;Times;serif" w:hAnsi="Times New Roman;Times;serif"/>
          <w:sz w:val="20"/>
        </w:rPr>
        <w:t>) issued by the competent local tax office. The deduction of expenses related to the investment income (including gains with respect to the Warrants) is generally not possible for private investors.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German withholding tax should not apply to gains from the disposal, redemption, repayment or assignment of Warrants held by a German tax resident corporation. The same may apply to sole proprietors or partners of partnerships, where the Warrants form part of a trade or business or are related to income from letting and leasing of property, subject to further requirements being met (compare with “— Corporations, Sole Proprietors and Partnerships” below). Please note that for corporations, sole-proprietors or partnerships that or who are not tax resident in Germany, withholding tax may be levied, as set out above (compare with “— Taxation of Holders of Warrants Not Tax Resident in Germany”).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Taxation of Capital Gains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Individuals as the Holders of the Warrants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personal income tax liability of a holder of the Warrants holding the Warrants as private assets deriving income from capital investments under the Warrants is, in principle, settled by the tax withheld (unless for example the income from Warrants qualifies as income from the letting and leasing of property). To the extent withholding tax has not been levied, such as in the case of Warrants kept in custody abroad or if no German Disbursing Agent is involved in the payment process, the non-business holder of Warrants must report his or her income and capital gains derived from the Warrants (through disposition or cash settlement, if applicable pursuant to the warrant agreement underlying the Warrants) on his or her tax return and then will also be taxed at a rate of 25% (plus solidarity surcharge of 5.5% thereon, resulting in an aggregate rate of 26.375%; and church tax, if applicable).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the event of delivery of Ordinary Shares upon exercise of the Warrants, the tax consequences are not entirely clear under German tax law. As per the above, there is a relevant risk that the delivery of Ordinary Shares upon exercise of the Warrants may constitute a taxable event and may attract withholding tax (as regards the latter, in case a German Disbursing Agent is involved as per the above). Generally, capital gains are determined as the difference between (a) the proceeds of the sale or other disposition and (b) the acquisition costs plus the expenses directly connected to the sale or other disposition. It is unclear how exactly such capital gains would have to be determined in case of delivery of Ordinary Shares upon exercise of the Warrants; possibly, the fair market value of the Ordinary Shares at the time of the exercise would be deemed relevant. For more detail, cf. above under the general comments.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the withholding tax has been calculated on the basis of a Lump Sum Substitute Basis, a non-business holder of the Warrants may and in the case the actual gain is higher than 30% of the proceeds must also apply for an assessment on the basis of his or her actual acquisition costs. Further, a non-business holder may request that all investment income of a given year is taxed at his or her lower individual tax rate based upon an assessment to tax with any amounts over withheld being refunded. In each case, the deduction of expenses (other than transaction costs) on an itemized basis is not permitted.</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123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With regard to non-business holders of Warrants, there is a relevant risk that such losses may only be applied against profits from income from capital investments (including but not limited to profits from other warrants) derived in the same or, subject to certain limitations, in subsequent years. For assessment periods beginning after December 31, 2020, such losses incurred by non-business holders of the Warrants may only be applied against income from other forward/ future or option transactions derived in the same or, subject to certain limitations, in subsequent years and the deductibility of such losses is limited to €20.000 per year.</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addition, losses of non-business holders arising from a bad debt loss (</w:t>
      </w:r>
      <w:r>
        <w:rPr>
          <w:rFonts w:ascii="Times New Roman;Times;serif" w:hAnsi="Times New Roman;Times;serif"/>
          <w:i/>
          <w:sz w:val="20"/>
        </w:rPr>
        <w:t>Forderungsausfall</w:t>
      </w:r>
      <w:r>
        <w:rPr>
          <w:rFonts w:ascii="Times New Roman;Times;serif" w:hAnsi="Times New Roman;Times;serif"/>
          <w:sz w:val="20"/>
        </w:rPr>
        <w:t>), a waiver of a receivable (</w:t>
      </w:r>
      <w:r>
        <w:rPr>
          <w:rFonts w:ascii="Times New Roman;Times;serif" w:hAnsi="Times New Roman;Times;serif"/>
          <w:i/>
          <w:sz w:val="20"/>
        </w:rPr>
        <w:t>Forderungsverzicht</w:t>
      </w:r>
      <w:r>
        <w:rPr>
          <w:rFonts w:ascii="Times New Roman;Times;serif" w:hAnsi="Times New Roman;Times;serif"/>
          <w:sz w:val="20"/>
        </w:rPr>
        <w:t>) or a transfer of an impaired receivable to a third party or from any other default can only be offset against other income from capital investments and only up to an amount of €20,000 per year. The same rules may apply if the Warrants expire worthless or lapse.</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Corporations, Sole Proprietors and Partnerships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Where Warrants form part of a trade or business, the withholding tax, if any, will not settle the personal or corporate income tax liability. The respective holder of Warrants (or the partner of the partnership holding the Warrants) will have to report income and related (business) expenses resulting from the disposition or (if applicable) cash settlement of the Warrants or, potentially, from a delivery of Ordinary Shares on the tax return and the balance will be taxed at the holder’s (or the partner of the partnership holding the Warrants) applicable tax rate. Withholding tax levied, if any, will be credited against the personal or corporate income tax of the holder (or the partner of the partnership holding the Warrants). Capital gains resulting from a disposal, redemption, repayment, assignment, cash settlement (if applicable) or, potentially, from a delivery of Ordinary Shares upon exercise of the Warrants may also be subject to German trade tax, if the Warrants form part of a German trade or business. A corporate income tax or trade tax exemption should, in this case, not be applicable.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Losses can be carried forward indefinitely and, within certain limitations, applied against profits from income from capital investments (including but not limited to profits from other warrants) in subsequent years.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the case of physical settlement of the Warrants, please see the above sections on disposal of Ordinary Shares for German taxation of the disposal or other transaction involving a resulting Ordinary Share.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Solidarity Surcharge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solidarity surcharge has been partially abolished or reduced as of the assessment period 2021 for certain German taxpayers. The solidarity surcharge continues, however, to apply for corporate income tax and capital investment income and, thus, on withholding taxes levied. In case the individual income tax burden for an individual holder is lower than 25%, the holder can apply for his or her capital investment income being assessed at his or her individual tariff-based income tax rate, in which case solidarity surcharge should be refunded.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Inheritance and Gift Tax</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transfer of Ordinary Shares or Warrants to another person by way of succession or donation is subject to German inheritance and gift tax (Erbschaft-und Schenkungsteuer) if at the time of transfer:</w:t>
      </w:r>
    </w:p>
    <w:p>
      <w:pPr>
        <w:pStyle w:val="TextBody"/>
        <w:bidi w:val="0"/>
        <w:spacing w:before="0" w:after="240"/>
        <w:ind w:left="56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decedent, the donor, the heir, the donee or any other beneficiary has his/her/its residence, domicile, registered office or place of management in Germany, or is a German citizen who has not stayed abroad for more than five consecutive years without having a residence in Germany; or</w:t>
      </w:r>
    </w:p>
    <w:p>
      <w:pPr>
        <w:pStyle w:val="TextBody"/>
        <w:bidi w:val="0"/>
        <w:spacing w:before="0" w:after="240"/>
        <w:ind w:left="56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(irrespective of the personal circumstances) the Ordinary Shares or Warrants are held by the decedent or donor as business assets for which a permanent establishment in Germany is maintained or a permanent representative is appointed in Germany; or</w:t>
      </w:r>
    </w:p>
    <w:p>
      <w:pPr>
        <w:pStyle w:val="TextBody"/>
        <w:bidi w:val="0"/>
        <w:spacing w:before="0" w:after="240"/>
        <w:ind w:left="56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(irrespective of the personal circumstances) at least 10% of the registered share capital of Schmid is held directly or indirectly by the decedent or person making the gift, himself or together with a related party in terms of Section 1 (2) German Foreign Tax Act (</w:t>
      </w:r>
      <w:r>
        <w:rPr>
          <w:rFonts w:ascii="Times New Roman;Times;serif" w:hAnsi="Times New Roman;Times;serif"/>
          <w:i/>
          <w:sz w:val="20"/>
        </w:rPr>
        <w:t>Außensteuergesetz</w:t>
      </w:r>
      <w:r>
        <w:rPr>
          <w:rFonts w:ascii="Times New Roman;Times;serif" w:hAnsi="Times New Roman;Times;serif"/>
          <w:sz w:val="20"/>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124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Special regulations apply to German citizens who maintain neither a residence nor their domicile in Germany but maintain a residence or domicile in a low tax jurisdiction and to former German citizens, also resulting in inheritance and gift tax. The few tax treaties on inheritance and gift tax that Germany has entered into may limit the German right to inheritance and gift tax to the case described under (i) above and, with certain restrictions, in case of (ii).</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Value Added Tax (VAT)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No German value added tax (</w:t>
      </w:r>
      <w:r>
        <w:rPr>
          <w:rFonts w:ascii="Times New Roman;Times;serif" w:hAnsi="Times New Roman;Times;serif"/>
          <w:i/>
          <w:sz w:val="20"/>
        </w:rPr>
        <w:t>Umsatzsteuer</w:t>
      </w:r>
      <w:r>
        <w:rPr>
          <w:rFonts w:ascii="Times New Roman;Times;serif" w:hAnsi="Times New Roman;Times;serif"/>
          <w:sz w:val="20"/>
        </w:rPr>
        <w:t>) will arise in respect of any acquisition, ownership and/or disposal of the Ordinary Shares or Warrants unless in certain cases where a waiver of an applicable VAT exemption occurs. Any such waiver would require a supply of securities from one person taxable for VAT purposes to the enterprise of another VAT taxable person.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Transfer Taxes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No German capital transfer tax (</w:t>
      </w:r>
      <w:r>
        <w:rPr>
          <w:rFonts w:ascii="Times New Roman;Times;serif" w:hAnsi="Times New Roman;Times;serif"/>
          <w:i/>
          <w:sz w:val="20"/>
        </w:rPr>
        <w:t>Kapitalverkehrsteuer</w:t>
      </w:r>
      <w:r>
        <w:rPr>
          <w:rFonts w:ascii="Times New Roman;Times;serif" w:hAnsi="Times New Roman;Times;serif"/>
          <w:sz w:val="20"/>
        </w:rPr>
        <w:t>) or stamp duty (</w:t>
      </w:r>
      <w:r>
        <w:rPr>
          <w:rFonts w:ascii="Times New Roman;Times;serif" w:hAnsi="Times New Roman;Times;serif"/>
          <w:i/>
          <w:sz w:val="20"/>
        </w:rPr>
        <w:t>Stempelgebühr</w:t>
      </w:r>
      <w:r>
        <w:rPr>
          <w:rFonts w:ascii="Times New Roman;Times;serif" w:hAnsi="Times New Roman;Times;serif"/>
          <w:sz w:val="20"/>
        </w:rPr>
        <w:t>) or similar taxes are levied when acquiring, owning or disposing the Ordinary Shares or Warrants. Net wealth tax (</w:t>
      </w:r>
      <w:r>
        <w:rPr>
          <w:rFonts w:ascii="Times New Roman;Times;serif" w:hAnsi="Times New Roman;Times;serif"/>
          <w:i/>
          <w:sz w:val="20"/>
        </w:rPr>
        <w:t>Vermögensteuer</w:t>
      </w:r>
      <w:r>
        <w:rPr>
          <w:rFonts w:ascii="Times New Roman;Times;serif" w:hAnsi="Times New Roman;Times;serif"/>
          <w:sz w:val="20"/>
        </w:rPr>
        <w:t>) is currently not levied in Germany. German real estate transfer tax (</w:t>
      </w:r>
      <w:r>
        <w:rPr>
          <w:rFonts w:ascii="Times New Roman;Times;serif" w:hAnsi="Times New Roman;Times;serif"/>
          <w:i/>
          <w:sz w:val="20"/>
        </w:rPr>
        <w:t>Grunderwerbsteuer</w:t>
      </w:r>
      <w:r>
        <w:rPr>
          <w:rFonts w:ascii="Times New Roman;Times;serif" w:hAnsi="Times New Roman;Times;serif"/>
          <w:sz w:val="20"/>
        </w:rPr>
        <w:t>) may only be attracted by the acquisition (including by way of exercise of Warrants) or sale of Ordinary Shares or certain comparable transactions under very specific circumstances if Schmid, or a subsidiary entity to Schmid, own German situs real estate at such time, with “ownership” and “real estate” both having an extended meaning under the German Real Estate Transfer Tax Act (</w:t>
      </w:r>
      <w:r>
        <w:rPr>
          <w:rFonts w:ascii="Times New Roman;Times;serif" w:hAnsi="Times New Roman;Times;serif"/>
          <w:i/>
          <w:sz w:val="20"/>
        </w:rPr>
        <w:t>Grunderwerbsteuergesetz</w:t>
      </w:r>
      <w:r>
        <w:rPr>
          <w:rFonts w:ascii="Times New Roman;Times;serif" w:hAnsi="Times New Roman;Times;serif"/>
          <w:sz w:val="20"/>
        </w:rPr>
        <w: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European Commission has published a proposal for a directive for a common financial transactions tax (“FTT”) in certain participating member states of the European Union, including Germany. The proposed FTT has a very broad scope and could, if introduced in the form of the proposal, apply to certain dealings in the Ordinary Shares (including secondary market transactions) in certain circumstances. However, the proposed FTT remains subject to negotiations between the participating member states, and it is currently unclear in what form and when an FTT would be implemented, if at all. Prospective holders of the Ordinary Shares are advised to monitor future developments closely and to seek their own professional advice in relation to the FTT.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125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59" w:name="PLANOFDISTRIBUTION_616124"/>
      <w:bookmarkStart w:id="60" w:name="_a560e0ae_7939_442d_9d91_38fd6f4365e8"/>
      <w:bookmarkEnd w:id="59"/>
      <w:bookmarkEnd w:id="60"/>
      <w:r>
        <w:rPr>
          <w:rFonts w:ascii="Times New Roman;Times;serif" w:hAnsi="Times New Roman;Times;serif"/>
          <w:b/>
          <w:sz w:val="20"/>
        </w:rPr>
        <w:t>PLAN OF DISTRIBUTION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are registering up to 10,362,693 Ordinary Shares issuable upon conversion of the 2029 Convertible Notes to permit the resale of these Ordinary Shares by the holders of the 2029 Convertible Notes from time to time after the date of this prospectus. We will not receive any of the proceeds from the sale by the selling securityholders of the Ordinary Shares. We will bear all fees and expenses incident to our obligation to register the Ordinary Shares.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selling securityholders may sell all or a portion of the Ordinary Shares held by them and offered hereby from time to time directly or through one or more underwriters, broker-dealers or agents. If the Ordinary Shares are sold through underwriters or broker-dealers, the selling securityholders will be responsible for underwriting discounts or commissions or agent’s commissions. The Ordinary Shares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any national securities exchange or quotation service on which the securities may be listed or quoted at the time of sale;</w:t>
            </w:r>
          </w:p>
        </w:tc>
      </w:tr>
    </w:tbl>
    <w:tbl>
      <w:tblPr>
        <w:tblW w:w="3051" w:type="dxa"/>
        <w:jc w:val="left"/>
        <w:tblInd w:w="200" w:type="dxa"/>
        <w:tblLayout w:type="fixed"/>
        <w:tblCellMar>
          <w:top w:w="28" w:type="dxa"/>
          <w:left w:w="28" w:type="dxa"/>
          <w:bottom w:w="28" w:type="dxa"/>
          <w:right w:w="28" w:type="dxa"/>
        </w:tblCellMar>
      </w:tblPr>
      <w:tblGrid>
        <w:gridCol w:w="124"/>
        <w:gridCol w:w="256"/>
        <w:gridCol w:w="2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over-the-counter market;</w:t>
            </w:r>
          </w:p>
        </w:tc>
      </w:tr>
    </w:tbl>
    <w:tbl>
      <w:tblPr>
        <w:tblW w:w="8226" w:type="dxa"/>
        <w:jc w:val="left"/>
        <w:tblInd w:w="200" w:type="dxa"/>
        <w:tblLayout w:type="fixed"/>
        <w:tblCellMar>
          <w:top w:w="28" w:type="dxa"/>
          <w:left w:w="28" w:type="dxa"/>
          <w:bottom w:w="28" w:type="dxa"/>
          <w:right w:w="28" w:type="dxa"/>
        </w:tblCellMar>
      </w:tblPr>
      <w:tblGrid>
        <w:gridCol w:w="124"/>
        <w:gridCol w:w="256"/>
        <w:gridCol w:w="7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otherwise than on these exchanges or systems or in the over-the-counter market;</w:t>
            </w:r>
          </w:p>
        </w:tc>
      </w:tr>
    </w:tbl>
    <w:tbl>
      <w:tblPr>
        <w:tblW w:w="9786" w:type="dxa"/>
        <w:jc w:val="left"/>
        <w:tblInd w:w="200" w:type="dxa"/>
        <w:tblLayout w:type="fixed"/>
        <w:tblCellMar>
          <w:top w:w="28" w:type="dxa"/>
          <w:left w:w="28" w:type="dxa"/>
          <w:bottom w:w="28" w:type="dxa"/>
          <w:right w:w="28" w:type="dxa"/>
        </w:tblCellMar>
      </w:tblPr>
      <w:tblGrid>
        <w:gridCol w:w="124"/>
        <w:gridCol w:w="256"/>
        <w:gridCol w:w="9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the writing or settlement of options, whether such options are listed on an options exchange or otherwise; </w:t>
            </w:r>
          </w:p>
        </w:tc>
      </w:tr>
    </w:tbl>
    <w:tbl>
      <w:tblPr>
        <w:tblW w:w="8226" w:type="dxa"/>
        <w:jc w:val="left"/>
        <w:tblInd w:w="200" w:type="dxa"/>
        <w:tblLayout w:type="fixed"/>
        <w:tblCellMar>
          <w:top w:w="28" w:type="dxa"/>
          <w:left w:w="28" w:type="dxa"/>
          <w:bottom w:w="28" w:type="dxa"/>
          <w:right w:w="28" w:type="dxa"/>
        </w:tblCellMar>
      </w:tblPr>
      <w:tblGrid>
        <w:gridCol w:w="124"/>
        <w:gridCol w:w="256"/>
        <w:gridCol w:w="7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 to facilitate the transaction;</w:t>
            </w:r>
          </w:p>
        </w:tc>
      </w:tr>
    </w:tbl>
    <w:tbl>
      <w:tblPr>
        <w:tblW w:w="7626" w:type="dxa"/>
        <w:jc w:val="left"/>
        <w:tblInd w:w="20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bl>
    <w:tbl>
      <w:tblPr>
        <w:tblW w:w="7161" w:type="dxa"/>
        <w:jc w:val="left"/>
        <w:tblInd w:w="200" w:type="dxa"/>
        <w:tblLayout w:type="fixed"/>
        <w:tblCellMar>
          <w:top w:w="28" w:type="dxa"/>
          <w:left w:w="28" w:type="dxa"/>
          <w:bottom w:w="28" w:type="dxa"/>
          <w:right w:w="28" w:type="dxa"/>
        </w:tblCellMar>
      </w:tblPr>
      <w:tblGrid>
        <w:gridCol w:w="124"/>
        <w:gridCol w:w="256"/>
        <w:gridCol w:w="6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bl>
    <w:tbl>
      <w:tblPr>
        <w:tblW w:w="3306" w:type="dxa"/>
        <w:jc w:val="left"/>
        <w:tblInd w:w="200" w:type="dxa"/>
        <w:tblLayout w:type="fixed"/>
        <w:tblCellMar>
          <w:top w:w="28" w:type="dxa"/>
          <w:left w:w="28" w:type="dxa"/>
          <w:bottom w:w="28" w:type="dxa"/>
          <w:right w:w="28" w:type="dxa"/>
        </w:tblCellMar>
      </w:tblPr>
      <w:tblGrid>
        <w:gridCol w:w="124"/>
        <w:gridCol w:w="256"/>
        <w:gridCol w:w="2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privately negotiated transactions; </w:t>
            </w:r>
          </w:p>
        </w:tc>
      </w:tr>
    </w:tbl>
    <w:tbl>
      <w:tblPr>
        <w:tblW w:w="7836" w:type="dxa"/>
        <w:jc w:val="left"/>
        <w:tblInd w:w="20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sales made after the date the Registration Statement is declared effective by the SEC;</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agree with a selling security holder to sell a specified number of such shares at a stipulated price per share;</w:t>
            </w:r>
          </w:p>
        </w:tc>
      </w:tr>
    </w:tbl>
    <w:tbl>
      <w:tblPr>
        <w:tblW w:w="4386" w:type="dxa"/>
        <w:jc w:val="left"/>
        <w:tblInd w:w="20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and</w:t>
            </w:r>
          </w:p>
        </w:tc>
      </w:tr>
    </w:tbl>
    <w:tbl>
      <w:tblPr>
        <w:tblW w:w="5016" w:type="dxa"/>
        <w:jc w:val="left"/>
        <w:tblInd w:w="200" w:type="dxa"/>
        <w:tblLayout w:type="fixed"/>
        <w:tblCellMar>
          <w:top w:w="28" w:type="dxa"/>
          <w:left w:w="28" w:type="dxa"/>
          <w:bottom w:w="28" w:type="dxa"/>
          <w:right w:w="28" w:type="dxa"/>
        </w:tblCellMar>
      </w:tblPr>
      <w:tblGrid>
        <w:gridCol w:w="124"/>
        <w:gridCol w:w="256"/>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The selling securityholders may also sell Ordinary Shares under Rule 144 promulgated under the Securities Act of 1933, as amended, if available, rather than under this prospectus. In addition, the selling securityholders may transfer the Ordinary Shares by other means not described in this prospectus. If the selling securityholders effect such transactions by selling Ordinary Shares to or through underwriters, broker-dealers or agents, such underwriters, broker-dealers or agents may receive commissions in the form of discounts, concessions or commissions from the selling securityholders or commissions from purchasers of the Ordinary Shares for whom they may act as agent or to whom they may sell as principal (which discounts, concessions or commissions as to particular underwriters, broker-dealers or agents may be in excess of those customary in the types of transactions involved). In connection with sales of the Ordinary Shares or otherwise, the selling securityholders may enter into hedging transactions with broker-dealers, which may in turn engage in short sales of the Ordinary Shares in the course of hedging in positions they assume. The selling securityholders may also sell Ordinary Shares short and deliver Ordinary Shares covered by this prospectus to close out short positions and to return borrowed shares in connection with such short sales. The selling securityholders may also loan or pledge Ordinary Shares to broker-dealers that in turn may sell such shares.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126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The selling securityholders may pledge or grant a security interest in some or all of the 2029 Convertible Notes or Ordinary Shares owned by them and, if they default in the performance of their secured obligations, the pledgees or secured parties may offer and sell the Ordinary Shares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securityholders also may transfer and donate the Ordinary Shares in other circumstances in which case the transferees, donees, pledgees or other successors in interest will be the selling beneficial owners for purposes of this prospectus.</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To the extent required by the Securities Act and the rules and regulations thereunder, the selling securityholders and any broker-dealer participating in the distribution of the Ordinary Shares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Ordinary Shares is made, a prospectus supplement, if required, will be distributed, which will set forth the aggregate amount of Ordinary Shares being offered and the terms of the offering, including the name or names of any broker-dealers or agents, any discounts, commissions and other terms constituting compensation from the selling securityholders and any discounts, commissions or concessions allowed or re-allowed or paid to broker-dealers.</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Under the securities laws of some states, the Ordinary Shares may be sold in such states only through registered or licensed brokers or dealers. In addition, in some states the Ordinary Shares may not be sold unless such shares have been registered or qualified for sale in such state or an exemption from registration or qualification is available and is complied with.</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There can be no assurance that any selling shareholder will sell any or all of the Ordinary Shares registered pursuant to the registration statement, of which this prospectus forms a part.</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The selling securityholders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Ordinary Shares by the selling securityholders and any other participating person. To the extent applicable, Regulation M may also restrict the ability of any person engaged in the distribution of the Ordinary Shares to engage in market-making activities with respect to the Ordinary Shares. All of the foregoing may affect the marketability of the Ordinary Shares and the ability of any person or entity to engage in market-making activities with respect to the Ordinary Shares.</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We will pay all expenses of the registration of the Ordinary Shares pursuant to the registration rights agreement, including, without limitation, Securities and Exchange Commission filing fees and expenses of compliance with state securities or “blue sky” laws; provided, however, the selling shareholder will pay all underwriting discounts and selling commissions, if any.</w:t>
      </w:r>
    </w:p>
    <w:p>
      <w:pPr>
        <w:pStyle w:val="TextBody"/>
        <w:bidi w:val="0"/>
        <w:spacing w:before="0" w:after="180"/>
        <w:ind w:left="200" w:right="200" w:firstLine="360"/>
        <w:jc w:val="left"/>
        <w:rPr>
          <w:rFonts w:ascii="Times New Roman;Times;serif" w:hAnsi="Times New Roman;Times;serif"/>
          <w:sz w:val="20"/>
        </w:rPr>
      </w:pPr>
      <w:r>
        <w:rPr>
          <w:rFonts w:ascii="Times New Roman;Times;serif" w:hAnsi="Times New Roman;Times;serif"/>
          <w:sz w:val="20"/>
        </w:rPr>
        <w:t>We will indemnify the selling securityholders against liabilities, including some liabilities under the Securities Act in accordance with the registration rights agreements or the selling securityholders will be entitled to contribution. We may be indemnified by the selling securityholders against civil liabilities, including liabilities under the Securities Act that may arise from any written information furnished to us by the selling shareholder specifically for use in this prospectus, in accordance with the related registration rights agreements or we may be entitled to contribution.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Once sold under the registration statement, of which this prospectus forms a part, the Ordinary Shares will be freely tradable in the hands of persons other than our affiliates.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127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61" w:name="SHARESELIGIBLEFORFUTURESALE_889186"/>
      <w:bookmarkStart w:id="62" w:name="_3786b466_836b_4e84_9563_2696a22d4b57"/>
      <w:bookmarkEnd w:id="61"/>
      <w:bookmarkEnd w:id="62"/>
      <w:r>
        <w:rPr>
          <w:rFonts w:ascii="Times New Roman;Times;serif" w:hAnsi="Times New Roman;Times;serif"/>
          <w:b/>
          <w:sz w:val="20"/>
        </w:rPr>
        <w:t>SHARES ELIGIBLE FOR FUTURE SALE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have 65,675,726 Ordinary Shares authorized, issued and outstanding.</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Additionally, the Board is authorized to issue up to 21,000,000 Ordinary Shares in the Company’s capital in relation to the exercise of Warrants, which consists of up to (i) 9,750,000 Private Warrants and (ii) up to 11,250,000 Public Warrants, each of which entitle the holder to purchase one Ordinary Share at an exercise price of $11.50 per share as well as further shares in relation to an employee incentive program and general private placements. The Warrants expire five years after April 30, 2024 (the closing date of the Business Combination) or earlier upon redemption or liquidation in accordance with their terms. Furthermore 5,000,000 Ordinary Shares were issued at Closing as Earn-Out shares, which will vest to Anette Schmid and Christian Schmid in equal parts per the terms of the Earn-Out Agreement (2,500,000 Ordinary Shares vest if the share price reaches USD 15.00 and further 2,500,000 Ordinary Shares vest if the share price reaches USD 18.00 after three (3) years from the date of the closing of the Business Combination).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Additionally, on January 18, 2026, the Company entered into an investment agreement with an institutional investor, Linden Advisors LP, to sell, and on January 21, 2026 and March 5, 2026 sold senior convertible notes in an aggregate principal amount of $30.0 million convertible into ordinary shares of the Company together with the issuance of warrants to purchase ordinary shares of the Company in a private placement to accounts managed by Linden. The 2028 Convertible Notes were issued at 98% of principal amount pursuant to the governing indenture and were funded in two tranches: (i) $15.0 million were funded on January 21, 2026 and (ii) $15.0 million on March 5, 2026. This conversion option of the 2028 Convertible Notes into shares of the Company at prices determined by reference to fixed premium conversion prices including at 95% of the applicable volume-weighted average price of the shares of the Company, is subject to a minimum conversion price and certain daily conversion limits as further specified in the investment agreement. In connection with the issuance of the 2028 Convertible Notes, the Company also issued 3,744,150 warrants to the investors to purchase shares of the Company in an amount determined by reference to the principal amount of the 2028 Convertible Notes. The warrants are exercisable until December 15, 2028, at an exercise price equal to $8.0125 per Ordinary Shares, exercisable for cash or, at the Company’s election, on a cashless basis.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signed a secured two-tranche term loan facility with a total commitment value of up to €10,000,000 with the lender Black Forest Special Situations I, a Cayman Islands incorporated entity, on December 16, 2025. The first tranche consisted of €2,500,000, which were paid out to the Company on December 18, 2025. The second tranche of up to €7,500,000 was set to be drawn down early in 2026, but was not utilized due to the Company issuing the 2028 Convertible Notes (see below). Black Forest Special Situations I has a conversion right under the term loan facility, which is exercisable at a share price of US$2.15 into shares of the Company between six months after the draw down of the first tranche and the date of the term loan facility’s maturity, which is 15 months after the first tranche draw down. As part of the drawdown of the €2,500,000 first tranche, the Company also agreed to issue option rights to Black Forest Special Situations I to acquire 1,250,000 shares of the Company at the prevailing VWAP at the time of concluding the term loan facility, which was $4.1956 per share. The term loan facility agreement stipulated that an option agreement shall be executed, which was agreed and signed in January 2026 and sets out the exercise mechanics of the options as well as the discretionary possibility of the Company to cashless exercise the options. The options expire on December 16, 2030 and may be exercised in full or in several parts during the lifetime of the options agreement.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entered into a service agreement with its CFO, Arthur Schuetzand into an share incentive plan with Helmut Rauch, the COO of the SCHMID Group under which certain amounts of shares are to be issued regularly. None of such shares have been issued to Arthur Schuetz or Helmut Rauch.</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 </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On May 12, 2026, the Company entered into a SEPA with Yorkville providing SCHMID access to equity financing of up to USD 30.0 million at its discretion. Under the terms of the SEPA, the Group paid a commitment fee of 0.5% of the USD 30.0 million equity line to secure the SEPA facility, and Yorkville is contractually obligated, subject to customary conditions, to purchase the SHMD shares upon the Company’s exercise of drawdown notices over the period of 24 months. The purchase price will be equal to (i) 99% of the VWAP of the Ordinary Shares during the period commencing upon receipt by the Company of written confirmation of acceptance of such Advance Notice by Yorkville, and which confirmation shall specify such commencement time, and ending on 4:00 p.m. New York City time on the applicable Advance Notice Date, subject to a volume threshold as described in the SEPA or (ii) 97% of the lowest daily VWAP of the Ordinary Shares during the three consecutive trading days commencing on the Advance Notice Date;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128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provided, however, that with respect to any clause (ii) Advance the Company may establish a minimum acceptable price in each Advance Notice below which the Company will not be obligated to make any sales to Yorkville. “VWAP” means, for any trading day, the daily volume weighted average price of the Ordinary Shares for such trading day on the Nasdaq Stock Market during regular trading hours as reported by Bloomberg L.P.</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Lastly, on July 7, 2026, the Company entered into an investment agreement with an institutional investor, Linden Advisors LP, to sell, and on July 14, 2026 sold the 2029 Convertible Notes in an aggregate principal amount of $20.0 million convertible into ordinary shares of the Company in a private placement to accounts managed by Linden. The 2029 Convertible Notes were issued at 99% of principal amount pursuant an indenture. This conversion option of the 2029 Convertible Notes into shares of the Company at prices determined by reference to fixed premium conversion prices including at 97% of the applicable volume-weighted average price of the shares of the Company, is subject to a minimum conversion price and certain daily conversion limits as further specified in the investment agreement.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have additional shares authorized under our articles of association.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All of the Ordinary Shares and Public Warrants that were issued in connection with the Business Combination are freely transferable without restriction or further registration under the Securities Act, other than any Ordinary Shares or Public Warrants issued to our “affiliates.” The PIPE Shares, the Private Warrants and the Azul Warrants were not registered under the Securities Act, in reliance upon the exemption provided in Section 4(a)(2) of the Securities Act and/or Regulation D or Regulation S promulgated thereunder, and are not freely transferable. The Ordinary Shares and SPAC Warrants issued to our “affiliates” and the PIPE Shares and Azul Warrant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(see description below).</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registration statement of which this prospectus forms a part has been filed in part to satisfy our obligations to register the offer and sale of Ordinary Shares and Private Warrants by the Sponsor and our affiliates pursuant to the Registration Rights Agreement and the Subscription Agreements. We cannot make any prediction as to the effect, if any, that sales of our shares or the availability of our shares for sale will have on the market price of our Ordinary Shares. Sales of substantial amounts of our Ordinary Shares in the public market could adversely affect prevailing market price of our Ordinary Shares.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Rule 144</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Pursuant to Rule 144 of the Securities Act (“</w:t>
      </w:r>
      <w:r>
        <w:rPr>
          <w:rFonts w:ascii="Times New Roman;Times;serif" w:hAnsi="Times New Roman;Times;serif"/>
          <w:b/>
          <w:sz w:val="20"/>
        </w:rPr>
        <w:t>Rule 144</w:t>
      </w:r>
      <w:r>
        <w:rPr>
          <w:rFonts w:ascii="Times New Roman;Times;serif" w:hAnsi="Times New Roman;Times;serif"/>
          <w:sz w:val="20"/>
        </w:rPr>
        <w:t>”), a person who has beneficially owned restricted Ordinary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Persons who have beneficially owned restricted Ordinary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 1% of the total number of Ordinary Shares then issued and outstanding; or the average weekly reported trading volume of the Ordinary Shares during the four calendar weeks preceding the filing of a notice on Form 144 with respect to the sale. Sales by our affiliates under Rule 144 are also limited by manner of sale provisions and notice requirements and to the availability of current public information about us.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129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Restrictions on the Use of Rule 144 by Shell Companies or Former Shell Companies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the issuer of the securities that was formerly a shell company has ceased to be a shell company; the issuer of the securities is subject to the reporting requirements of Section 13 or 15(d) of the Exchange Act; the issuer of the securities has filed all Exchange Act reports and material required to be filed, as applicable, during the preceding 12 months (or such shorter period that the issuer was required to file such reports and materials), other than Current Reports; and at least one year has elapsed from the time that the issuer filed current Form 10 type information with the SEC reflecting its status as an entity that is not a shell company. We were formed as a shell company in 2021. Upon the consummation of the Business Combination, on April 30, 2024, we ceased to be a shell company and so, once the conditions set forth in the exceptions listed above are satisfied, Rule 144 will become available for the resale of restricted securities and securities held by affiliates.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Regulation 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Regulation S under the Securities Act provides an exemption from registration requirements in the United States for offers and sales of securities that occur outside the United States. Rule 903 of Regulation S provides the conditions to the exemption for a sale by an issuer, a distributor, their respective affiliates or anyone acting on their behalf, while Rule 904 of Regulation S provides the conditions to the exemption for a resale by persons other than those covered by Rule 903. In each case, any sale must be completed in an offshore transaction, as that term is defined in Regulation S, and no directed selling efforts, as that term is defined in Regulation S, may be made in the United States. We are a foreign issuer as defined in Regulation S. As a foreign issuer, securities that we sell outside the United States pursuant to Regulation S are not considered to be restricted securities under the Securities Act, and, subject to the offering restrictions imposed by Rule 903, are freely tradable without registration or restrictions under the Securities Act, unless the securities are held by our affiliates. Generally, subject to certain limitations, holders of our restricted shares who are not affiliates of the Company or who are affiliates of the Company by virtue of their status as an officer or director may, under Regulation S, resell their restricted shares in an “offshore transaction” if none of the seller, its affiliate nor any person acting on their behalf engages in directed selling efforts in the United States and, in the case of a sale of our restricted shares by an officer or director who is an affiliate of ours solely by virtue of holding such position, no selling commission, fee or other remuneration is paid in connection with the offer or sale other than the usual and customary broker’s commission that would be received by a person executing such transaction as agent. Additional restrictions are applicable to a holder of our restricted shares who will be an affiliate of the Company other than by virtue of his or her status as an officer or director of the Company.</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Rule 701</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general, under Rule 701 of the Securities Act as currently in effect, each of our employees, consultants or advisors who purchases equity shares from us in connection with a compensatory stock plan or other written agreement that was executed prior to the completion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Registration Rights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connection with the closing of the Business Combination Agreement, certain of our shareholders entered into a Registration Rights Agreement. Pursuant to the Registration Rights Agreement, we agreed that, after the consummation of the Business Combination, we would use our commercially reasonable efforts to have a registration statement for all unregistered shares declared effective as soon as reasonably practicable after the filing thereof. The Registration Rights Agreement does not provide for the payment of any cash penalties by us if we fail to satisfy any of our obligations under the Registration Rights Agreement. In addition, we have entered into a subscription agreement with XJ in which we committed to also register the Ordinary Shares issued to XJ.</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connection with the 2028 Convertible Notes and the 2026 Warrants issued to accounts managed by Linden in January 2026, the Company entered into a registration rights agreement to register the underlying shares of the 2028 Convertible Notes and the 2026 Warrants.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130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Additionally, in connection with the Term Loan Facility with Black Forest Special Situations I, the Company entered into contractual arrangements requiring the registration of the underlying shares of the convertible term loan drawn under the Term Loan Facility and the shares to be issued upon exercise of the 2026 Options agreed with Black Forest Special Situations I.</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Additionally, in connection with the agreements signed with XJ Harbour in November 2025, the Company entered into contractual arrangements requiring the registration of the shares issued to XJ Harbour on January 16, 2026.</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Additionally, in connection with the agreements signed with Anette Schmid, Christian Schmid, Christine Schmid and Schmid Grundstücke GmbH &amp; Co. KG on April 24, 2026, the Company entered into contractual arrangements requiring the registration of the shares to be issued. Pursuant to these agreements, on May 23, 2026, the Company issued and sold in private placements an aggregate of 4,958,481 Ordinary Shares to Anette Schmid, Christian Schmid, Christine Schmid and Schmid Grundstücke GmbH &amp; Co KG to offset indebtedness in an aggregate amount of EUR 30.75 million owed to them.</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May 12, 2026 the Company signed the SEPA with Yorkville. On May 23, 2026, the Company issued Ordinary Shares to Yorkville in satisfaction of the USD 150,000 commitment fee under the SEPA, thereby making the SEPA available for use by the Company.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connection with the 2029 Convertible Notes issued to accounts managed by Linden in July 2026, the Company entered into a registration rights agreement to register the underlying shares of the 2029 Convertible Notes.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131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63" w:name="EXPENSESRELATEDTOTHEOFFERING_223931"/>
      <w:bookmarkStart w:id="64" w:name="_2ddaf1ec_fb1e_49ab_9924_2652fb031c1c"/>
      <w:bookmarkEnd w:id="63"/>
      <w:bookmarkEnd w:id="64"/>
      <w:r>
        <w:rPr>
          <w:rFonts w:ascii="Times New Roman;Times;serif" w:hAnsi="Times New Roman;Times;serif"/>
          <w:b/>
          <w:sz w:val="20"/>
        </w:rPr>
        <w:t>EXPENSES RELATED TO THE OFFERING</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Set forth below is an itemization of the total expenses which are expected to be incurred by us in connection with the securities being registered hereby and the offer and sale of our Ordinary Shares by the selling securityholders.</w:t>
      </w:r>
    </w:p>
    <w:p>
      <w:pPr>
        <w:pStyle w:val="TextBody"/>
        <w:bidi w:val="0"/>
        <w:spacing w:before="0" w:after="0"/>
        <w:ind w:left="200" w:right="200" w:hanging="0"/>
        <w:jc w:val="left"/>
        <w:rPr/>
      </w:pPr>
      <w:r>
        <w:rPr/>
        <w:t>​</w:t>
      </w:r>
    </w:p>
    <w:tbl>
      <w:tblPr>
        <w:tblW w:w="3994" w:type="dxa"/>
        <w:jc w:val="left"/>
        <w:tblInd w:w="200" w:type="dxa"/>
        <w:tblLayout w:type="fixed"/>
        <w:tblCellMar>
          <w:top w:w="0" w:type="dxa"/>
          <w:left w:w="0" w:type="dxa"/>
          <w:bottom w:w="0" w:type="dxa"/>
          <w:right w:w="0" w:type="dxa"/>
        </w:tblCellMar>
      </w:tblPr>
      <w:tblGrid>
        <w:gridCol w:w="2566"/>
        <w:gridCol w:w="346"/>
        <w:gridCol w:w="211"/>
        <w:gridCol w:w="871"/>
      </w:tblGrid>
      <w:tr>
        <w:trPr/>
        <w:tc>
          <w:tcPr>
            <w:tcW w:w="25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ind w:left="0" w:right="0" w:hanging="0"/>
              <w:jc w:val="left"/>
              <w:rPr>
                <w:sz w:val="4"/>
                <w:szCs w:val="4"/>
              </w:rPr>
            </w:pPr>
            <w:r>
              <w:rPr>
                <w:sz w:val="4"/>
                <w:szCs w:val="4"/>
              </w:rPr>
            </w:r>
          </w:p>
        </w:tc>
      </w:tr>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629410" cy="175260"/>
                      <wp:effectExtent l="0" t="0" r="0" b="0"/>
                      <wp:wrapNone/>
                      <wp:docPr id="72" name="Frame70"/>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3"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4"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53085" cy="175260"/>
                      <wp:effectExtent l="0" t="0" r="0" b="0"/>
                      <wp:wrapNone/>
                      <wp:docPr id="75" name="Frame7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5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 Registration Fee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6,210.92</w:t>
            </w:r>
          </w:p>
        </w:tc>
      </w:tr>
      <w:tr>
        <w:trPr/>
        <w:tc>
          <w:tcPr>
            <w:tcW w:w="25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fees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5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Accounting fees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5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Miscellaneous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5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w:t>
            </w:r>
          </w:p>
        </w:tc>
      </w:tr>
    </w:tbl>
    <w:tbl>
      <w:tblPr>
        <w:tblW w:w="9805" w:type="dxa"/>
        <w:jc w:val="left"/>
        <w:tblInd w:w="200" w:type="dxa"/>
        <w:tblLayout w:type="fixed"/>
        <w:tblCellMar>
          <w:top w:w="0" w:type="dxa"/>
          <w:left w:w="0" w:type="dxa"/>
          <w:bottom w:w="0" w:type="dxa"/>
          <w:right w:w="0" w:type="dxa"/>
        </w:tblCellMar>
      </w:tblPr>
      <w:tblGrid>
        <w:gridCol w:w="226"/>
        <w:gridCol w:w="9579"/>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57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These fees are calculated based on the securities offered and the number of issuances and accordingly cannot be defined at this time.</w:t>
            </w:r>
          </w:p>
        </w:tc>
      </w:tr>
    </w:tbl>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132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65" w:name="LEGALMATTERS_991898"/>
      <w:bookmarkStart w:id="66" w:name="_cb076759_8cb6_4e40_9c44_bf067b364594"/>
      <w:bookmarkEnd w:id="65"/>
      <w:bookmarkEnd w:id="66"/>
      <w:r>
        <w:rPr>
          <w:rFonts w:ascii="Times New Roman;Times;serif" w:hAnsi="Times New Roman;Times;serif"/>
          <w:b/>
          <w:sz w:val="20"/>
        </w:rPr>
        <w:t>LEGAL MATTERS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Clifford Chance PmbB, is legal and SEC counsel to SCHMID. Clifford Chance LLP is Dutch counsel to SCHMID. Validity of the securities offered in this offering and certain other legal matters as to US and Dutch law will be passed upon for us by Clifford Chance PmBB and Clifford Chance LLP, respectively.</w:t>
      </w:r>
    </w:p>
    <w:p>
      <w:pPr>
        <w:pStyle w:val="TextBody"/>
        <w:bidi w:val="0"/>
        <w:spacing w:before="0" w:after="0"/>
        <w:ind w:left="200" w:right="200" w:firstLine="360"/>
        <w:jc w:val="left"/>
        <w:rPr/>
      </w:pPr>
      <w:r>
        <w:rPr/>
        <w:t>​</w:t>
      </w:r>
    </w:p>
    <w:p>
      <w:pPr>
        <w:pStyle w:val="TextBody"/>
        <w:bidi w:val="0"/>
        <w:spacing w:before="0" w:after="240"/>
        <w:ind w:left="200" w:right="200" w:hanging="0"/>
        <w:jc w:val="center"/>
        <w:rPr>
          <w:rFonts w:ascii="Times New Roman;Times;serif" w:hAnsi="Times New Roman;Times;serif"/>
          <w:b/>
          <w:sz w:val="20"/>
        </w:rPr>
      </w:pPr>
      <w:bookmarkStart w:id="67" w:name="EXPERTS_847390"/>
      <w:bookmarkStart w:id="68" w:name="_53360768_38c9_42b3_afe1_6d1a6291ff0f"/>
      <w:bookmarkEnd w:id="67"/>
      <w:bookmarkEnd w:id="68"/>
      <w:r>
        <w:rPr>
          <w:rFonts w:ascii="Times New Roman;Times;serif" w:hAnsi="Times New Roman;Times;serif"/>
          <w:b/>
          <w:sz w:val="20"/>
        </w:rPr>
        <w:t>EXPERTS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consolidated financial statements of Schmid Group N.V. as of December 31, 2025 and 2024, and for each of the years in the three year period ended December 31, 2025, have been included herein and in the registration statement in reliance upon the report of KPMG AG Wirtschaftsprüfungsgesellschaft, independent registered public accounting firm, appearing elsewhere herein, and upon the authority of said firm as experts in accounting and auditing.</w:t>
      </w:r>
    </w:p>
    <w:p>
      <w:pPr>
        <w:pStyle w:val="TextBody"/>
        <w:bidi w:val="0"/>
        <w:spacing w:before="0" w:after="0"/>
        <w:ind w:left="200" w:right="200" w:firstLine="360"/>
        <w:jc w:val="left"/>
        <w:rPr/>
      </w:pPr>
      <w:r>
        <w:rPr/>
        <w:t>​</w:t>
      </w:r>
    </w:p>
    <w:p>
      <w:pPr>
        <w:pStyle w:val="TextBody"/>
        <w:bidi w:val="0"/>
        <w:spacing w:before="0" w:after="240"/>
        <w:ind w:left="200" w:right="200" w:hanging="0"/>
        <w:jc w:val="center"/>
        <w:rPr>
          <w:rFonts w:ascii="Times New Roman;Times;serif" w:hAnsi="Times New Roman;Times;serif"/>
          <w:b/>
          <w:sz w:val="20"/>
        </w:rPr>
      </w:pPr>
      <w:bookmarkStart w:id="69" w:name="ENFORCEMENTOFCIVILLIABILITIES_358046"/>
      <w:bookmarkStart w:id="70" w:name="_db6c9568_5f7e_4ec0_bd49_d55cc9638156"/>
      <w:bookmarkEnd w:id="69"/>
      <w:bookmarkEnd w:id="70"/>
      <w:r>
        <w:rPr>
          <w:rFonts w:ascii="Times New Roman;Times;serif" w:hAnsi="Times New Roman;Times;serif"/>
          <w:b/>
          <w:sz w:val="20"/>
        </w:rPr>
        <w:t>ENFORCEMENT OF CIVIL LIABILITIES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SCHMID is organized under the law of the Netherlands, and certain of the individuals who may be directors and executive officers of SCHMID, and certain experts named in this prospectus, reside outside of the United States. All or a substantial portion of the assets of such individuals and of SCHMID may be located outside of the United States. As a result, it may not be possible to effect service of process within the United States upon such individuals or SCHMID, or to enforce against such individuals or SCHMID in United States courts judgments obtained in such courts predicated upon the civil liability provisions of the federal securities laws of the United States. SCHMID has been advised by counsel that there is doubt as to the enforceability in the Netherlands, in original actions or in actions for the enforcement of judgments of United States courts, of liabilities predicated solely upon the securities laws of the United States or enforce claims for punitive damages.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133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71" w:name="WHEREYOUCANFINDMOREINFORMATION_993987"/>
      <w:bookmarkStart w:id="72" w:name="_b47f41c5_0b24_43c9_b387_b6b17ca0e371"/>
      <w:bookmarkEnd w:id="71"/>
      <w:bookmarkEnd w:id="72"/>
      <w:r>
        <w:rPr>
          <w:rFonts w:ascii="Times New Roman;Times;serif" w:hAnsi="Times New Roman;Times;serif"/>
          <w:b/>
          <w:sz w:val="20"/>
        </w:rPr>
        <w:t>WHERE YOU CAN FIND MORE INFORMATION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have filed with the SEC a registration statement (including amendments and exhibits to the registration statement) on Form F-1 under the Securities Act. For purposes of this section, the term registration statement means the original registration statement and any and all amendments including the schedules and exhibits to the original registration statement or any amendment.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are subject to the informational requirements of the Exchange Act that are applicable to foreign private issuers. Accordingly, we are required to file or furnish reports and other information with the SEC, including annual reports on Form 20-F and reports on Form 6-K. The SEC maintains an Internet website that contains reports and other information regarding issuers that file electronically with the SEC. Our filings with the SEC are available to the public through the SEC’s website at http://www.sec.gov. As a foreign private issuer, we are exempt under the Exchange Act from certain rules, including for instance prescribing the furnishing and content of proxy statements. In addition, we will not be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We maintain a corporate website at schmid-group.com. Information contained on, or that can be accessed through, our website does not constitute a part of this prospectus. We have included our website address in this prospectus solely for informational purposes.</w:t>
      </w:r>
    </w:p>
    <w:p>
      <w:pPr>
        <w:pStyle w:val="TextBody"/>
        <w:bidi w:val="0"/>
        <w:spacing w:before="0" w:after="240"/>
        <w:ind w:left="200" w:right="200" w:hanging="0"/>
        <w:jc w:val="both"/>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134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bookmarkStart w:id="73" w:name="_e369b867_13ed_4642_b2df_f3e9352a7161"/>
      <w:bookmarkStart w:id="74" w:name="TOC_0"/>
      <w:bookmarkStart w:id="75" w:name="BKMK_113"/>
      <w:bookmarkStart w:id="76" w:name="BKMK_112"/>
      <w:bookmarkEnd w:id="73"/>
      <w:bookmarkEnd w:id="74"/>
      <w:bookmarkEnd w:id="75"/>
      <w:bookmarkEnd w:id="76"/>
      <w:r>
        <w:rPr>
          <w:rFonts w:ascii="Times New Roman;Times;serif" w:hAnsi="Times New Roman;Times;serif"/>
          <w:b/>
          <w:sz w:val="20"/>
        </w:rPr>
        <w:t>Consolidated Financial Statements</w:t>
      </w:r>
    </w:p>
    <w:p>
      <w:pPr>
        <w:pStyle w:val="TextBody"/>
        <w:bidi w:val="0"/>
        <w:spacing w:before="0" w:after="0"/>
        <w:ind w:left="200" w:right="200" w:hanging="0"/>
        <w:jc w:val="left"/>
        <w:rPr/>
      </w:pPr>
      <w:r>
        <w:rPr/>
        <w:t>​</w:t>
      </w:r>
    </w:p>
    <w:tbl>
      <w:tblPr>
        <w:tblW w:w="8328" w:type="dxa"/>
        <w:jc w:val="left"/>
        <w:tblInd w:w="200" w:type="dxa"/>
        <w:tblLayout w:type="fixed"/>
        <w:tblCellMar>
          <w:top w:w="0" w:type="dxa"/>
          <w:left w:w="0" w:type="dxa"/>
          <w:bottom w:w="0" w:type="dxa"/>
          <w:right w:w="0" w:type="dxa"/>
        </w:tblCellMar>
      </w:tblPr>
      <w:tblGrid>
        <w:gridCol w:w="7366"/>
        <w:gridCol w:w="346"/>
        <w:gridCol w:w="616"/>
      </w:tblGrid>
      <w:tr>
        <w:trPr/>
        <w:tc>
          <w:tcPr>
            <w:tcW w:w="7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ind w:left="0" w:right="0" w:hanging="0"/>
              <w:jc w:val="left"/>
              <w:rPr>
                <w:sz w:val="4"/>
                <w:szCs w:val="4"/>
              </w:rPr>
            </w:pPr>
            <w:r>
              <w:rPr>
                <w:sz w:val="4"/>
                <w:szCs w:val="4"/>
              </w:rPr>
            </w:r>
          </w:p>
        </w:tc>
      </w:tr>
      <w:tr>
        <w:trPr/>
        <w:tc>
          <w:tcPr>
            <w:tcW w:w="7366"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b/>
                <w:sz w:val="16"/>
              </w:rPr>
            </w:pPr>
            <w:r>
              <w:rPr>
                <w:rFonts w:ascii="Times New Roman;Times;serif" w:hAnsi="Times New Roman;Times;serif"/>
                <w:b/>
                <w:sz w:val="16"/>
              </w:rPr>
              <w:t>CONTENT</w:t>
            </w:r>
          </w:p>
        </w:tc>
        <w:tc>
          <w:tcPr>
            <w:tcW w:w="346" w:type="dxa"/>
            <w:tcBorders/>
            <w:vAlign w:val="center"/>
          </w:tcPr>
          <w:p>
            <w:pPr>
              <w:pStyle w:val="TableContents"/>
              <w:bidi w:val="0"/>
              <w:spacing w:lineRule="auto" w:line="328" w:before="0" w:after="0"/>
              <w:ind w:left="0" w:right="0" w:hanging="0"/>
              <w:jc w:val="center"/>
              <w:rPr/>
            </w:pPr>
            <w:r>
              <w:rPr/>
              <w:t>  ​ ​ ​</w:t>
            </w:r>
          </w:p>
        </w:tc>
        <w:tc>
          <w:tcPr>
            <w:tcW w:w="616"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7366"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left"/>
              <w:rPr/>
            </w:pPr>
            <w:hyperlink w:anchor="ReportofIndependentRegisteredPublicAccou">
              <w:r>
                <w:rPr>
                  <w:rStyle w:val="InternetLink"/>
                  <w:rFonts w:ascii="Times New Roman;Times;serif" w:hAnsi="Times New Roman;Times;serif"/>
                  <w:b/>
                  <w:i w:val="false"/>
                  <w:caps w:val="false"/>
                  <w:smallCaps w:val="false"/>
                  <w:sz w:val="20"/>
                </w:rPr>
                <w:t>Report of Independent Registered Public Accounting Firm</w:t>
              </w:r>
            </w:hyperlink>
            <w:r>
              <w:rPr>
                <w:rFonts w:ascii="Times New Roman;Times;serif" w:hAnsi="Times New Roman;Times;serif"/>
                <w:sz w:val="20"/>
              </w:rPr>
              <w:t xml:space="preserve"> </w:t>
            </w:r>
            <w:r>
              <w:rPr>
                <w:rFonts w:ascii="Times New Roman;Times;serif" w:hAnsi="Times New Roman;Times;serif"/>
                <w:b/>
                <w:sz w:val="20"/>
              </w:rPr>
              <w:t>(PCAOB ID: 1021)</w:t>
            </w:r>
          </w:p>
        </w:tc>
        <w:tc>
          <w:tcPr>
            <w:tcW w:w="346" w:type="dxa"/>
            <w:tcBorders/>
            <w:shd w:fill="CCEEFF" w:val="clear"/>
            <w:vAlign w:val="center"/>
          </w:tcPr>
          <w:p>
            <w:pPr>
              <w:pStyle w:val="TableContents"/>
              <w:bidi w:val="0"/>
              <w:spacing w:lineRule="auto" w:line="328" w:before="0" w:after="0"/>
              <w:ind w:left="0" w:right="0" w:hanging="0"/>
              <w:jc w:val="center"/>
              <w:rPr/>
            </w:pPr>
            <w:r>
              <w:rPr/>
              <w:t>​</w:t>
            </w:r>
          </w:p>
        </w:tc>
        <w:tc>
          <w:tcPr>
            <w:tcW w:w="616"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7366" w:type="dxa"/>
            <w:tcBorders/>
            <w:vAlign w:val="center"/>
          </w:tcPr>
          <w:p>
            <w:pPr>
              <w:pStyle w:val="TableContents"/>
              <w:bidi w:val="0"/>
              <w:spacing w:lineRule="auto" w:line="328" w:before="0" w:after="0"/>
              <w:ind w:left="0" w:right="0" w:hanging="0"/>
              <w:jc w:val="left"/>
              <w:rPr/>
            </w:pPr>
            <w:hyperlink w:anchor="ConsolidatedStatementsofProfitorLos">
              <w:r>
                <w:rPr>
                  <w:rStyle w:val="InternetLink"/>
                  <w:rFonts w:ascii="Times New Roman;Times;serif" w:hAnsi="Times New Roman;Times;serif"/>
                  <w:b/>
                  <w:i w:val="false"/>
                  <w:caps w:val="false"/>
                  <w:smallCaps w:val="false"/>
                  <w:sz w:val="20"/>
                </w:rPr>
                <w:t>Consolidated Statements of Profit or Loss and Other Comprehensive Income (Loss)</w:t>
              </w:r>
            </w:hyperlink>
          </w:p>
        </w:tc>
        <w:tc>
          <w:tcPr>
            <w:tcW w:w="346" w:type="dxa"/>
            <w:tcBorders/>
            <w:vAlign w:val="center"/>
          </w:tcPr>
          <w:p>
            <w:pPr>
              <w:pStyle w:val="TableContents"/>
              <w:bidi w:val="0"/>
              <w:spacing w:lineRule="auto" w:line="328" w:before="0" w:after="0"/>
              <w:ind w:left="0" w:right="0" w:hanging="0"/>
              <w:jc w:val="right"/>
              <w:rPr/>
            </w:pPr>
            <w:r>
              <w:rPr/>
              <w:t>​</w:t>
            </w:r>
          </w:p>
        </w:tc>
        <w:tc>
          <w:tcPr>
            <w:tcW w:w="61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F-3</w:t>
            </w:r>
          </w:p>
        </w:tc>
      </w:tr>
      <w:tr>
        <w:trPr/>
        <w:tc>
          <w:tcPr>
            <w:tcW w:w="7366" w:type="dxa"/>
            <w:tcBorders/>
            <w:shd w:fill="CCEEFF" w:val="clear"/>
            <w:vAlign w:val="center"/>
          </w:tcPr>
          <w:p>
            <w:pPr>
              <w:pStyle w:val="TableContents"/>
              <w:bidi w:val="0"/>
              <w:spacing w:lineRule="auto" w:line="328" w:before="0" w:after="0"/>
              <w:ind w:left="0" w:right="0" w:hanging="0"/>
              <w:jc w:val="left"/>
              <w:rPr/>
            </w:pPr>
            <w:hyperlink w:anchor="SCHMIDConsolidatedStatementsofFina">
              <w:r>
                <w:rPr>
                  <w:rStyle w:val="InternetLink"/>
                  <w:rFonts w:ascii="Times New Roman;Times;serif" w:hAnsi="Times New Roman;Times;serif"/>
                  <w:b/>
                  <w:i w:val="false"/>
                  <w:caps w:val="false"/>
                  <w:smallCaps w:val="false"/>
                  <w:sz w:val="20"/>
                </w:rPr>
                <w:t>Consolidated Statements of Financial Position</w:t>
              </w:r>
            </w:hyperlink>
          </w:p>
        </w:tc>
        <w:tc>
          <w:tcPr>
            <w:tcW w:w="346" w:type="dxa"/>
            <w:tcBorders/>
            <w:shd w:fill="CCEEFF" w:val="clear"/>
            <w:vAlign w:val="center"/>
          </w:tcPr>
          <w:p>
            <w:pPr>
              <w:pStyle w:val="TableContents"/>
              <w:bidi w:val="0"/>
              <w:spacing w:lineRule="auto" w:line="328" w:before="0" w:after="0"/>
              <w:ind w:left="0" w:right="0" w:hanging="0"/>
              <w:jc w:val="right"/>
              <w:rPr/>
            </w:pPr>
            <w:r>
              <w:rPr/>
              <w:t>​</w:t>
            </w:r>
          </w:p>
        </w:tc>
        <w:tc>
          <w:tcPr>
            <w:tcW w:w="61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7366" w:type="dxa"/>
            <w:tcBorders/>
            <w:vAlign w:val="center"/>
          </w:tcPr>
          <w:p>
            <w:pPr>
              <w:pStyle w:val="TableContents"/>
              <w:bidi w:val="0"/>
              <w:spacing w:lineRule="auto" w:line="328" w:before="0" w:after="0"/>
              <w:ind w:left="0" w:right="0" w:hanging="0"/>
              <w:jc w:val="left"/>
              <w:rPr/>
            </w:pPr>
            <w:hyperlink w:anchor="ConsolidatedStatementsofChangesinEqUITY">
              <w:r>
                <w:rPr>
                  <w:rStyle w:val="InternetLink"/>
                  <w:rFonts w:ascii="Times New Roman;Times;serif" w:hAnsi="Times New Roman;Times;serif"/>
                  <w:b/>
                  <w:i w:val="false"/>
                  <w:caps w:val="false"/>
                  <w:smallCaps w:val="false"/>
                  <w:sz w:val="20"/>
                </w:rPr>
                <w:t>Consolidated Statements of Changes in Equity</w:t>
              </w:r>
            </w:hyperlink>
          </w:p>
        </w:tc>
        <w:tc>
          <w:tcPr>
            <w:tcW w:w="346" w:type="dxa"/>
            <w:tcBorders/>
            <w:vAlign w:val="center"/>
          </w:tcPr>
          <w:p>
            <w:pPr>
              <w:pStyle w:val="TableContents"/>
              <w:bidi w:val="0"/>
              <w:spacing w:lineRule="auto" w:line="328" w:before="0" w:after="0"/>
              <w:ind w:left="0" w:right="0" w:hanging="0"/>
              <w:jc w:val="right"/>
              <w:rPr/>
            </w:pPr>
            <w:r>
              <w:rPr/>
              <w:t>​</w:t>
            </w:r>
          </w:p>
        </w:tc>
        <w:tc>
          <w:tcPr>
            <w:tcW w:w="61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7366" w:type="dxa"/>
            <w:tcBorders/>
            <w:shd w:fill="CCEEFF" w:val="clear"/>
            <w:vAlign w:val="center"/>
          </w:tcPr>
          <w:p>
            <w:pPr>
              <w:pStyle w:val="TableContents"/>
              <w:bidi w:val="0"/>
              <w:spacing w:lineRule="auto" w:line="328" w:before="0" w:after="0"/>
              <w:ind w:left="0" w:right="0" w:hanging="0"/>
              <w:jc w:val="left"/>
              <w:rPr/>
            </w:pPr>
            <w:hyperlink w:anchor="ConsolidatedStatementsofCashFlows">
              <w:r>
                <w:rPr>
                  <w:rStyle w:val="InternetLink"/>
                  <w:rFonts w:ascii="Times New Roman;Times;serif" w:hAnsi="Times New Roman;Times;serif"/>
                  <w:b/>
                  <w:i w:val="false"/>
                  <w:caps w:val="false"/>
                  <w:smallCaps w:val="false"/>
                  <w:sz w:val="20"/>
                </w:rPr>
                <w:t>Consolidated Statements of Cash Flows</w:t>
              </w:r>
            </w:hyperlink>
          </w:p>
        </w:tc>
        <w:tc>
          <w:tcPr>
            <w:tcW w:w="346" w:type="dxa"/>
            <w:tcBorders/>
            <w:shd w:fill="CCEEFF" w:val="clear"/>
            <w:vAlign w:val="center"/>
          </w:tcPr>
          <w:p>
            <w:pPr>
              <w:pStyle w:val="TableContents"/>
              <w:bidi w:val="0"/>
              <w:spacing w:lineRule="auto" w:line="328" w:before="0" w:after="0"/>
              <w:ind w:left="0" w:right="0" w:hanging="0"/>
              <w:jc w:val="right"/>
              <w:rPr/>
            </w:pPr>
            <w:r>
              <w:rPr/>
              <w:t>​</w:t>
            </w:r>
          </w:p>
        </w:tc>
        <w:tc>
          <w:tcPr>
            <w:tcW w:w="61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7366" w:type="dxa"/>
            <w:tcBorders/>
            <w:vAlign w:val="center"/>
          </w:tcPr>
          <w:p>
            <w:pPr>
              <w:pStyle w:val="TableContents"/>
              <w:bidi w:val="0"/>
              <w:spacing w:lineRule="auto" w:line="328" w:before="0" w:after="0"/>
              <w:ind w:left="0" w:right="0" w:hanging="0"/>
              <w:jc w:val="left"/>
              <w:rPr/>
            </w:pPr>
            <w:hyperlink w:anchor="a1BUSINESSDESCRIPTION_360801">
              <w:r>
                <w:rPr>
                  <w:rStyle w:val="InternetLink"/>
                  <w:rFonts w:ascii="Times New Roman;Times;serif" w:hAnsi="Times New Roman;Times;serif"/>
                  <w:b/>
                  <w:i w:val="false"/>
                  <w:caps w:val="false"/>
                  <w:smallCaps w:val="false"/>
                  <w:sz w:val="20"/>
                </w:rPr>
                <w:t>1. BUSINESS DESCRIPTION</w:t>
              </w:r>
            </w:hyperlink>
          </w:p>
        </w:tc>
        <w:tc>
          <w:tcPr>
            <w:tcW w:w="346" w:type="dxa"/>
            <w:tcBorders/>
            <w:vAlign w:val="center"/>
          </w:tcPr>
          <w:p>
            <w:pPr>
              <w:pStyle w:val="TableContents"/>
              <w:bidi w:val="0"/>
              <w:spacing w:lineRule="auto" w:line="328" w:before="0" w:after="0"/>
              <w:ind w:left="0" w:right="0" w:hanging="0"/>
              <w:jc w:val="right"/>
              <w:rPr/>
            </w:pPr>
            <w:r>
              <w:rPr/>
              <w:t>​</w:t>
            </w:r>
          </w:p>
        </w:tc>
        <w:tc>
          <w:tcPr>
            <w:tcW w:w="61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7366" w:type="dxa"/>
            <w:tcBorders/>
            <w:shd w:fill="CCEEFF" w:val="clear"/>
            <w:vAlign w:val="center"/>
          </w:tcPr>
          <w:p>
            <w:pPr>
              <w:pStyle w:val="TableContents"/>
              <w:bidi w:val="0"/>
              <w:spacing w:lineRule="auto" w:line="328" w:before="0" w:after="0"/>
              <w:ind w:left="0" w:right="0" w:hanging="0"/>
              <w:jc w:val="left"/>
              <w:rPr/>
            </w:pPr>
            <w:hyperlink w:anchor="a2BASISOFPRESENTATION_368078">
              <w:r>
                <w:rPr>
                  <w:rStyle w:val="InternetLink"/>
                  <w:rFonts w:ascii="Times New Roman;Times;serif" w:hAnsi="Times New Roman;Times;serif"/>
                  <w:b/>
                  <w:i w:val="false"/>
                  <w:caps w:val="false"/>
                  <w:smallCaps w:val="false"/>
                  <w:sz w:val="20"/>
                </w:rPr>
                <w:t>2. BASIS OF PRESENTATION</w:t>
              </w:r>
            </w:hyperlink>
          </w:p>
        </w:tc>
        <w:tc>
          <w:tcPr>
            <w:tcW w:w="346" w:type="dxa"/>
            <w:tcBorders/>
            <w:shd w:fill="CCEEFF" w:val="clear"/>
            <w:vAlign w:val="center"/>
          </w:tcPr>
          <w:p>
            <w:pPr>
              <w:pStyle w:val="TableContents"/>
              <w:bidi w:val="0"/>
              <w:spacing w:lineRule="auto" w:line="328" w:before="0" w:after="0"/>
              <w:ind w:left="0" w:right="0" w:hanging="0"/>
              <w:jc w:val="right"/>
              <w:rPr/>
            </w:pPr>
            <w:r>
              <w:rPr/>
              <w:t>​</w:t>
            </w:r>
          </w:p>
        </w:tc>
        <w:tc>
          <w:tcPr>
            <w:tcW w:w="61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7366" w:type="dxa"/>
            <w:tcBorders/>
            <w:vAlign w:val="center"/>
          </w:tcPr>
          <w:p>
            <w:pPr>
              <w:pStyle w:val="TableContents"/>
              <w:bidi w:val="0"/>
              <w:spacing w:lineRule="auto" w:line="328" w:before="0" w:after="0"/>
              <w:ind w:left="0" w:right="0" w:hanging="0"/>
              <w:jc w:val="left"/>
              <w:rPr/>
            </w:pPr>
            <w:hyperlink w:anchor="a3DESPAC_84484">
              <w:r>
                <w:rPr>
                  <w:rStyle w:val="InternetLink"/>
                  <w:rFonts w:ascii="Times New Roman;Times;serif" w:hAnsi="Times New Roman;Times;serif"/>
                  <w:b/>
                  <w:i w:val="false"/>
                  <w:caps w:val="false"/>
                  <w:smallCaps w:val="false"/>
                  <w:sz w:val="20"/>
                </w:rPr>
                <w:t>3. DE-SPAC</w:t>
              </w:r>
            </w:hyperlink>
          </w:p>
        </w:tc>
        <w:tc>
          <w:tcPr>
            <w:tcW w:w="346" w:type="dxa"/>
            <w:tcBorders/>
            <w:vAlign w:val="center"/>
          </w:tcPr>
          <w:p>
            <w:pPr>
              <w:pStyle w:val="TableContents"/>
              <w:bidi w:val="0"/>
              <w:spacing w:lineRule="auto" w:line="328" w:before="0" w:after="0"/>
              <w:ind w:left="0" w:right="0" w:hanging="0"/>
              <w:jc w:val="right"/>
              <w:rPr/>
            </w:pPr>
            <w:r>
              <w:rPr/>
              <w:t>​</w:t>
            </w:r>
          </w:p>
        </w:tc>
        <w:tc>
          <w:tcPr>
            <w:tcW w:w="61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F-9</w:t>
            </w:r>
          </w:p>
        </w:tc>
      </w:tr>
      <w:tr>
        <w:trPr/>
        <w:tc>
          <w:tcPr>
            <w:tcW w:w="7366" w:type="dxa"/>
            <w:tcBorders/>
            <w:shd w:fill="CCEEFF" w:val="clear"/>
            <w:vAlign w:val="center"/>
          </w:tcPr>
          <w:p>
            <w:pPr>
              <w:pStyle w:val="TableContents"/>
              <w:bidi w:val="0"/>
              <w:spacing w:lineRule="auto" w:line="328" w:before="0" w:after="0"/>
              <w:ind w:left="0" w:right="0" w:hanging="0"/>
              <w:jc w:val="left"/>
              <w:rPr/>
            </w:pPr>
            <w:hyperlink w:anchor="a3MATERIALACCOUNTINGPOLICIES_947886">
              <w:r>
                <w:rPr>
                  <w:rStyle w:val="InternetLink"/>
                  <w:rFonts w:ascii="Times New Roman;Times;serif" w:hAnsi="Times New Roman;Times;serif"/>
                  <w:b/>
                  <w:i w:val="false"/>
                  <w:caps w:val="false"/>
                  <w:smallCaps w:val="false"/>
                  <w:sz w:val="20"/>
                </w:rPr>
                <w:t>4. MATERIAL ACCOUNTING POLICIES</w:t>
              </w:r>
            </w:hyperlink>
          </w:p>
        </w:tc>
        <w:tc>
          <w:tcPr>
            <w:tcW w:w="346" w:type="dxa"/>
            <w:tcBorders/>
            <w:shd w:fill="CCEEFF" w:val="clear"/>
            <w:vAlign w:val="center"/>
          </w:tcPr>
          <w:p>
            <w:pPr>
              <w:pStyle w:val="TableContents"/>
              <w:bidi w:val="0"/>
              <w:spacing w:lineRule="auto" w:line="328" w:before="0" w:after="0"/>
              <w:ind w:left="0" w:right="0" w:hanging="0"/>
              <w:jc w:val="right"/>
              <w:rPr/>
            </w:pPr>
            <w:r>
              <w:rPr/>
              <w:t>​</w:t>
            </w:r>
          </w:p>
        </w:tc>
        <w:tc>
          <w:tcPr>
            <w:tcW w:w="61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F-10</w:t>
            </w:r>
          </w:p>
        </w:tc>
      </w:tr>
      <w:tr>
        <w:trPr/>
        <w:tc>
          <w:tcPr>
            <w:tcW w:w="7366" w:type="dxa"/>
            <w:tcBorders/>
            <w:vAlign w:val="center"/>
          </w:tcPr>
          <w:p>
            <w:pPr>
              <w:pStyle w:val="TableContents"/>
              <w:bidi w:val="0"/>
              <w:spacing w:lineRule="auto" w:line="328" w:before="0" w:after="0"/>
              <w:ind w:left="0" w:right="0" w:hanging="0"/>
              <w:jc w:val="left"/>
              <w:rPr/>
            </w:pPr>
            <w:hyperlink w:anchor="a4SIGNIFICANTACCOUNTINGJUDGMENTSESTIMATE">
              <w:r>
                <w:rPr>
                  <w:rStyle w:val="InternetLink"/>
                  <w:rFonts w:ascii="Times New Roman;Times;serif" w:hAnsi="Times New Roman;Times;serif"/>
                  <w:b/>
                  <w:i w:val="false"/>
                  <w:caps w:val="false"/>
                  <w:smallCaps w:val="false"/>
                  <w:sz w:val="20"/>
                </w:rPr>
                <w:t xml:space="preserve">5. SIGNIFICANT ACCOUNTING JUDGMENTS, ESTIMATES AND ASSUMPTIONS </w:t>
              </w:r>
            </w:hyperlink>
          </w:p>
        </w:tc>
        <w:tc>
          <w:tcPr>
            <w:tcW w:w="346" w:type="dxa"/>
            <w:tcBorders/>
            <w:vAlign w:val="center"/>
          </w:tcPr>
          <w:p>
            <w:pPr>
              <w:pStyle w:val="TableContents"/>
              <w:bidi w:val="0"/>
              <w:spacing w:lineRule="auto" w:line="328" w:before="0" w:after="0"/>
              <w:ind w:left="0" w:right="0" w:hanging="0"/>
              <w:jc w:val="right"/>
              <w:rPr/>
            </w:pPr>
            <w:r>
              <w:rPr/>
              <w:t>​</w:t>
            </w:r>
          </w:p>
        </w:tc>
        <w:tc>
          <w:tcPr>
            <w:tcW w:w="61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F-18</w:t>
            </w:r>
          </w:p>
        </w:tc>
      </w:tr>
      <w:tr>
        <w:trPr/>
        <w:tc>
          <w:tcPr>
            <w:tcW w:w="7366" w:type="dxa"/>
            <w:tcBorders/>
            <w:shd w:fill="CCEEFF" w:val="clear"/>
            <w:vAlign w:val="center"/>
          </w:tcPr>
          <w:p>
            <w:pPr>
              <w:pStyle w:val="TableContents"/>
              <w:bidi w:val="0"/>
              <w:spacing w:lineRule="auto" w:line="328" w:before="0" w:after="0"/>
              <w:ind w:left="0" w:right="0" w:hanging="0"/>
              <w:jc w:val="left"/>
              <w:rPr/>
            </w:pPr>
            <w:hyperlink w:anchor="a6SEGMENTANDGEOGRAPHICINFORMATION_795417">
              <w:r>
                <w:rPr>
                  <w:rStyle w:val="InternetLink"/>
                  <w:rFonts w:ascii="Times New Roman;Times;serif" w:hAnsi="Times New Roman;Times;serif"/>
                  <w:b/>
                  <w:i w:val="false"/>
                  <w:caps w:val="false"/>
                  <w:smallCaps w:val="false"/>
                  <w:sz w:val="20"/>
                </w:rPr>
                <w:t>6. SEGMENT AND GEOGRAPHIC INFORMATION</w:t>
              </w:r>
            </w:hyperlink>
          </w:p>
        </w:tc>
        <w:tc>
          <w:tcPr>
            <w:tcW w:w="346" w:type="dxa"/>
            <w:tcBorders/>
            <w:shd w:fill="CCEEFF" w:val="clear"/>
            <w:vAlign w:val="center"/>
          </w:tcPr>
          <w:p>
            <w:pPr>
              <w:pStyle w:val="TableContents"/>
              <w:bidi w:val="0"/>
              <w:spacing w:lineRule="auto" w:line="328" w:before="0" w:after="0"/>
              <w:ind w:left="0" w:right="0" w:hanging="0"/>
              <w:jc w:val="right"/>
              <w:rPr/>
            </w:pPr>
            <w:r>
              <w:rPr/>
              <w:t>​</w:t>
            </w:r>
          </w:p>
        </w:tc>
        <w:tc>
          <w:tcPr>
            <w:tcW w:w="61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F-19</w:t>
            </w:r>
          </w:p>
        </w:tc>
      </w:tr>
      <w:tr>
        <w:trPr/>
        <w:tc>
          <w:tcPr>
            <w:tcW w:w="7366" w:type="dxa"/>
            <w:tcBorders/>
            <w:vAlign w:val="center"/>
          </w:tcPr>
          <w:p>
            <w:pPr>
              <w:pStyle w:val="TableContents"/>
              <w:bidi w:val="0"/>
              <w:spacing w:lineRule="auto" w:line="328" w:before="0" w:after="0"/>
              <w:ind w:left="0" w:right="0" w:hanging="0"/>
              <w:jc w:val="left"/>
              <w:rPr/>
            </w:pPr>
            <w:hyperlink w:anchor="a7REVENUEFROMCONTRACTSWITHCUSTOMERSANDCO">
              <w:r>
                <w:rPr>
                  <w:rStyle w:val="InternetLink"/>
                  <w:rFonts w:ascii="Times New Roman;Times;serif" w:hAnsi="Times New Roman;Times;serif"/>
                  <w:b/>
                  <w:i w:val="false"/>
                  <w:caps w:val="false"/>
                  <w:smallCaps w:val="false"/>
                  <w:sz w:val="20"/>
                </w:rPr>
                <w:t>7. REVENUE FROM CONTRACTS WITH CUSTOMERS AND COST OF SALES</w:t>
              </w:r>
            </w:hyperlink>
          </w:p>
        </w:tc>
        <w:tc>
          <w:tcPr>
            <w:tcW w:w="346" w:type="dxa"/>
            <w:tcBorders/>
            <w:vAlign w:val="center"/>
          </w:tcPr>
          <w:p>
            <w:pPr>
              <w:pStyle w:val="TableContents"/>
              <w:bidi w:val="0"/>
              <w:spacing w:lineRule="auto" w:line="328" w:before="0" w:after="0"/>
              <w:ind w:left="0" w:right="0" w:hanging="0"/>
              <w:jc w:val="right"/>
              <w:rPr/>
            </w:pPr>
            <w:r>
              <w:rPr/>
              <w:t>​</w:t>
            </w:r>
          </w:p>
        </w:tc>
        <w:tc>
          <w:tcPr>
            <w:tcW w:w="61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F-21</w:t>
            </w:r>
          </w:p>
        </w:tc>
      </w:tr>
      <w:tr>
        <w:trPr/>
        <w:tc>
          <w:tcPr>
            <w:tcW w:w="7366" w:type="dxa"/>
            <w:tcBorders/>
            <w:shd w:fill="CCEEFF" w:val="clear"/>
            <w:vAlign w:val="center"/>
          </w:tcPr>
          <w:p>
            <w:pPr>
              <w:pStyle w:val="TableContents"/>
              <w:bidi w:val="0"/>
              <w:spacing w:lineRule="auto" w:line="328" w:before="0" w:after="0"/>
              <w:ind w:left="0" w:right="0" w:hanging="0"/>
              <w:jc w:val="left"/>
              <w:rPr/>
            </w:pPr>
            <w:hyperlink w:anchor="a8SELLING_363373">
              <w:r>
                <w:rPr>
                  <w:rStyle w:val="InternetLink"/>
                  <w:rFonts w:ascii="Times New Roman;Times;serif" w:hAnsi="Times New Roman;Times;serif"/>
                  <w:b/>
                  <w:i w:val="false"/>
                  <w:caps w:val="false"/>
                  <w:smallCaps w:val="false"/>
                  <w:sz w:val="20"/>
                </w:rPr>
                <w:t>8. SELLING EXPENSES</w:t>
              </w:r>
            </w:hyperlink>
          </w:p>
        </w:tc>
        <w:tc>
          <w:tcPr>
            <w:tcW w:w="346" w:type="dxa"/>
            <w:tcBorders/>
            <w:shd w:fill="CCEEFF" w:val="clear"/>
            <w:vAlign w:val="center"/>
          </w:tcPr>
          <w:p>
            <w:pPr>
              <w:pStyle w:val="TableContents"/>
              <w:bidi w:val="0"/>
              <w:spacing w:lineRule="auto" w:line="328" w:before="0" w:after="0"/>
              <w:ind w:left="0" w:right="0" w:hanging="0"/>
              <w:jc w:val="right"/>
              <w:rPr/>
            </w:pPr>
            <w:r>
              <w:rPr/>
              <w:t>​</w:t>
            </w:r>
          </w:p>
        </w:tc>
        <w:tc>
          <w:tcPr>
            <w:tcW w:w="61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F-22</w:t>
            </w:r>
          </w:p>
        </w:tc>
      </w:tr>
      <w:tr>
        <w:trPr/>
        <w:tc>
          <w:tcPr>
            <w:tcW w:w="7366" w:type="dxa"/>
            <w:tcBorders/>
            <w:vAlign w:val="center"/>
          </w:tcPr>
          <w:p>
            <w:pPr>
              <w:pStyle w:val="TableContents"/>
              <w:bidi w:val="0"/>
              <w:spacing w:lineRule="auto" w:line="328" w:before="0" w:after="0"/>
              <w:ind w:left="0" w:right="0" w:hanging="0"/>
              <w:jc w:val="left"/>
              <w:rPr/>
            </w:pPr>
            <w:hyperlink w:anchor="a9GENERALADMINISTRATION_706857">
              <w:r>
                <w:rPr>
                  <w:rStyle w:val="InternetLink"/>
                  <w:rFonts w:ascii="Times New Roman;Times;serif" w:hAnsi="Times New Roman;Times;serif"/>
                  <w:b/>
                  <w:i w:val="false"/>
                  <w:caps w:val="false"/>
                  <w:smallCaps w:val="false"/>
                  <w:sz w:val="20"/>
                </w:rPr>
                <w:t>9. GENERAL ADMINISTRATION EXPENSES</w:t>
              </w:r>
            </w:hyperlink>
          </w:p>
        </w:tc>
        <w:tc>
          <w:tcPr>
            <w:tcW w:w="346" w:type="dxa"/>
            <w:tcBorders/>
            <w:vAlign w:val="center"/>
          </w:tcPr>
          <w:p>
            <w:pPr>
              <w:pStyle w:val="TableContents"/>
              <w:bidi w:val="0"/>
              <w:spacing w:lineRule="auto" w:line="328" w:before="0" w:after="0"/>
              <w:ind w:left="0" w:right="0" w:hanging="0"/>
              <w:jc w:val="right"/>
              <w:rPr/>
            </w:pPr>
            <w:r>
              <w:rPr/>
              <w:t>​</w:t>
            </w:r>
          </w:p>
        </w:tc>
        <w:tc>
          <w:tcPr>
            <w:tcW w:w="61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F-22</w:t>
            </w:r>
          </w:p>
        </w:tc>
      </w:tr>
      <w:tr>
        <w:trPr/>
        <w:tc>
          <w:tcPr>
            <w:tcW w:w="7366" w:type="dxa"/>
            <w:tcBorders/>
            <w:shd w:fill="CCEEFF" w:val="clear"/>
            <w:vAlign w:val="center"/>
          </w:tcPr>
          <w:p>
            <w:pPr>
              <w:pStyle w:val="TableContents"/>
              <w:bidi w:val="0"/>
              <w:spacing w:lineRule="auto" w:line="328" w:before="0" w:after="0"/>
              <w:ind w:left="0" w:right="0" w:hanging="0"/>
              <w:jc w:val="left"/>
              <w:rPr/>
            </w:pPr>
            <w:hyperlink w:anchor="a10RESEARCHANDDEVELOPMENTEXPENSES_635160">
              <w:r>
                <w:rPr>
                  <w:rStyle w:val="InternetLink"/>
                  <w:rFonts w:ascii="Times New Roman;Times;serif" w:hAnsi="Times New Roman;Times;serif"/>
                  <w:b/>
                  <w:i w:val="false"/>
                  <w:caps w:val="false"/>
                  <w:smallCaps w:val="false"/>
                  <w:sz w:val="20"/>
                </w:rPr>
                <w:t>10. RESEARCH AND DEVELOPMENT EXPENSES</w:t>
              </w:r>
            </w:hyperlink>
          </w:p>
        </w:tc>
        <w:tc>
          <w:tcPr>
            <w:tcW w:w="346" w:type="dxa"/>
            <w:tcBorders/>
            <w:shd w:fill="CCEEFF" w:val="clear"/>
            <w:vAlign w:val="center"/>
          </w:tcPr>
          <w:p>
            <w:pPr>
              <w:pStyle w:val="TableContents"/>
              <w:bidi w:val="0"/>
              <w:spacing w:lineRule="auto" w:line="328" w:before="0" w:after="0"/>
              <w:ind w:left="0" w:right="0" w:hanging="0"/>
              <w:jc w:val="right"/>
              <w:rPr/>
            </w:pPr>
            <w:r>
              <w:rPr/>
              <w:t>​</w:t>
            </w:r>
          </w:p>
        </w:tc>
        <w:tc>
          <w:tcPr>
            <w:tcW w:w="61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F-23</w:t>
            </w:r>
          </w:p>
        </w:tc>
      </w:tr>
      <w:tr>
        <w:trPr/>
        <w:tc>
          <w:tcPr>
            <w:tcW w:w="7366" w:type="dxa"/>
            <w:tcBorders/>
            <w:vAlign w:val="center"/>
          </w:tcPr>
          <w:p>
            <w:pPr>
              <w:pStyle w:val="TableContents"/>
              <w:bidi w:val="0"/>
              <w:spacing w:lineRule="auto" w:line="328" w:before="0" w:after="0"/>
              <w:ind w:left="0" w:right="0" w:hanging="0"/>
              <w:jc w:val="left"/>
              <w:rPr/>
            </w:pPr>
            <w:hyperlink w:anchor="a11OTHERINCOME_743836">
              <w:r>
                <w:rPr>
                  <w:rStyle w:val="InternetLink"/>
                  <w:rFonts w:ascii="Times New Roman;Times;serif" w:hAnsi="Times New Roman;Times;serif"/>
                  <w:b/>
                  <w:i w:val="false"/>
                  <w:caps w:val="false"/>
                  <w:smallCaps w:val="false"/>
                  <w:sz w:val="20"/>
                </w:rPr>
                <w:t>11. OTHER INCOME</w:t>
              </w:r>
            </w:hyperlink>
          </w:p>
        </w:tc>
        <w:tc>
          <w:tcPr>
            <w:tcW w:w="346" w:type="dxa"/>
            <w:tcBorders/>
            <w:vAlign w:val="center"/>
          </w:tcPr>
          <w:p>
            <w:pPr>
              <w:pStyle w:val="TableContents"/>
              <w:bidi w:val="0"/>
              <w:spacing w:lineRule="auto" w:line="328" w:before="0" w:after="0"/>
              <w:ind w:left="0" w:right="0" w:hanging="0"/>
              <w:jc w:val="right"/>
              <w:rPr/>
            </w:pPr>
            <w:r>
              <w:rPr/>
              <w:t>​</w:t>
            </w:r>
          </w:p>
        </w:tc>
        <w:tc>
          <w:tcPr>
            <w:tcW w:w="61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F-23</w:t>
            </w:r>
          </w:p>
        </w:tc>
      </w:tr>
      <w:tr>
        <w:trPr/>
        <w:tc>
          <w:tcPr>
            <w:tcW w:w="7366" w:type="dxa"/>
            <w:tcBorders/>
            <w:shd w:fill="CCEEFF" w:val="clear"/>
            <w:vAlign w:val="center"/>
          </w:tcPr>
          <w:p>
            <w:pPr>
              <w:pStyle w:val="TableContents"/>
              <w:bidi w:val="0"/>
              <w:spacing w:lineRule="auto" w:line="328" w:before="0" w:after="0"/>
              <w:ind w:left="0" w:right="0" w:hanging="0"/>
              <w:jc w:val="left"/>
              <w:rPr/>
            </w:pPr>
            <w:hyperlink w:anchor="a12OTHEREXPENSES_44701">
              <w:r>
                <w:rPr>
                  <w:rStyle w:val="InternetLink"/>
                  <w:rFonts w:ascii="Times New Roman;Times;serif" w:hAnsi="Times New Roman;Times;serif"/>
                  <w:b/>
                  <w:i w:val="false"/>
                  <w:caps w:val="false"/>
                  <w:smallCaps w:val="false"/>
                  <w:sz w:val="20"/>
                </w:rPr>
                <w:t>12. OTHER EXPENSES</w:t>
              </w:r>
            </w:hyperlink>
          </w:p>
        </w:tc>
        <w:tc>
          <w:tcPr>
            <w:tcW w:w="346" w:type="dxa"/>
            <w:tcBorders/>
            <w:shd w:fill="CCEEFF" w:val="clear"/>
            <w:vAlign w:val="center"/>
          </w:tcPr>
          <w:p>
            <w:pPr>
              <w:pStyle w:val="TableContents"/>
              <w:bidi w:val="0"/>
              <w:spacing w:lineRule="auto" w:line="328" w:before="0" w:after="0"/>
              <w:ind w:left="0" w:right="0" w:hanging="0"/>
              <w:jc w:val="right"/>
              <w:rPr/>
            </w:pPr>
            <w:r>
              <w:rPr/>
              <w:t>​</w:t>
            </w:r>
          </w:p>
        </w:tc>
        <w:tc>
          <w:tcPr>
            <w:tcW w:w="61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F-24</w:t>
            </w:r>
          </w:p>
        </w:tc>
      </w:tr>
      <w:tr>
        <w:trPr/>
        <w:tc>
          <w:tcPr>
            <w:tcW w:w="7366" w:type="dxa"/>
            <w:tcBorders/>
            <w:vAlign w:val="center"/>
          </w:tcPr>
          <w:p>
            <w:pPr>
              <w:pStyle w:val="TableContents"/>
              <w:bidi w:val="0"/>
              <w:spacing w:lineRule="auto" w:line="328" w:before="0" w:after="0"/>
              <w:ind w:left="0" w:right="0" w:hanging="0"/>
              <w:jc w:val="left"/>
              <w:rPr/>
            </w:pPr>
            <w:hyperlink w:anchor="a13SHARELISTINGEXPENSE_220357">
              <w:r>
                <w:rPr>
                  <w:rStyle w:val="InternetLink"/>
                  <w:rFonts w:ascii="Times New Roman;Times;serif" w:hAnsi="Times New Roman;Times;serif"/>
                  <w:b/>
                  <w:i w:val="false"/>
                  <w:caps w:val="false"/>
                  <w:smallCaps w:val="false"/>
                  <w:sz w:val="20"/>
                </w:rPr>
                <w:t>13. SHARE LISTING EXPENSE</w:t>
              </w:r>
            </w:hyperlink>
          </w:p>
        </w:tc>
        <w:tc>
          <w:tcPr>
            <w:tcW w:w="346" w:type="dxa"/>
            <w:tcBorders/>
            <w:vAlign w:val="center"/>
          </w:tcPr>
          <w:p>
            <w:pPr>
              <w:pStyle w:val="TableContents"/>
              <w:bidi w:val="0"/>
              <w:spacing w:lineRule="auto" w:line="328" w:before="0" w:after="0"/>
              <w:ind w:left="0" w:right="0" w:hanging="0"/>
              <w:jc w:val="right"/>
              <w:rPr/>
            </w:pPr>
            <w:r>
              <w:rPr/>
              <w:t>​</w:t>
            </w:r>
          </w:p>
        </w:tc>
        <w:tc>
          <w:tcPr>
            <w:tcW w:w="61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F-24</w:t>
            </w:r>
          </w:p>
        </w:tc>
      </w:tr>
      <w:tr>
        <w:trPr/>
        <w:tc>
          <w:tcPr>
            <w:tcW w:w="7366" w:type="dxa"/>
            <w:tcBorders/>
            <w:shd w:fill="CCEEFF" w:val="clear"/>
            <w:vAlign w:val="center"/>
          </w:tcPr>
          <w:p>
            <w:pPr>
              <w:pStyle w:val="TableContents"/>
              <w:bidi w:val="0"/>
              <w:spacing w:lineRule="auto" w:line="328" w:before="0" w:after="0"/>
              <w:ind w:left="0" w:right="0" w:hanging="0"/>
              <w:jc w:val="left"/>
              <w:rPr/>
            </w:pPr>
            <w:hyperlink w:anchor="a13REVERSALOFIMPAIRMENTOFFINANCIALASSETS">
              <w:r>
                <w:rPr>
                  <w:rStyle w:val="InternetLink"/>
                  <w:rFonts w:ascii="Times New Roman;Times;serif" w:hAnsi="Times New Roman;Times;serif"/>
                  <w:b/>
                  <w:i w:val="false"/>
                  <w:caps w:val="false"/>
                  <w:smallCaps w:val="false"/>
                  <w:sz w:val="20"/>
                </w:rPr>
                <w:t>14. IMPAIRMENT REVERSAL OF FINANCIAL ASSETS</w:t>
              </w:r>
            </w:hyperlink>
          </w:p>
        </w:tc>
        <w:tc>
          <w:tcPr>
            <w:tcW w:w="346" w:type="dxa"/>
            <w:tcBorders/>
            <w:shd w:fill="CCEEFF" w:val="clear"/>
            <w:vAlign w:val="center"/>
          </w:tcPr>
          <w:p>
            <w:pPr>
              <w:pStyle w:val="TableContents"/>
              <w:bidi w:val="0"/>
              <w:spacing w:lineRule="auto" w:line="328" w:before="0" w:after="0"/>
              <w:ind w:left="0" w:right="0" w:hanging="0"/>
              <w:jc w:val="right"/>
              <w:rPr/>
            </w:pPr>
            <w:r>
              <w:rPr/>
              <w:t>​</w:t>
            </w:r>
          </w:p>
        </w:tc>
        <w:tc>
          <w:tcPr>
            <w:tcW w:w="61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F-25</w:t>
            </w:r>
          </w:p>
        </w:tc>
      </w:tr>
      <w:tr>
        <w:trPr/>
        <w:tc>
          <w:tcPr>
            <w:tcW w:w="7366" w:type="dxa"/>
            <w:tcBorders/>
            <w:vAlign w:val="center"/>
          </w:tcPr>
          <w:p>
            <w:pPr>
              <w:pStyle w:val="TableContents"/>
              <w:bidi w:val="0"/>
              <w:spacing w:lineRule="auto" w:line="328" w:before="0" w:after="0"/>
              <w:ind w:left="0" w:right="0" w:hanging="0"/>
              <w:jc w:val="left"/>
              <w:rPr/>
            </w:pPr>
            <w:hyperlink w:anchor="a14FINANCIALRESULT_98168">
              <w:r>
                <w:rPr>
                  <w:rStyle w:val="InternetLink"/>
                  <w:rFonts w:ascii="Times New Roman;Times;serif" w:hAnsi="Times New Roman;Times;serif"/>
                  <w:b/>
                  <w:i w:val="false"/>
                  <w:caps w:val="false"/>
                  <w:smallCaps w:val="false"/>
                  <w:sz w:val="20"/>
                </w:rPr>
                <w:t>15. FINANCIAL RESULT</w:t>
              </w:r>
            </w:hyperlink>
          </w:p>
        </w:tc>
        <w:tc>
          <w:tcPr>
            <w:tcW w:w="346" w:type="dxa"/>
            <w:tcBorders/>
            <w:vAlign w:val="center"/>
          </w:tcPr>
          <w:p>
            <w:pPr>
              <w:pStyle w:val="TableContents"/>
              <w:bidi w:val="0"/>
              <w:spacing w:lineRule="auto" w:line="328" w:before="0" w:after="0"/>
              <w:ind w:left="0" w:right="0" w:hanging="0"/>
              <w:jc w:val="right"/>
              <w:rPr/>
            </w:pPr>
            <w:r>
              <w:rPr/>
              <w:t>​</w:t>
            </w:r>
          </w:p>
        </w:tc>
        <w:tc>
          <w:tcPr>
            <w:tcW w:w="61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F-25</w:t>
            </w:r>
          </w:p>
        </w:tc>
      </w:tr>
      <w:tr>
        <w:trPr/>
        <w:tc>
          <w:tcPr>
            <w:tcW w:w="7366" w:type="dxa"/>
            <w:tcBorders/>
            <w:shd w:fill="CCEEFF" w:val="clear"/>
            <w:vAlign w:val="center"/>
          </w:tcPr>
          <w:p>
            <w:pPr>
              <w:pStyle w:val="TableContents"/>
              <w:bidi w:val="0"/>
              <w:spacing w:lineRule="auto" w:line="328" w:before="0" w:after="0"/>
              <w:ind w:left="0" w:right="0" w:hanging="0"/>
              <w:jc w:val="left"/>
              <w:rPr/>
            </w:pPr>
            <w:hyperlink w:anchor="a15SHAREOFPROFITLOSSINJOINTVENTURES_8136">
              <w:r>
                <w:rPr>
                  <w:rStyle w:val="InternetLink"/>
                  <w:rFonts w:ascii="Times New Roman;Times;serif" w:hAnsi="Times New Roman;Times;serif"/>
                  <w:b/>
                  <w:i w:val="false"/>
                  <w:caps w:val="false"/>
                  <w:smallCaps w:val="false"/>
                  <w:sz w:val="20"/>
                </w:rPr>
                <w:t>16. PROFIT (LOSS) IN EQUITY METHOD INVESTMENTS</w:t>
              </w:r>
            </w:hyperlink>
          </w:p>
        </w:tc>
        <w:tc>
          <w:tcPr>
            <w:tcW w:w="346" w:type="dxa"/>
            <w:tcBorders/>
            <w:shd w:fill="CCEEFF" w:val="clear"/>
            <w:vAlign w:val="center"/>
          </w:tcPr>
          <w:p>
            <w:pPr>
              <w:pStyle w:val="TableContents"/>
              <w:bidi w:val="0"/>
              <w:spacing w:lineRule="auto" w:line="328" w:before="0" w:after="0"/>
              <w:ind w:left="0" w:right="0" w:hanging="0"/>
              <w:jc w:val="right"/>
              <w:rPr/>
            </w:pPr>
            <w:r>
              <w:rPr/>
              <w:t>​</w:t>
            </w:r>
          </w:p>
        </w:tc>
        <w:tc>
          <w:tcPr>
            <w:tcW w:w="61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F-26</w:t>
            </w:r>
          </w:p>
        </w:tc>
      </w:tr>
      <w:tr>
        <w:trPr/>
        <w:tc>
          <w:tcPr>
            <w:tcW w:w="7366" w:type="dxa"/>
            <w:tcBorders/>
            <w:vAlign w:val="center"/>
          </w:tcPr>
          <w:p>
            <w:pPr>
              <w:pStyle w:val="TableContents"/>
              <w:bidi w:val="0"/>
              <w:spacing w:lineRule="auto" w:line="328" w:before="0" w:after="0"/>
              <w:ind w:left="0" w:right="0" w:hanging="0"/>
              <w:jc w:val="left"/>
              <w:rPr/>
            </w:pPr>
            <w:hyperlink w:anchor="a16INCOMETAXES_786977">
              <w:r>
                <w:rPr>
                  <w:rStyle w:val="InternetLink"/>
                  <w:rFonts w:ascii="Times New Roman;Times;serif" w:hAnsi="Times New Roman;Times;serif"/>
                  <w:b/>
                  <w:i w:val="false"/>
                  <w:caps w:val="false"/>
                  <w:smallCaps w:val="false"/>
                  <w:sz w:val="20"/>
                </w:rPr>
                <w:t>17. INCOME TAXES</w:t>
              </w:r>
            </w:hyperlink>
          </w:p>
        </w:tc>
        <w:tc>
          <w:tcPr>
            <w:tcW w:w="346" w:type="dxa"/>
            <w:tcBorders/>
            <w:vAlign w:val="center"/>
          </w:tcPr>
          <w:p>
            <w:pPr>
              <w:pStyle w:val="TableContents"/>
              <w:bidi w:val="0"/>
              <w:spacing w:lineRule="auto" w:line="328" w:before="0" w:after="0"/>
              <w:ind w:left="0" w:right="0" w:hanging="0"/>
              <w:jc w:val="right"/>
              <w:rPr/>
            </w:pPr>
            <w:r>
              <w:rPr/>
              <w:t>​</w:t>
            </w:r>
          </w:p>
        </w:tc>
        <w:tc>
          <w:tcPr>
            <w:tcW w:w="61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F-26</w:t>
            </w:r>
          </w:p>
        </w:tc>
      </w:tr>
      <w:tr>
        <w:trPr/>
        <w:tc>
          <w:tcPr>
            <w:tcW w:w="7366" w:type="dxa"/>
            <w:tcBorders/>
            <w:shd w:fill="CCEEFF" w:val="clear"/>
            <w:vAlign w:val="center"/>
          </w:tcPr>
          <w:p>
            <w:pPr>
              <w:pStyle w:val="TableContents"/>
              <w:bidi w:val="0"/>
              <w:spacing w:lineRule="auto" w:line="328" w:before="0" w:after="0"/>
              <w:ind w:left="0" w:right="0" w:hanging="0"/>
              <w:jc w:val="left"/>
              <w:rPr/>
            </w:pPr>
            <w:hyperlink w:anchor="a17EARNINGSPERSHARE_413509">
              <w:r>
                <w:rPr>
                  <w:rStyle w:val="InternetLink"/>
                  <w:rFonts w:ascii="Times New Roman;Times;serif" w:hAnsi="Times New Roman;Times;serif"/>
                  <w:b/>
                  <w:i w:val="false"/>
                  <w:caps w:val="false"/>
                  <w:smallCaps w:val="false"/>
                  <w:sz w:val="20"/>
                </w:rPr>
                <w:t>18. EARNINGS PER SHARE</w:t>
              </w:r>
            </w:hyperlink>
          </w:p>
        </w:tc>
        <w:tc>
          <w:tcPr>
            <w:tcW w:w="346" w:type="dxa"/>
            <w:tcBorders/>
            <w:shd w:fill="CCEEFF" w:val="clear"/>
            <w:vAlign w:val="center"/>
          </w:tcPr>
          <w:p>
            <w:pPr>
              <w:pStyle w:val="TableContents"/>
              <w:bidi w:val="0"/>
              <w:spacing w:lineRule="auto" w:line="328" w:before="0" w:after="0"/>
              <w:ind w:left="0" w:right="0" w:hanging="0"/>
              <w:jc w:val="right"/>
              <w:rPr/>
            </w:pPr>
            <w:r>
              <w:rPr/>
              <w:t>​</w:t>
            </w:r>
          </w:p>
        </w:tc>
        <w:tc>
          <w:tcPr>
            <w:tcW w:w="61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F-28</w:t>
            </w:r>
          </w:p>
        </w:tc>
      </w:tr>
      <w:tr>
        <w:trPr/>
        <w:tc>
          <w:tcPr>
            <w:tcW w:w="7366" w:type="dxa"/>
            <w:tcBorders/>
            <w:vAlign w:val="center"/>
          </w:tcPr>
          <w:p>
            <w:pPr>
              <w:pStyle w:val="TableContents"/>
              <w:bidi w:val="0"/>
              <w:spacing w:lineRule="auto" w:line="328" w:before="0" w:after="0"/>
              <w:ind w:left="0" w:right="0" w:hanging="0"/>
              <w:jc w:val="left"/>
              <w:rPr/>
            </w:pPr>
            <w:hyperlink w:anchor="a18INTANGIBLEASSETS_476157">
              <w:r>
                <w:rPr>
                  <w:rStyle w:val="InternetLink"/>
                  <w:rFonts w:ascii="Times New Roman;Times;serif" w:hAnsi="Times New Roman;Times;serif"/>
                  <w:b/>
                  <w:i w:val="false"/>
                  <w:caps w:val="false"/>
                  <w:smallCaps w:val="false"/>
                  <w:sz w:val="20"/>
                </w:rPr>
                <w:t>19. INTANGIBLE ASSETS</w:t>
              </w:r>
            </w:hyperlink>
          </w:p>
        </w:tc>
        <w:tc>
          <w:tcPr>
            <w:tcW w:w="346" w:type="dxa"/>
            <w:tcBorders/>
            <w:vAlign w:val="center"/>
          </w:tcPr>
          <w:p>
            <w:pPr>
              <w:pStyle w:val="TableContents"/>
              <w:bidi w:val="0"/>
              <w:spacing w:lineRule="auto" w:line="328" w:before="0" w:after="0"/>
              <w:ind w:left="0" w:right="0" w:hanging="0"/>
              <w:jc w:val="right"/>
              <w:rPr/>
            </w:pPr>
            <w:r>
              <w:rPr/>
              <w:t>​</w:t>
            </w:r>
          </w:p>
        </w:tc>
        <w:tc>
          <w:tcPr>
            <w:tcW w:w="61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F-30</w:t>
            </w:r>
          </w:p>
        </w:tc>
      </w:tr>
      <w:tr>
        <w:trPr/>
        <w:tc>
          <w:tcPr>
            <w:tcW w:w="7366" w:type="dxa"/>
            <w:tcBorders/>
            <w:shd w:fill="CCEEFF" w:val="clear"/>
            <w:vAlign w:val="center"/>
          </w:tcPr>
          <w:p>
            <w:pPr>
              <w:pStyle w:val="TableContents"/>
              <w:bidi w:val="0"/>
              <w:spacing w:lineRule="auto" w:line="328" w:before="0" w:after="0"/>
              <w:ind w:left="0" w:right="0" w:hanging="0"/>
              <w:jc w:val="left"/>
              <w:rPr/>
            </w:pPr>
            <w:hyperlink w:anchor="a19PROPERTYPLANTANDEQUIPMENT_862540">
              <w:r>
                <w:rPr>
                  <w:rStyle w:val="InternetLink"/>
                  <w:rFonts w:ascii="Times New Roman;Times;serif" w:hAnsi="Times New Roman;Times;serif"/>
                  <w:b/>
                  <w:i w:val="false"/>
                  <w:caps w:val="false"/>
                  <w:smallCaps w:val="false"/>
                  <w:sz w:val="20"/>
                </w:rPr>
                <w:t>20. PROPERTY, PLANT AND EQUIPMENT</w:t>
              </w:r>
            </w:hyperlink>
          </w:p>
        </w:tc>
        <w:tc>
          <w:tcPr>
            <w:tcW w:w="346" w:type="dxa"/>
            <w:tcBorders/>
            <w:shd w:fill="CCEEFF" w:val="clear"/>
            <w:vAlign w:val="center"/>
          </w:tcPr>
          <w:p>
            <w:pPr>
              <w:pStyle w:val="TableContents"/>
              <w:bidi w:val="0"/>
              <w:spacing w:lineRule="auto" w:line="328" w:before="0" w:after="0"/>
              <w:ind w:left="0" w:right="0" w:hanging="0"/>
              <w:jc w:val="right"/>
              <w:rPr/>
            </w:pPr>
            <w:r>
              <w:rPr/>
              <w:t>​</w:t>
            </w:r>
          </w:p>
        </w:tc>
        <w:tc>
          <w:tcPr>
            <w:tcW w:w="61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F-31</w:t>
            </w:r>
          </w:p>
        </w:tc>
      </w:tr>
      <w:tr>
        <w:trPr/>
        <w:tc>
          <w:tcPr>
            <w:tcW w:w="7366" w:type="dxa"/>
            <w:tcBorders/>
            <w:vAlign w:val="center"/>
          </w:tcPr>
          <w:p>
            <w:pPr>
              <w:pStyle w:val="TableContents"/>
              <w:bidi w:val="0"/>
              <w:spacing w:lineRule="auto" w:line="328" w:before="0" w:after="0"/>
              <w:ind w:left="0" w:right="0" w:hanging="0"/>
              <w:jc w:val="left"/>
              <w:rPr/>
            </w:pPr>
            <w:hyperlink w:anchor="a20LEASES_185384">
              <w:r>
                <w:rPr>
                  <w:rStyle w:val="InternetLink"/>
                  <w:rFonts w:ascii="Times New Roman;Times;serif" w:hAnsi="Times New Roman;Times;serif"/>
                  <w:b/>
                  <w:i w:val="false"/>
                  <w:caps w:val="false"/>
                  <w:smallCaps w:val="false"/>
                  <w:sz w:val="20"/>
                </w:rPr>
                <w:t>21. LEASES</w:t>
              </w:r>
            </w:hyperlink>
          </w:p>
        </w:tc>
        <w:tc>
          <w:tcPr>
            <w:tcW w:w="346" w:type="dxa"/>
            <w:tcBorders/>
            <w:vAlign w:val="center"/>
          </w:tcPr>
          <w:p>
            <w:pPr>
              <w:pStyle w:val="TableContents"/>
              <w:bidi w:val="0"/>
              <w:spacing w:lineRule="auto" w:line="328" w:before="0" w:after="0"/>
              <w:ind w:left="0" w:right="0" w:hanging="0"/>
              <w:jc w:val="right"/>
              <w:rPr/>
            </w:pPr>
            <w:r>
              <w:rPr/>
              <w:t>​</w:t>
            </w:r>
          </w:p>
        </w:tc>
        <w:tc>
          <w:tcPr>
            <w:tcW w:w="61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F-32</w:t>
            </w:r>
          </w:p>
        </w:tc>
      </w:tr>
      <w:tr>
        <w:trPr/>
        <w:tc>
          <w:tcPr>
            <w:tcW w:w="7366" w:type="dxa"/>
            <w:tcBorders/>
            <w:shd w:fill="CCEEFF" w:val="clear"/>
            <w:vAlign w:val="center"/>
          </w:tcPr>
          <w:p>
            <w:pPr>
              <w:pStyle w:val="TableContents"/>
              <w:bidi w:val="0"/>
              <w:spacing w:lineRule="auto" w:line="328" w:before="0" w:after="0"/>
              <w:ind w:left="0" w:right="0" w:hanging="0"/>
              <w:jc w:val="left"/>
              <w:rPr/>
            </w:pPr>
            <w:hyperlink w:anchor="a21FINANCIALASSETS_434062">
              <w:r>
                <w:rPr>
                  <w:rStyle w:val="InternetLink"/>
                  <w:rFonts w:ascii="Times New Roman;Times;serif" w:hAnsi="Times New Roman;Times;serif"/>
                  <w:b/>
                  <w:i w:val="false"/>
                  <w:caps w:val="false"/>
                  <w:smallCaps w:val="false"/>
                  <w:sz w:val="20"/>
                </w:rPr>
                <w:t>22. FINANCIAL ASSETS</w:t>
              </w:r>
            </w:hyperlink>
          </w:p>
        </w:tc>
        <w:tc>
          <w:tcPr>
            <w:tcW w:w="346" w:type="dxa"/>
            <w:tcBorders/>
            <w:shd w:fill="CCEEFF" w:val="clear"/>
            <w:vAlign w:val="center"/>
          </w:tcPr>
          <w:p>
            <w:pPr>
              <w:pStyle w:val="TableContents"/>
              <w:bidi w:val="0"/>
              <w:spacing w:lineRule="auto" w:line="328" w:before="0" w:after="0"/>
              <w:ind w:left="0" w:right="0" w:hanging="0"/>
              <w:jc w:val="right"/>
              <w:rPr/>
            </w:pPr>
            <w:r>
              <w:rPr/>
              <w:t>​</w:t>
            </w:r>
          </w:p>
        </w:tc>
        <w:tc>
          <w:tcPr>
            <w:tcW w:w="61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F-33</w:t>
            </w:r>
          </w:p>
        </w:tc>
      </w:tr>
      <w:tr>
        <w:trPr/>
        <w:tc>
          <w:tcPr>
            <w:tcW w:w="7366" w:type="dxa"/>
            <w:tcBorders/>
            <w:vAlign w:val="center"/>
          </w:tcPr>
          <w:p>
            <w:pPr>
              <w:pStyle w:val="TableContents"/>
              <w:bidi w:val="0"/>
              <w:spacing w:lineRule="auto" w:line="328" w:before="0" w:after="0"/>
              <w:ind w:left="0" w:right="0" w:hanging="0"/>
              <w:jc w:val="left"/>
              <w:rPr/>
            </w:pPr>
            <w:hyperlink w:anchor="a22INVENTORIES_206444">
              <w:r>
                <w:rPr>
                  <w:rStyle w:val="InternetLink"/>
                  <w:rFonts w:ascii="Times New Roman;Times;serif" w:hAnsi="Times New Roman;Times;serif"/>
                  <w:b/>
                  <w:i w:val="false"/>
                  <w:caps w:val="false"/>
                  <w:smallCaps w:val="false"/>
                  <w:sz w:val="20"/>
                </w:rPr>
                <w:t>23. INVENTORIES</w:t>
              </w:r>
            </w:hyperlink>
          </w:p>
        </w:tc>
        <w:tc>
          <w:tcPr>
            <w:tcW w:w="346" w:type="dxa"/>
            <w:tcBorders/>
            <w:vAlign w:val="center"/>
          </w:tcPr>
          <w:p>
            <w:pPr>
              <w:pStyle w:val="TableContents"/>
              <w:bidi w:val="0"/>
              <w:spacing w:lineRule="auto" w:line="328" w:before="0" w:after="0"/>
              <w:ind w:left="0" w:right="0" w:hanging="0"/>
              <w:jc w:val="right"/>
              <w:rPr/>
            </w:pPr>
            <w:r>
              <w:rPr/>
              <w:t>​</w:t>
            </w:r>
          </w:p>
        </w:tc>
        <w:tc>
          <w:tcPr>
            <w:tcW w:w="61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F-34</w:t>
            </w:r>
          </w:p>
        </w:tc>
      </w:tr>
      <w:tr>
        <w:trPr/>
        <w:tc>
          <w:tcPr>
            <w:tcW w:w="7366" w:type="dxa"/>
            <w:tcBorders/>
            <w:shd w:fill="CCEEFF" w:val="clear"/>
            <w:vAlign w:val="center"/>
          </w:tcPr>
          <w:p>
            <w:pPr>
              <w:pStyle w:val="TableContents"/>
              <w:bidi w:val="0"/>
              <w:spacing w:lineRule="auto" w:line="328" w:before="0" w:after="0"/>
              <w:ind w:left="0" w:right="0" w:hanging="0"/>
              <w:jc w:val="left"/>
              <w:rPr/>
            </w:pPr>
            <w:hyperlink w:anchor="a23TRADERECEIVABLESANDOTHERRECEIVABLES_1">
              <w:r>
                <w:rPr>
                  <w:rStyle w:val="InternetLink"/>
                  <w:rFonts w:ascii="Times New Roman;Times;serif" w:hAnsi="Times New Roman;Times;serif"/>
                  <w:b/>
                  <w:i w:val="false"/>
                  <w:caps w:val="false"/>
                  <w:smallCaps w:val="false"/>
                  <w:sz w:val="20"/>
                </w:rPr>
                <w:t>24. TRADE RECEIVABLES AND OTHER RECEIVABLES</w:t>
              </w:r>
            </w:hyperlink>
          </w:p>
        </w:tc>
        <w:tc>
          <w:tcPr>
            <w:tcW w:w="346" w:type="dxa"/>
            <w:tcBorders/>
            <w:shd w:fill="CCEEFF" w:val="clear"/>
            <w:vAlign w:val="center"/>
          </w:tcPr>
          <w:p>
            <w:pPr>
              <w:pStyle w:val="TableContents"/>
              <w:bidi w:val="0"/>
              <w:spacing w:lineRule="auto" w:line="328" w:before="0" w:after="0"/>
              <w:ind w:left="0" w:right="0" w:hanging="0"/>
              <w:jc w:val="right"/>
              <w:rPr/>
            </w:pPr>
            <w:r>
              <w:rPr/>
              <w:t>​</w:t>
            </w:r>
          </w:p>
        </w:tc>
        <w:tc>
          <w:tcPr>
            <w:tcW w:w="61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F-34</w:t>
            </w:r>
          </w:p>
        </w:tc>
      </w:tr>
      <w:tr>
        <w:trPr/>
        <w:tc>
          <w:tcPr>
            <w:tcW w:w="7366" w:type="dxa"/>
            <w:tcBorders/>
            <w:vAlign w:val="center"/>
          </w:tcPr>
          <w:p>
            <w:pPr>
              <w:pStyle w:val="TableContents"/>
              <w:bidi w:val="0"/>
              <w:spacing w:lineRule="auto" w:line="328" w:before="0" w:after="0"/>
              <w:ind w:left="0" w:right="0" w:hanging="0"/>
              <w:jc w:val="left"/>
              <w:rPr/>
            </w:pPr>
            <w:hyperlink w:anchor="a24OTHERCURRENTASSETS_991601">
              <w:r>
                <w:rPr>
                  <w:rStyle w:val="InternetLink"/>
                  <w:rFonts w:ascii="Times New Roman;Times;serif" w:hAnsi="Times New Roman;Times;serif"/>
                  <w:b/>
                  <w:i w:val="false"/>
                  <w:caps w:val="false"/>
                  <w:smallCaps w:val="false"/>
                  <w:sz w:val="20"/>
                </w:rPr>
                <w:t>25. OTHER CURRENT ASSETS</w:t>
              </w:r>
            </w:hyperlink>
          </w:p>
        </w:tc>
        <w:tc>
          <w:tcPr>
            <w:tcW w:w="346" w:type="dxa"/>
            <w:tcBorders/>
            <w:vAlign w:val="center"/>
          </w:tcPr>
          <w:p>
            <w:pPr>
              <w:pStyle w:val="TableContents"/>
              <w:bidi w:val="0"/>
              <w:spacing w:lineRule="auto" w:line="328" w:before="0" w:after="0"/>
              <w:ind w:left="0" w:right="0" w:hanging="0"/>
              <w:jc w:val="right"/>
              <w:rPr/>
            </w:pPr>
            <w:r>
              <w:rPr/>
              <w:t>​</w:t>
            </w:r>
          </w:p>
        </w:tc>
        <w:tc>
          <w:tcPr>
            <w:tcW w:w="61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F-34</w:t>
            </w:r>
          </w:p>
        </w:tc>
      </w:tr>
      <w:tr>
        <w:trPr/>
        <w:tc>
          <w:tcPr>
            <w:tcW w:w="7366" w:type="dxa"/>
            <w:tcBorders/>
            <w:shd w:fill="CCEEFF" w:val="clear"/>
            <w:vAlign w:val="center"/>
          </w:tcPr>
          <w:p>
            <w:pPr>
              <w:pStyle w:val="TableContents"/>
              <w:bidi w:val="0"/>
              <w:spacing w:lineRule="auto" w:line="328" w:before="0" w:after="0"/>
              <w:ind w:left="0" w:right="0" w:hanging="0"/>
              <w:jc w:val="left"/>
              <w:rPr/>
            </w:pPr>
            <w:hyperlink w:anchor="a25CASHCASHEQUIVALENTS_766295">
              <w:r>
                <w:rPr>
                  <w:rStyle w:val="InternetLink"/>
                  <w:rFonts w:ascii="Times New Roman;Times;serif" w:hAnsi="Times New Roman;Times;serif"/>
                  <w:b/>
                  <w:i w:val="false"/>
                  <w:caps w:val="false"/>
                  <w:smallCaps w:val="false"/>
                  <w:sz w:val="20"/>
                </w:rPr>
                <w:t>26. CASH &amp; CASH EQUIVALENTS</w:t>
              </w:r>
            </w:hyperlink>
          </w:p>
        </w:tc>
        <w:tc>
          <w:tcPr>
            <w:tcW w:w="346" w:type="dxa"/>
            <w:tcBorders/>
            <w:shd w:fill="CCEEFF" w:val="clear"/>
            <w:vAlign w:val="center"/>
          </w:tcPr>
          <w:p>
            <w:pPr>
              <w:pStyle w:val="TableContents"/>
              <w:bidi w:val="0"/>
              <w:spacing w:lineRule="auto" w:line="328" w:before="0" w:after="0"/>
              <w:ind w:left="0" w:right="0" w:hanging="0"/>
              <w:jc w:val="right"/>
              <w:rPr/>
            </w:pPr>
            <w:r>
              <w:rPr/>
              <w:t>​</w:t>
            </w:r>
          </w:p>
        </w:tc>
        <w:tc>
          <w:tcPr>
            <w:tcW w:w="61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F-34</w:t>
            </w:r>
          </w:p>
        </w:tc>
      </w:tr>
      <w:tr>
        <w:trPr/>
        <w:tc>
          <w:tcPr>
            <w:tcW w:w="7366" w:type="dxa"/>
            <w:tcBorders/>
            <w:vAlign w:val="center"/>
          </w:tcPr>
          <w:p>
            <w:pPr>
              <w:pStyle w:val="TableContents"/>
              <w:bidi w:val="0"/>
              <w:spacing w:lineRule="auto" w:line="328" w:before="0" w:after="0"/>
              <w:ind w:left="0" w:right="0" w:hanging="0"/>
              <w:jc w:val="left"/>
              <w:rPr/>
            </w:pPr>
            <w:hyperlink w:anchor="a26EQUITY_210891">
              <w:r>
                <w:rPr>
                  <w:rStyle w:val="InternetLink"/>
                  <w:rFonts w:ascii="Times New Roman;Times;serif" w:hAnsi="Times New Roman;Times;serif"/>
                  <w:b/>
                  <w:i w:val="false"/>
                  <w:caps w:val="false"/>
                  <w:smallCaps w:val="false"/>
                  <w:sz w:val="20"/>
                </w:rPr>
                <w:t>27. EQUITY</w:t>
              </w:r>
            </w:hyperlink>
          </w:p>
        </w:tc>
        <w:tc>
          <w:tcPr>
            <w:tcW w:w="346" w:type="dxa"/>
            <w:tcBorders/>
            <w:vAlign w:val="center"/>
          </w:tcPr>
          <w:p>
            <w:pPr>
              <w:pStyle w:val="TableContents"/>
              <w:bidi w:val="0"/>
              <w:spacing w:lineRule="auto" w:line="328" w:before="0" w:after="0"/>
              <w:ind w:left="0" w:right="0" w:hanging="0"/>
              <w:jc w:val="right"/>
              <w:rPr/>
            </w:pPr>
            <w:r>
              <w:rPr/>
              <w:t>​</w:t>
            </w:r>
          </w:p>
        </w:tc>
        <w:tc>
          <w:tcPr>
            <w:tcW w:w="61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F-35</w:t>
            </w:r>
          </w:p>
        </w:tc>
      </w:tr>
      <w:tr>
        <w:trPr/>
        <w:tc>
          <w:tcPr>
            <w:tcW w:w="7366" w:type="dxa"/>
            <w:tcBorders/>
            <w:shd w:fill="CCEEFF" w:val="clear"/>
            <w:vAlign w:val="center"/>
          </w:tcPr>
          <w:p>
            <w:pPr>
              <w:pStyle w:val="TableContents"/>
              <w:bidi w:val="0"/>
              <w:spacing w:lineRule="auto" w:line="328" w:before="0" w:after="0"/>
              <w:ind w:left="0" w:right="0" w:hanging="0"/>
              <w:jc w:val="left"/>
              <w:rPr/>
            </w:pPr>
            <w:hyperlink w:anchor="a27NONCONTROLLINGINTEREST_233915">
              <w:r>
                <w:rPr>
                  <w:rStyle w:val="InternetLink"/>
                  <w:rFonts w:ascii="Times New Roman;Times;serif" w:hAnsi="Times New Roman;Times;serif"/>
                  <w:b/>
                  <w:i w:val="false"/>
                  <w:caps w:val="false"/>
                  <w:smallCaps w:val="false"/>
                  <w:sz w:val="20"/>
                </w:rPr>
                <w:t>28. NON-CONTROLLING INTEREST</w:t>
              </w:r>
            </w:hyperlink>
          </w:p>
        </w:tc>
        <w:tc>
          <w:tcPr>
            <w:tcW w:w="346" w:type="dxa"/>
            <w:tcBorders/>
            <w:shd w:fill="CCEEFF" w:val="clear"/>
            <w:vAlign w:val="center"/>
          </w:tcPr>
          <w:p>
            <w:pPr>
              <w:pStyle w:val="TableContents"/>
              <w:bidi w:val="0"/>
              <w:spacing w:lineRule="auto" w:line="328" w:before="0" w:after="0"/>
              <w:ind w:left="0" w:right="0" w:hanging="0"/>
              <w:jc w:val="right"/>
              <w:rPr/>
            </w:pPr>
            <w:r>
              <w:rPr/>
              <w:t>​</w:t>
            </w:r>
          </w:p>
        </w:tc>
        <w:tc>
          <w:tcPr>
            <w:tcW w:w="61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F-35</w:t>
            </w:r>
          </w:p>
        </w:tc>
      </w:tr>
      <w:tr>
        <w:trPr/>
        <w:tc>
          <w:tcPr>
            <w:tcW w:w="7366" w:type="dxa"/>
            <w:tcBorders/>
            <w:vAlign w:val="center"/>
          </w:tcPr>
          <w:p>
            <w:pPr>
              <w:pStyle w:val="TableContents"/>
              <w:bidi w:val="0"/>
              <w:spacing w:lineRule="auto" w:line="328" w:before="0" w:after="0"/>
              <w:ind w:left="0" w:right="0" w:hanging="0"/>
              <w:jc w:val="left"/>
              <w:rPr/>
            </w:pPr>
            <w:hyperlink w:anchor="a29NONCURRENTANDCURRENTDEBT_805004">
              <w:r>
                <w:rPr>
                  <w:rStyle w:val="InternetLink"/>
                  <w:rFonts w:ascii="Times New Roman;Times;serif" w:hAnsi="Times New Roman;Times;serif"/>
                  <w:b/>
                  <w:i w:val="false"/>
                  <w:caps w:val="false"/>
                  <w:smallCaps w:val="false"/>
                  <w:sz w:val="20"/>
                </w:rPr>
                <w:t>29. NON-CURRENT AND CURRENT FINANCIAL LIABILITIES</w:t>
              </w:r>
            </w:hyperlink>
          </w:p>
        </w:tc>
        <w:tc>
          <w:tcPr>
            <w:tcW w:w="346" w:type="dxa"/>
            <w:tcBorders/>
            <w:vAlign w:val="center"/>
          </w:tcPr>
          <w:p>
            <w:pPr>
              <w:pStyle w:val="TableContents"/>
              <w:bidi w:val="0"/>
              <w:spacing w:lineRule="auto" w:line="328" w:before="0" w:after="0"/>
              <w:ind w:left="0" w:right="0" w:hanging="0"/>
              <w:jc w:val="right"/>
              <w:rPr/>
            </w:pPr>
            <w:r>
              <w:rPr/>
              <w:t>​</w:t>
            </w:r>
          </w:p>
        </w:tc>
        <w:tc>
          <w:tcPr>
            <w:tcW w:w="61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F-35</w:t>
            </w:r>
          </w:p>
        </w:tc>
      </w:tr>
      <w:tr>
        <w:trPr/>
        <w:tc>
          <w:tcPr>
            <w:tcW w:w="7366" w:type="dxa"/>
            <w:tcBorders/>
            <w:shd w:fill="CCEEFF" w:val="clear"/>
            <w:vAlign w:val="center"/>
          </w:tcPr>
          <w:p>
            <w:pPr>
              <w:pStyle w:val="TableContents"/>
              <w:bidi w:val="0"/>
              <w:spacing w:lineRule="auto" w:line="328" w:before="0" w:after="0"/>
              <w:ind w:left="0" w:right="0" w:hanging="0"/>
              <w:jc w:val="left"/>
              <w:rPr/>
            </w:pPr>
            <w:hyperlink w:anchor="a29OTHERPROVISIONS_507452">
              <w:r>
                <w:rPr>
                  <w:rStyle w:val="InternetLink"/>
                  <w:rFonts w:ascii="Times New Roman;Times;serif" w:hAnsi="Times New Roman;Times;serif"/>
                  <w:b/>
                  <w:i w:val="false"/>
                  <w:caps w:val="false"/>
                  <w:smallCaps w:val="false"/>
                  <w:sz w:val="20"/>
                </w:rPr>
                <w:t>30. OTHER PROVISIONS</w:t>
              </w:r>
            </w:hyperlink>
          </w:p>
        </w:tc>
        <w:tc>
          <w:tcPr>
            <w:tcW w:w="346" w:type="dxa"/>
            <w:tcBorders/>
            <w:shd w:fill="CCEEFF" w:val="clear"/>
            <w:vAlign w:val="center"/>
          </w:tcPr>
          <w:p>
            <w:pPr>
              <w:pStyle w:val="TableContents"/>
              <w:bidi w:val="0"/>
              <w:spacing w:lineRule="auto" w:line="328" w:before="0" w:after="0"/>
              <w:ind w:left="0" w:right="0" w:hanging="0"/>
              <w:jc w:val="right"/>
              <w:rPr/>
            </w:pPr>
            <w:r>
              <w:rPr/>
              <w:t>​</w:t>
            </w:r>
          </w:p>
        </w:tc>
        <w:tc>
          <w:tcPr>
            <w:tcW w:w="61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F-38</w:t>
            </w:r>
          </w:p>
        </w:tc>
      </w:tr>
      <w:tr>
        <w:trPr/>
        <w:tc>
          <w:tcPr>
            <w:tcW w:w="7366" w:type="dxa"/>
            <w:tcBorders/>
            <w:vAlign w:val="center"/>
          </w:tcPr>
          <w:p>
            <w:pPr>
              <w:pStyle w:val="TableContents"/>
              <w:bidi w:val="0"/>
              <w:spacing w:lineRule="auto" w:line="328" w:before="0" w:after="0"/>
              <w:ind w:left="0" w:right="0" w:hanging="0"/>
              <w:jc w:val="left"/>
              <w:rPr/>
            </w:pPr>
            <w:hyperlink w:anchor="a30POSTEMPLOYMENTBENEFITS_931954">
              <w:r>
                <w:rPr>
                  <w:rStyle w:val="InternetLink"/>
                  <w:rFonts w:ascii="Times New Roman;Times;serif" w:hAnsi="Times New Roman;Times;serif"/>
                  <w:b/>
                  <w:i w:val="false"/>
                  <w:caps w:val="false"/>
                  <w:smallCaps w:val="false"/>
                  <w:sz w:val="20"/>
                </w:rPr>
                <w:t>31. POST-EMPLOYMENT BENEFITS</w:t>
              </w:r>
            </w:hyperlink>
          </w:p>
        </w:tc>
        <w:tc>
          <w:tcPr>
            <w:tcW w:w="346" w:type="dxa"/>
            <w:tcBorders/>
            <w:vAlign w:val="center"/>
          </w:tcPr>
          <w:p>
            <w:pPr>
              <w:pStyle w:val="TableContents"/>
              <w:bidi w:val="0"/>
              <w:spacing w:lineRule="auto" w:line="328" w:before="0" w:after="0"/>
              <w:ind w:left="0" w:right="0" w:hanging="0"/>
              <w:jc w:val="right"/>
              <w:rPr/>
            </w:pPr>
            <w:r>
              <w:rPr/>
              <w:t>​</w:t>
            </w:r>
          </w:p>
        </w:tc>
        <w:tc>
          <w:tcPr>
            <w:tcW w:w="61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F-38</w:t>
            </w:r>
          </w:p>
        </w:tc>
      </w:tr>
      <w:tr>
        <w:trPr/>
        <w:tc>
          <w:tcPr>
            <w:tcW w:w="7366" w:type="dxa"/>
            <w:tcBorders/>
            <w:shd w:fill="CCEEFF" w:val="clear"/>
            <w:vAlign w:val="center"/>
          </w:tcPr>
          <w:p>
            <w:pPr>
              <w:pStyle w:val="TableContents"/>
              <w:bidi w:val="0"/>
              <w:spacing w:lineRule="auto" w:line="328" w:before="0" w:after="0"/>
              <w:ind w:left="0" w:right="0" w:hanging="0"/>
              <w:jc w:val="left"/>
              <w:rPr/>
            </w:pPr>
            <w:hyperlink w:anchor="TRADEANDOTHERPAYABLES_259258">
              <w:r>
                <w:rPr>
                  <w:rStyle w:val="InternetLink"/>
                  <w:rFonts w:ascii="Times New Roman;Times;serif" w:hAnsi="Times New Roman;Times;serif"/>
                  <w:b/>
                  <w:i w:val="false"/>
                  <w:caps w:val="false"/>
                  <w:smallCaps w:val="false"/>
                  <w:sz w:val="20"/>
                </w:rPr>
                <w:t>32. TRADE AND RELATED PARTY PAYABLES</w:t>
              </w:r>
            </w:hyperlink>
          </w:p>
        </w:tc>
        <w:tc>
          <w:tcPr>
            <w:tcW w:w="346" w:type="dxa"/>
            <w:tcBorders/>
            <w:shd w:fill="CCEEFF" w:val="clear"/>
            <w:vAlign w:val="center"/>
          </w:tcPr>
          <w:p>
            <w:pPr>
              <w:pStyle w:val="TableContents"/>
              <w:bidi w:val="0"/>
              <w:spacing w:lineRule="auto" w:line="328" w:before="0" w:after="0"/>
              <w:ind w:left="0" w:right="0" w:hanging="0"/>
              <w:jc w:val="right"/>
              <w:rPr/>
            </w:pPr>
            <w:r>
              <w:rPr/>
              <w:t>​</w:t>
            </w:r>
          </w:p>
        </w:tc>
        <w:tc>
          <w:tcPr>
            <w:tcW w:w="61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F-39</w:t>
            </w:r>
          </w:p>
        </w:tc>
      </w:tr>
      <w:tr>
        <w:trPr/>
        <w:tc>
          <w:tcPr>
            <w:tcW w:w="7366" w:type="dxa"/>
            <w:tcBorders/>
            <w:vAlign w:val="center"/>
          </w:tcPr>
          <w:p>
            <w:pPr>
              <w:pStyle w:val="TableContents"/>
              <w:bidi w:val="0"/>
              <w:spacing w:lineRule="auto" w:line="328" w:before="0" w:after="0"/>
              <w:ind w:left="0" w:right="0" w:hanging="0"/>
              <w:jc w:val="left"/>
              <w:rPr/>
            </w:pPr>
            <w:hyperlink w:anchor="OTHERCURRENTLIABILITIES_117698">
              <w:r>
                <w:rPr>
                  <w:rStyle w:val="InternetLink"/>
                  <w:rFonts w:ascii="Times New Roman;Times;serif" w:hAnsi="Times New Roman;Times;serif"/>
                  <w:b/>
                  <w:i w:val="false"/>
                  <w:caps w:val="false"/>
                  <w:smallCaps w:val="false"/>
                  <w:sz w:val="20"/>
                </w:rPr>
                <w:t>33. OTHER CURRENT LIABILITIES</w:t>
              </w:r>
            </w:hyperlink>
          </w:p>
        </w:tc>
        <w:tc>
          <w:tcPr>
            <w:tcW w:w="346" w:type="dxa"/>
            <w:tcBorders/>
            <w:vAlign w:val="center"/>
          </w:tcPr>
          <w:p>
            <w:pPr>
              <w:pStyle w:val="TableContents"/>
              <w:bidi w:val="0"/>
              <w:spacing w:lineRule="auto" w:line="328" w:before="0" w:after="0"/>
              <w:ind w:left="0" w:right="0" w:hanging="0"/>
              <w:jc w:val="right"/>
              <w:rPr/>
            </w:pPr>
            <w:r>
              <w:rPr/>
              <w:t>​</w:t>
            </w:r>
          </w:p>
        </w:tc>
        <w:tc>
          <w:tcPr>
            <w:tcW w:w="61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F-39</w:t>
            </w:r>
          </w:p>
        </w:tc>
      </w:tr>
      <w:tr>
        <w:trPr/>
        <w:tc>
          <w:tcPr>
            <w:tcW w:w="7366" w:type="dxa"/>
            <w:tcBorders/>
            <w:shd w:fill="CCEEFF" w:val="clear"/>
            <w:vAlign w:val="center"/>
          </w:tcPr>
          <w:p>
            <w:pPr>
              <w:pStyle w:val="TableContents"/>
              <w:bidi w:val="0"/>
              <w:spacing w:lineRule="auto" w:line="328" w:before="0" w:after="0"/>
              <w:ind w:left="0" w:right="0" w:hanging="0"/>
              <w:jc w:val="left"/>
              <w:rPr/>
            </w:pPr>
            <w:hyperlink w:anchor="FINANCIALINSTRUMENTSANDFINANCIALRISKMANA">
              <w:r>
                <w:rPr>
                  <w:rStyle w:val="InternetLink"/>
                  <w:rFonts w:ascii="Times New Roman;Times;serif" w:hAnsi="Times New Roman;Times;serif"/>
                  <w:b/>
                  <w:i w:val="false"/>
                  <w:caps w:val="false"/>
                  <w:smallCaps w:val="false"/>
                  <w:sz w:val="20"/>
                </w:rPr>
                <w:t>34. FINANCIAL INSTRUMENTS AND FINANCIAL RISK MANAGEMENT</w:t>
              </w:r>
            </w:hyperlink>
          </w:p>
        </w:tc>
        <w:tc>
          <w:tcPr>
            <w:tcW w:w="346" w:type="dxa"/>
            <w:tcBorders/>
            <w:shd w:fill="CCEEFF" w:val="clear"/>
            <w:vAlign w:val="center"/>
          </w:tcPr>
          <w:p>
            <w:pPr>
              <w:pStyle w:val="TableContents"/>
              <w:bidi w:val="0"/>
              <w:spacing w:lineRule="auto" w:line="328" w:before="0" w:after="0"/>
              <w:ind w:left="0" w:right="0" w:hanging="0"/>
              <w:jc w:val="right"/>
              <w:rPr/>
            </w:pPr>
            <w:r>
              <w:rPr/>
              <w:t>​</w:t>
            </w:r>
          </w:p>
        </w:tc>
        <w:tc>
          <w:tcPr>
            <w:tcW w:w="61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F-40</w:t>
            </w:r>
          </w:p>
        </w:tc>
      </w:tr>
      <w:tr>
        <w:trPr/>
        <w:tc>
          <w:tcPr>
            <w:tcW w:w="7366" w:type="dxa"/>
            <w:tcBorders/>
            <w:vAlign w:val="center"/>
          </w:tcPr>
          <w:p>
            <w:pPr>
              <w:pStyle w:val="TableContents"/>
              <w:bidi w:val="0"/>
              <w:spacing w:lineRule="auto" w:line="328" w:before="0" w:after="0"/>
              <w:ind w:left="0" w:right="0" w:hanging="0"/>
              <w:jc w:val="left"/>
              <w:rPr/>
            </w:pPr>
            <w:hyperlink w:anchor="INVESTMENTINJOINTVENTURES_912288">
              <w:r>
                <w:rPr>
                  <w:rStyle w:val="InternetLink"/>
                  <w:rFonts w:ascii="Times New Roman;Times;serif" w:hAnsi="Times New Roman;Times;serif"/>
                  <w:b/>
                  <w:i w:val="false"/>
                  <w:caps w:val="false"/>
                  <w:smallCaps w:val="false"/>
                  <w:sz w:val="20"/>
                </w:rPr>
                <w:t>35. EQUITY METHOD INVESTMENTS</w:t>
              </w:r>
            </w:hyperlink>
          </w:p>
        </w:tc>
        <w:tc>
          <w:tcPr>
            <w:tcW w:w="346" w:type="dxa"/>
            <w:tcBorders/>
            <w:vAlign w:val="center"/>
          </w:tcPr>
          <w:p>
            <w:pPr>
              <w:pStyle w:val="TableContents"/>
              <w:bidi w:val="0"/>
              <w:spacing w:lineRule="auto" w:line="328" w:before="0" w:after="0"/>
              <w:ind w:left="0" w:right="0" w:hanging="0"/>
              <w:jc w:val="right"/>
              <w:rPr/>
            </w:pPr>
            <w:r>
              <w:rPr/>
              <w:t>​</w:t>
            </w:r>
          </w:p>
        </w:tc>
        <w:tc>
          <w:tcPr>
            <w:tcW w:w="61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F-47</w:t>
            </w:r>
          </w:p>
        </w:tc>
      </w:tr>
      <w:tr>
        <w:trPr/>
        <w:tc>
          <w:tcPr>
            <w:tcW w:w="7366" w:type="dxa"/>
            <w:tcBorders/>
            <w:shd w:fill="CCEEFF" w:val="clear"/>
            <w:vAlign w:val="center"/>
          </w:tcPr>
          <w:p>
            <w:pPr>
              <w:pStyle w:val="TableContents"/>
              <w:bidi w:val="0"/>
              <w:spacing w:lineRule="auto" w:line="328" w:before="0" w:after="0"/>
              <w:ind w:left="0" w:right="0" w:hanging="0"/>
              <w:jc w:val="left"/>
              <w:rPr/>
            </w:pPr>
            <w:hyperlink w:anchor="COMMITMENTSANDCONTINGENCIES_411658">
              <w:r>
                <w:rPr>
                  <w:rStyle w:val="InternetLink"/>
                  <w:rFonts w:ascii="Times New Roman;Times;serif" w:hAnsi="Times New Roman;Times;serif"/>
                  <w:b/>
                  <w:i w:val="false"/>
                  <w:caps w:val="false"/>
                  <w:smallCaps w:val="false"/>
                  <w:sz w:val="20"/>
                </w:rPr>
                <w:t>36. COMMITMENTS AND CONTINGENCIES</w:t>
              </w:r>
            </w:hyperlink>
          </w:p>
        </w:tc>
        <w:tc>
          <w:tcPr>
            <w:tcW w:w="346" w:type="dxa"/>
            <w:tcBorders/>
            <w:shd w:fill="CCEEFF" w:val="clear"/>
            <w:vAlign w:val="center"/>
          </w:tcPr>
          <w:p>
            <w:pPr>
              <w:pStyle w:val="TableContents"/>
              <w:bidi w:val="0"/>
              <w:spacing w:lineRule="auto" w:line="328" w:before="0" w:after="0"/>
              <w:ind w:left="0" w:right="0" w:hanging="0"/>
              <w:jc w:val="right"/>
              <w:rPr/>
            </w:pPr>
            <w:r>
              <w:rPr/>
              <w:t>​</w:t>
            </w:r>
          </w:p>
        </w:tc>
        <w:tc>
          <w:tcPr>
            <w:tcW w:w="61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F-48</w:t>
            </w:r>
          </w:p>
        </w:tc>
      </w:tr>
      <w:tr>
        <w:trPr/>
        <w:tc>
          <w:tcPr>
            <w:tcW w:w="7366" w:type="dxa"/>
            <w:tcBorders/>
            <w:vAlign w:val="center"/>
          </w:tcPr>
          <w:p>
            <w:pPr>
              <w:pStyle w:val="TableContents"/>
              <w:bidi w:val="0"/>
              <w:spacing w:lineRule="auto" w:line="328" w:before="0" w:after="0"/>
              <w:ind w:left="0" w:right="0" w:hanging="0"/>
              <w:jc w:val="left"/>
              <w:rPr/>
            </w:pPr>
            <w:hyperlink w:anchor="RELATEDPARTYDISCLOSURES_850301">
              <w:r>
                <w:rPr>
                  <w:rStyle w:val="InternetLink"/>
                  <w:rFonts w:ascii="Times New Roman;Times;serif" w:hAnsi="Times New Roman;Times;serif"/>
                  <w:b/>
                  <w:i w:val="false"/>
                  <w:caps w:val="false"/>
                  <w:smallCaps w:val="false"/>
                  <w:sz w:val="20"/>
                </w:rPr>
                <w:t>37. RELATED PARTY DISCLOSURES</w:t>
              </w:r>
            </w:hyperlink>
          </w:p>
        </w:tc>
        <w:tc>
          <w:tcPr>
            <w:tcW w:w="346" w:type="dxa"/>
            <w:tcBorders/>
            <w:vAlign w:val="center"/>
          </w:tcPr>
          <w:p>
            <w:pPr>
              <w:pStyle w:val="TableContents"/>
              <w:bidi w:val="0"/>
              <w:spacing w:lineRule="auto" w:line="328" w:before="0" w:after="0"/>
              <w:ind w:left="0" w:right="0" w:hanging="0"/>
              <w:jc w:val="right"/>
              <w:rPr/>
            </w:pPr>
            <w:r>
              <w:rPr/>
              <w:t>​</w:t>
            </w:r>
          </w:p>
        </w:tc>
        <w:tc>
          <w:tcPr>
            <w:tcW w:w="61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F-48</w:t>
            </w:r>
          </w:p>
        </w:tc>
      </w:tr>
      <w:tr>
        <w:trPr/>
        <w:tc>
          <w:tcPr>
            <w:tcW w:w="7366" w:type="dxa"/>
            <w:tcBorders/>
            <w:shd w:fill="CCEEFF" w:val="clear"/>
            <w:vAlign w:val="center"/>
          </w:tcPr>
          <w:p>
            <w:pPr>
              <w:pStyle w:val="TableContents"/>
              <w:bidi w:val="0"/>
              <w:spacing w:lineRule="auto" w:line="328" w:before="0" w:after="0"/>
              <w:ind w:left="0" w:right="0" w:hanging="0"/>
              <w:jc w:val="left"/>
              <w:rPr/>
            </w:pPr>
            <w:hyperlink w:anchor="EVENTSAFTERTHEREPORTINGPERIOD_634714">
              <w:r>
                <w:rPr>
                  <w:rStyle w:val="InternetLink"/>
                  <w:rFonts w:ascii="Times New Roman;Times;serif" w:hAnsi="Times New Roman;Times;serif"/>
                  <w:b/>
                  <w:i w:val="false"/>
                  <w:caps w:val="false"/>
                  <w:smallCaps w:val="false"/>
                  <w:sz w:val="20"/>
                </w:rPr>
                <w:t>38. EVENTS AFTER THE REPORTING PERIOD</w:t>
              </w:r>
            </w:hyperlink>
          </w:p>
        </w:tc>
        <w:tc>
          <w:tcPr>
            <w:tcW w:w="346" w:type="dxa"/>
            <w:tcBorders/>
            <w:shd w:fill="CCEEFF" w:val="clear"/>
            <w:vAlign w:val="center"/>
          </w:tcPr>
          <w:p>
            <w:pPr>
              <w:pStyle w:val="TableContents"/>
              <w:bidi w:val="0"/>
              <w:spacing w:lineRule="auto" w:line="328" w:before="0" w:after="0"/>
              <w:ind w:left="0" w:right="0" w:hanging="0"/>
              <w:jc w:val="right"/>
              <w:rPr/>
            </w:pPr>
            <w:r>
              <w:rPr/>
              <w:t>​</w:t>
            </w:r>
          </w:p>
        </w:tc>
        <w:tc>
          <w:tcPr>
            <w:tcW w:w="61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F-50</w:t>
            </w:r>
          </w:p>
        </w:tc>
      </w:tr>
    </w:tbl>
    <w:p>
      <w:pPr>
        <w:pStyle w:val="TextBody"/>
        <w:bidi w:val="0"/>
        <w:spacing w:before="0" w:after="0"/>
        <w:ind w:left="200" w:right="200" w:hanging="0"/>
        <w:jc w:val="left"/>
        <w:rPr/>
      </w:pPr>
      <w:r>
        <w:rPr/>
        <w:t>​</w:t>
      </w:r>
    </w:p>
    <w:p>
      <w:pPr>
        <w:pStyle w:val="TextBody"/>
        <w:bidi w:val="0"/>
        <w:spacing w:before="0" w:after="240"/>
        <w:ind w:left="200" w:right="200" w:hanging="0"/>
        <w:jc w:val="both"/>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77" w:name="ReportofIndependentRegisteredPublicAccou"/>
      <w:bookmarkStart w:id="78" w:name="_cd3dd949_ef43_441c_a181_0826296e5cb6"/>
      <w:bookmarkEnd w:id="77"/>
      <w:bookmarkEnd w:id="78"/>
      <w:r>
        <w:rPr>
          <w:rFonts w:ascii="Times New Roman;Times;serif" w:hAnsi="Times New Roman;Times;serif"/>
          <w:b/>
          <w:sz w:val="20"/>
        </w:rPr>
        <w:t>Report of Independent Registered Public Accounting Firm</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 xml:space="preserve">To the Shareholders and Board of Directors </w:t>
        <w:br/>
        <w:t>SCHMID Group N.V.:</w:t>
      </w:r>
    </w:p>
    <w:p>
      <w:pPr>
        <w:pStyle w:val="TextBody"/>
        <w:bidi w:val="0"/>
        <w:spacing w:before="0" w:after="240"/>
        <w:ind w:left="200" w:right="200" w:hanging="0"/>
        <w:jc w:val="left"/>
        <w:rPr/>
      </w:pPr>
      <w:r>
        <w:rPr/>
        <w:t>​</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Opinion on the Consolidated Financial Statements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have audited the accompanying consolidated statements of financial position of SCHMID Group N.V. and subsidiaries (the Company) as of December 31, 2025 and 2024, the related consolidated statements of profit or loss and other comprehensive income (loss), changes in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International Financial Reporting Standards as issued by the International Accounting Standards Board.</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Basis for Opinion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/s/ KPMG AG Wirtschaftsprüfungsgesellschaft</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We have served as the Company’s auditor since 2023.</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Stuttgart, Germany</w:t>
      </w:r>
    </w:p>
    <w:p>
      <w:pPr>
        <w:pStyle w:val="TextBody"/>
        <w:bidi w:val="0"/>
        <w:spacing w:before="0" w:after="240"/>
        <w:ind w:left="200" w:right="200" w:hanging="0"/>
        <w:jc w:val="left"/>
        <w:rPr/>
      </w:pPr>
      <w:r>
        <w:rPr/>
        <w:t>​</w:t>
      </w:r>
    </w:p>
    <w:p>
      <w:pPr>
        <w:pStyle w:val="TextBody"/>
        <w:bidi w:val="0"/>
        <w:spacing w:before="0" w:after="240"/>
        <w:ind w:left="200" w:right="200" w:hanging="0"/>
        <w:jc w:val="both"/>
        <w:rPr>
          <w:rFonts w:ascii="Times New Roman;Times;serif" w:hAnsi="Times New Roman;Times;serif"/>
          <w:sz w:val="20"/>
        </w:rPr>
      </w:pPr>
      <w:r>
        <w:rPr>
          <w:rFonts w:ascii="Times New Roman;Times;serif" w:hAnsi="Times New Roman;Times;serif"/>
          <w:sz w:val="20"/>
        </w:rPr>
        <w:t>May 15, 2026</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sz w:val="20"/>
        </w:rPr>
      </w:pPr>
      <w:bookmarkStart w:id="79" w:name="ConsolidatedStatementsofProfitorLos"/>
      <w:bookmarkStart w:id="80" w:name="_af6f0b54_3853_4ef2_83dc_a22760c9f166"/>
      <w:bookmarkEnd w:id="79"/>
      <w:bookmarkEnd w:id="80"/>
      <w:r>
        <w:rPr>
          <w:rFonts w:ascii="Times New Roman;Times;serif" w:hAnsi="Times New Roman;Times;serif"/>
          <w:b/>
          <w:sz w:val="20"/>
        </w:rPr>
        <w:t>SCHMID</w:t>
      </w:r>
      <w:r>
        <w:rPr>
          <w:rFonts w:ascii="Times New Roman;Times;serif" w:hAnsi="Times New Roman;Times;serif"/>
          <w:spacing w:val="-4"/>
          <w:sz w:val="20"/>
        </w:rPr>
        <w:t xml:space="preserve"> — </w:t>
      </w:r>
      <w:r>
        <w:rPr>
          <w:rFonts w:ascii="Times New Roman;Times;serif" w:hAnsi="Times New Roman;Times;serif"/>
          <w:b/>
          <w:sz w:val="20"/>
        </w:rPr>
        <w:t xml:space="preserve">CONSOLIDATED STATEMENTS OF PROFIT OR LOSS AND OTHER </w:t>
        <w:br/>
        <w:t xml:space="preserve">COMPREHENSIVE INCOME (LOSS) FOR THE YEARS ENDED </w:t>
        <w:br/>
        <w:t>DECEMBER 31, 2025, 2024 AND 2023</w:t>
      </w:r>
    </w:p>
    <w:p>
      <w:pPr>
        <w:pStyle w:val="TextBody"/>
        <w:bidi w:val="0"/>
        <w:spacing w:before="0" w:after="0"/>
        <w:ind w:left="200" w:right="200" w:hanging="0"/>
        <w:jc w:val="left"/>
        <w:rPr/>
      </w:pPr>
      <w:r>
        <w:rPr/>
        <w:t>​</w:t>
      </w:r>
    </w:p>
    <w:p>
      <w:pPr>
        <w:pStyle w:val="Normal"/>
        <w:bidi w:val="0"/>
        <w:spacing w:before="200" w:after="200"/>
        <w:ind w:left="200" w:right="200" w:hanging="0"/>
        <w:jc w:val="left"/>
        <w:rPr>
          <w:sz w:val="4"/>
          <w:szCs w:val="4"/>
        </w:rPr>
      </w:pPr>
      <w:r>
        <w:rPr>
          <w:sz w:val="4"/>
          <w:szCs w:val="4"/>
        </w:rPr>
      </w:r>
      <w:bookmarkStart w:id="81" w:name="Tc_AdsrVhrKDE-FoKnWt2lIaw_35_2"/>
      <w:bookmarkStart w:id="82" w:name="Tc_RJbHMAhG1kWx7BEv5mddlg_35_0"/>
      <w:bookmarkStart w:id="83" w:name="Tc_KrV1VJcGeEuwCsEscC3PJA_34_0"/>
      <w:bookmarkStart w:id="84" w:name="Tc_uOFZeJGIIE2FGqRtsnnXJg_33_0"/>
      <w:bookmarkStart w:id="85" w:name="Tc_IJueihDt6EW-KzOp2jfyKQ_32_0"/>
      <w:bookmarkStart w:id="86" w:name="Tc_JwW1RY4M10azP8ymyxz68Q_31_0"/>
      <w:bookmarkStart w:id="87" w:name="Tc_aED7XheDeECQWFgP36uOlQ_30_2"/>
      <w:bookmarkStart w:id="88" w:name="Tc_Q7ESAR0j8E-_VZv2VAgMoA_30_0"/>
      <w:bookmarkStart w:id="89" w:name="Tc_Y6sqr13UNEu4rbeOBmbe7Q_29_0"/>
      <w:bookmarkStart w:id="90" w:name="Tc_PYDuwErl9EaEYQFGeQFKdA_28_0"/>
      <w:bookmarkStart w:id="91" w:name="Tc_36Sb8lOTPUCCAv-0QNKJAA_27_0"/>
      <w:bookmarkStart w:id="92" w:name="Tc_YpaOMS3X00GOeH2GP9eS8w_26_0"/>
      <w:bookmarkStart w:id="93" w:name="Tc_COuuvlbiwUaMAX-n8IwpMw_25_0"/>
      <w:bookmarkStart w:id="94" w:name="Tc_LvGc5wI_AU6COxBK2-MlVA_24_2"/>
      <w:bookmarkStart w:id="95" w:name="Tc_wr5RHkWZUEaWBQOD4EsZnw_24_0"/>
      <w:bookmarkStart w:id="96" w:name="Tc_xaDY4kSCHkaCVwI7RkN3Yg_23_2"/>
      <w:bookmarkStart w:id="97" w:name="Tc_t0GhFyDZqU6jreAiwxUNEA_23_0"/>
      <w:bookmarkStart w:id="98" w:name="Tc_-vMyPn21nkuQbdYyqtt93Q_22_0"/>
      <w:bookmarkStart w:id="99" w:name="Tc_cpu5u8bLHUqDJUVDjLj4DA_21_0"/>
      <w:bookmarkStart w:id="100" w:name="Tc_4VLabW00okWE8sI7acQrgg_20_0"/>
      <w:bookmarkStart w:id="101" w:name="Tc_MNbF4YFt4k-8k0gEJzGPkA_19_0"/>
      <w:bookmarkStart w:id="102" w:name="Tc_zxahvl6yUEGbu5GJOrjZKA_18_2"/>
      <w:bookmarkStart w:id="103" w:name="Tc_JG-VZxnvDkOaSIsQNMVwPQ_18_0"/>
      <w:bookmarkStart w:id="104" w:name="Tc_h1I0g_a_m0STIYv6EQhW5Q_17_0"/>
      <w:bookmarkStart w:id="105" w:name="Tc_ddfM_hKzdk2gbeL827PEbw_16_6"/>
      <w:bookmarkStart w:id="106" w:name="Tc_xYiWNXGmWUiwA9a4XQ7oHg_16_2"/>
      <w:bookmarkStart w:id="107" w:name="Tc_SoDN7oZIfEe05uGaghYXTA_16_0"/>
      <w:bookmarkStart w:id="108" w:name="Tc_KOh8xy7U50O5BNqQilaWaA_15_2"/>
      <w:bookmarkStart w:id="109" w:name="Tc_Qsb2N_iemkKHkpLTa5Hmiw_15_0"/>
      <w:bookmarkStart w:id="110" w:name="Tc_tUDk2_AStEW5_AmjowrUdg_14_0"/>
      <w:bookmarkStart w:id="111" w:name="Tc_Yy7SwEEPlk-PXj4b2d3c5A_13_0"/>
      <w:bookmarkStart w:id="112" w:name="Tc_3WAX8McHgEC77iFQnKojPA_12_0"/>
      <w:bookmarkStart w:id="113" w:name="Tc_NBP_poxsTUahGuUVEbzFbg_11_4"/>
      <w:bookmarkStart w:id="114" w:name="Tc_TIONWmA760maUeetMbBqYQ_11_2"/>
      <w:bookmarkStart w:id="115" w:name="Tc_xjjiIHDcTEaI4BzwbafScg_11_0"/>
      <w:bookmarkStart w:id="116" w:name="Tc_HMZV8VOrS067JX3O0npHyg_10_8"/>
      <w:bookmarkStart w:id="117" w:name="Tc_3r3rsCiRMUyDx-NZYdPJ8Q_10_4"/>
      <w:bookmarkStart w:id="118" w:name="Tc_sxv8uicBHEWDNUrNt23Drg_10_2"/>
      <w:bookmarkStart w:id="119" w:name="Tc__BeONmxKgEmJxQXPwOLfNA_10_0"/>
      <w:bookmarkStart w:id="120" w:name="Tc_uTbOVJ3EHk--CAPXB-krqQ_9_2"/>
      <w:bookmarkStart w:id="121" w:name="Tc_LuQmjVZudEa6_kRrnyM93Q_9_0"/>
      <w:bookmarkStart w:id="122" w:name="Tc_n84nlEy310K9j6GxZVyJrw_8_2"/>
      <w:bookmarkStart w:id="123" w:name="Tc_zpq-iDxFM0qo6OzEwZhRYQ_8_0"/>
      <w:bookmarkStart w:id="124" w:name="Tc_gJPpRzx_AkWjLzIqzNo-MA_7_2"/>
      <w:bookmarkStart w:id="125" w:name="Tc_vT_TdgKr9kW6kMPKAJQdmA_7_0"/>
      <w:bookmarkStart w:id="126" w:name="Tc_8OyzGOQRfkqz05IM_88Wmw_6_2"/>
      <w:bookmarkStart w:id="127" w:name="Tc_Ca0_Fxkgq0GKSWZ_YSB9tQ_6_0"/>
      <w:bookmarkStart w:id="128" w:name="Tc_lS4UxO6ufEmPPU7NzPlYgA_5_2"/>
      <w:bookmarkStart w:id="129" w:name="Tc_mg6M7OciGkCdsS4xdwi1uA_5_0"/>
      <w:bookmarkStart w:id="130" w:name="Tc_TYs8YwSrREOLwmy1cZo5qg_4_0"/>
      <w:bookmarkStart w:id="131" w:name="Tc_iZ53Gv5BK0etrhDCoTvFhA_3_2"/>
      <w:bookmarkStart w:id="132" w:name="Tc_mHkJ08JrIE-Y_umhH6Zljw_3_0"/>
      <w:bookmarkStart w:id="133" w:name="Tc_1M-Io_Llg0WqFq1ueOuQhw_2_2"/>
      <w:bookmarkStart w:id="134" w:name="Tc_HJoZTW6C0UGXxkF_YQUO0g_2_0"/>
      <w:bookmarkStart w:id="135" w:name="Tc_eTacEeDMkkeqSJ5Iyq3s2A_1_8"/>
      <w:bookmarkStart w:id="136" w:name="Tc_ouaCzoDkUUC7GQeipIupig_1_6"/>
      <w:bookmarkStart w:id="137" w:name="Tc_MPYniLCdK0CXi9GMndnZCw_1_4"/>
      <w:bookmarkStart w:id="138" w:name="Tc_bpb-F7rKAUCKEVWT7l5v6A_1_2"/>
      <w:bookmarkStart w:id="139" w:name="Tc_sTC03OlxLEaaIMXpJ-SvAQ_1_0"/>
      <w:bookmarkStart w:id="140" w:name="_d10c0475_7d85_4eb5_870a_1e2ee5b4e5f3"/>
      <w:bookmarkStart w:id="141" w:name="_7ed7874f_132e_4204_93ec_690b2a298ecb"/>
      <w:bookmarkStart w:id="142" w:name="Tc_AdsrVhrKDE-FoKnWt2lIaw_35_2"/>
      <w:bookmarkStart w:id="143" w:name="Tc_RJbHMAhG1kWx7BEv5mddlg_35_0"/>
      <w:bookmarkStart w:id="144" w:name="Tc_KrV1VJcGeEuwCsEscC3PJA_34_0"/>
      <w:bookmarkStart w:id="145" w:name="Tc_uOFZeJGIIE2FGqRtsnnXJg_33_0"/>
      <w:bookmarkStart w:id="146" w:name="Tc_IJueihDt6EW-KzOp2jfyKQ_32_0"/>
      <w:bookmarkStart w:id="147" w:name="Tc_JwW1RY4M10azP8ymyxz68Q_31_0"/>
      <w:bookmarkStart w:id="148" w:name="Tc_aED7XheDeECQWFgP36uOlQ_30_2"/>
      <w:bookmarkStart w:id="149" w:name="Tc_Q7ESAR0j8E-_VZv2VAgMoA_30_0"/>
      <w:bookmarkStart w:id="150" w:name="Tc_Y6sqr13UNEu4rbeOBmbe7Q_29_0"/>
      <w:bookmarkStart w:id="151" w:name="Tc_PYDuwErl9EaEYQFGeQFKdA_28_0"/>
      <w:bookmarkStart w:id="152" w:name="Tc_36Sb8lOTPUCCAv-0QNKJAA_27_0"/>
      <w:bookmarkStart w:id="153" w:name="Tc_YpaOMS3X00GOeH2GP9eS8w_26_0"/>
      <w:bookmarkStart w:id="154" w:name="Tc_COuuvlbiwUaMAX-n8IwpMw_25_0"/>
      <w:bookmarkStart w:id="155" w:name="Tc_LvGc5wI_AU6COxBK2-MlVA_24_2"/>
      <w:bookmarkStart w:id="156" w:name="Tc_wr5RHkWZUEaWBQOD4EsZnw_24_0"/>
      <w:bookmarkStart w:id="157" w:name="Tc_xaDY4kSCHkaCVwI7RkN3Yg_23_2"/>
      <w:bookmarkStart w:id="158" w:name="Tc_t0GhFyDZqU6jreAiwxUNEA_23_0"/>
      <w:bookmarkStart w:id="159" w:name="Tc_-vMyPn21nkuQbdYyqtt93Q_22_0"/>
      <w:bookmarkStart w:id="160" w:name="Tc_cpu5u8bLHUqDJUVDjLj4DA_21_0"/>
      <w:bookmarkStart w:id="161" w:name="Tc_4VLabW00okWE8sI7acQrgg_20_0"/>
      <w:bookmarkStart w:id="162" w:name="Tc_MNbF4YFt4k-8k0gEJzGPkA_19_0"/>
      <w:bookmarkStart w:id="163" w:name="Tc_zxahvl6yUEGbu5GJOrjZKA_18_2"/>
      <w:bookmarkStart w:id="164" w:name="Tc_JG-VZxnvDkOaSIsQNMVwPQ_18_0"/>
      <w:bookmarkStart w:id="165" w:name="Tc_h1I0g_a_m0STIYv6EQhW5Q_17_0"/>
      <w:bookmarkStart w:id="166" w:name="Tc_ddfM_hKzdk2gbeL827PEbw_16_6"/>
      <w:bookmarkStart w:id="167" w:name="Tc_xYiWNXGmWUiwA9a4XQ7oHg_16_2"/>
      <w:bookmarkStart w:id="168" w:name="Tc_SoDN7oZIfEe05uGaghYXTA_16_0"/>
      <w:bookmarkStart w:id="169" w:name="Tc_KOh8xy7U50O5BNqQilaWaA_15_2"/>
      <w:bookmarkStart w:id="170" w:name="Tc_Qsb2N_iemkKHkpLTa5Hmiw_15_0"/>
      <w:bookmarkStart w:id="171" w:name="Tc_tUDk2_AStEW5_AmjowrUdg_14_0"/>
      <w:bookmarkStart w:id="172" w:name="Tc_Yy7SwEEPlk-PXj4b2d3c5A_13_0"/>
      <w:bookmarkStart w:id="173" w:name="Tc_3WAX8McHgEC77iFQnKojPA_12_0"/>
      <w:bookmarkStart w:id="174" w:name="Tc_NBP_poxsTUahGuUVEbzFbg_11_4"/>
      <w:bookmarkStart w:id="175" w:name="Tc_TIONWmA760maUeetMbBqYQ_11_2"/>
      <w:bookmarkStart w:id="176" w:name="Tc_xjjiIHDcTEaI4BzwbafScg_11_0"/>
      <w:bookmarkStart w:id="177" w:name="Tc_HMZV8VOrS067JX3O0npHyg_10_8"/>
      <w:bookmarkStart w:id="178" w:name="Tc_3r3rsCiRMUyDx-NZYdPJ8Q_10_4"/>
      <w:bookmarkStart w:id="179" w:name="Tc_sxv8uicBHEWDNUrNt23Drg_10_2"/>
      <w:bookmarkStart w:id="180" w:name="Tc__BeONmxKgEmJxQXPwOLfNA_10_0"/>
      <w:bookmarkStart w:id="181" w:name="Tc_uTbOVJ3EHk--CAPXB-krqQ_9_2"/>
      <w:bookmarkStart w:id="182" w:name="Tc_LuQmjVZudEa6_kRrnyM93Q_9_0"/>
      <w:bookmarkStart w:id="183" w:name="Tc_n84nlEy310K9j6GxZVyJrw_8_2"/>
      <w:bookmarkStart w:id="184" w:name="Tc_zpq-iDxFM0qo6OzEwZhRYQ_8_0"/>
      <w:bookmarkStart w:id="185" w:name="Tc_gJPpRzx_AkWjLzIqzNo-MA_7_2"/>
      <w:bookmarkStart w:id="186" w:name="Tc_vT_TdgKr9kW6kMPKAJQdmA_7_0"/>
      <w:bookmarkStart w:id="187" w:name="Tc_8OyzGOQRfkqz05IM_88Wmw_6_2"/>
      <w:bookmarkStart w:id="188" w:name="Tc_Ca0_Fxkgq0GKSWZ_YSB9tQ_6_0"/>
      <w:bookmarkStart w:id="189" w:name="Tc_lS4UxO6ufEmPPU7NzPlYgA_5_2"/>
      <w:bookmarkStart w:id="190" w:name="Tc_mg6M7OciGkCdsS4xdwi1uA_5_0"/>
      <w:bookmarkStart w:id="191" w:name="Tc_TYs8YwSrREOLwmy1cZo5qg_4_0"/>
      <w:bookmarkStart w:id="192" w:name="Tc_iZ53Gv5BK0etrhDCoTvFhA_3_2"/>
      <w:bookmarkStart w:id="193" w:name="Tc_mHkJ08JrIE-Y_umhH6Zljw_3_0"/>
      <w:bookmarkStart w:id="194" w:name="Tc_1M-Io_Llg0WqFq1ueOuQhw_2_2"/>
      <w:bookmarkStart w:id="195" w:name="Tc_HJoZTW6C0UGXxkF_YQUO0g_2_0"/>
      <w:bookmarkStart w:id="196" w:name="Tc_eTacEeDMkkeqSJ5Iyq3s2A_1_8"/>
      <w:bookmarkStart w:id="197" w:name="Tc_ouaCzoDkUUC7GQeipIupig_1_6"/>
      <w:bookmarkStart w:id="198" w:name="Tc_MPYniLCdK0CXi9GMndnZCw_1_4"/>
      <w:bookmarkStart w:id="199" w:name="Tc_bpb-F7rKAUCKEVWT7l5v6A_1_2"/>
      <w:bookmarkStart w:id="200" w:name="Tc_sTC03OlxLEaaIMXpJ-SvAQ_1_0"/>
      <w:bookmarkStart w:id="201" w:name="_d10c0475_7d85_4eb5_870a_1e2ee5b4e5f3"/>
      <w:bookmarkStart w:id="202" w:name="_7ed7874f_132e_4204_93ec_690b2a298ecb"/>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tbl>
      <w:tblPr>
        <w:tblW w:w="9805" w:type="dxa"/>
        <w:jc w:val="left"/>
        <w:tblInd w:w="200" w:type="dxa"/>
        <w:tblLayout w:type="fixed"/>
        <w:tblCellMar>
          <w:top w:w="0" w:type="dxa"/>
          <w:left w:w="0" w:type="dxa"/>
          <w:bottom w:w="0" w:type="dxa"/>
          <w:right w:w="0" w:type="dxa"/>
        </w:tblCellMar>
      </w:tblPr>
      <w:tblGrid>
        <w:gridCol w:w="5629"/>
        <w:gridCol w:w="346"/>
        <w:gridCol w:w="451"/>
        <w:gridCol w:w="346"/>
        <w:gridCol w:w="765"/>
        <w:gridCol w:w="346"/>
        <w:gridCol w:w="765"/>
        <w:gridCol w:w="346"/>
        <w:gridCol w:w="811"/>
      </w:tblGrid>
      <w:tr>
        <w:trPr/>
        <w:tc>
          <w:tcPr>
            <w:tcW w:w="562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ind w:left="0" w:right="0" w:hanging="0"/>
              <w:jc w:val="left"/>
              <w:rPr>
                <w:sz w:val="4"/>
                <w:szCs w:val="4"/>
              </w:rPr>
            </w:pPr>
            <w:r>
              <w:rPr>
                <w:sz w:val="4"/>
                <w:szCs w:val="4"/>
              </w:rPr>
            </w:r>
          </w:p>
        </w:tc>
      </w:tr>
      <w:tr>
        <w:trPr/>
        <w:tc>
          <w:tcPr>
            <w:tcW w:w="5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574415" cy="175260"/>
                      <wp:effectExtent l="0" t="0" r="0" b="0"/>
                      <wp:wrapNone/>
                      <wp:docPr id="76" name="Frame74"/>
                      <a:graphic xmlns:a="http://schemas.openxmlformats.org/drawingml/2006/main">
                        <a:graphicData uri="http://schemas.microsoft.com/office/word/2010/wordprocessingShape">
                          <wps:wsp>
                            <wps:cNvSpPr txBox="1"/>
                            <wps:spPr>
                              <a:xfrm>
                                <a:off x="0" y="0"/>
                                <a:ext cx="3574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77"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86385" cy="175260"/>
                      <wp:effectExtent l="0" t="0" r="0" b="0"/>
                      <wp:wrapNone/>
                      <wp:docPr id="78" name="Frame76"/>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79"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85775" cy="175260"/>
                      <wp:effectExtent l="0" t="0" r="0" b="0"/>
                      <wp:wrapNone/>
                      <wp:docPr id="80" name="Frame78"/>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1"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85775" cy="175260"/>
                      <wp:effectExtent l="0" t="0" r="0" b="0"/>
                      <wp:wrapNone/>
                      <wp:docPr id="82" name="Frame80"/>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3"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14985" cy="175260"/>
                      <wp:effectExtent l="0" t="0" r="0" b="0"/>
                      <wp:wrapNone/>
                      <wp:docPr id="84" name="Frame8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29"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 except share data</w:t>
            </w:r>
          </w:p>
        </w:tc>
        <w:tc>
          <w:tcPr>
            <w:tcW w:w="346" w:type="dxa"/>
            <w:tcBorders/>
            <w:vAlign w:val="center"/>
          </w:tcPr>
          <w:p>
            <w:pPr>
              <w:pStyle w:val="TableContents"/>
              <w:bidi w:val="0"/>
              <w:spacing w:before="0" w:after="0"/>
              <w:ind w:left="0" w:right="0" w:hanging="0"/>
              <w:jc w:val="center"/>
              <w:rPr/>
            </w:pPr>
            <w:r>
              <w:rPr/>
              <w:t>  ​ ​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center"/>
              <w:rPr/>
            </w:pPr>
            <w:r>
              <w:rPr/>
              <w:t>  ​ ​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6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66,945</w:t>
            </w:r>
          </w:p>
        </w:tc>
        <w:tc>
          <w:tcPr>
            <w:tcW w:w="346"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60,836</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90,246</w:t>
            </w:r>
          </w:p>
        </w:tc>
      </w:tr>
      <w:tr>
        <w:trPr/>
        <w:tc>
          <w:tcPr>
            <w:tcW w:w="56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(50,928)</w:t>
            </w:r>
          </w:p>
        </w:tc>
        <w:tc>
          <w:tcPr>
            <w:tcW w:w="346" w:type="dxa"/>
            <w:tcBorders/>
            <w:vAlign w:val="center"/>
          </w:tcPr>
          <w:p>
            <w:pPr>
              <w:pStyle w:val="TableContents"/>
              <w:bidi w:val="0"/>
              <w:spacing w:before="0" w:after="0"/>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(48,791)</w:t>
            </w:r>
          </w:p>
        </w:tc>
        <w:tc>
          <w:tcPr>
            <w:tcW w:w="346" w:type="dxa"/>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(63,849)</w:t>
            </w:r>
          </w:p>
        </w:tc>
      </w:tr>
      <w:tr>
        <w:trPr/>
        <w:tc>
          <w:tcPr>
            <w:tcW w:w="562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16,017</w:t>
            </w:r>
          </w:p>
        </w:tc>
        <w:tc>
          <w:tcPr>
            <w:tcW w:w="346" w:type="dxa"/>
            <w:tcBorders/>
            <w:shd w:fill="CCEEFF" w:val="cle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12,044</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26,397</w:t>
            </w:r>
          </w:p>
        </w:tc>
      </w:tr>
      <w:tr>
        <w:trPr/>
        <w:tc>
          <w:tcPr>
            <w:tcW w:w="56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expenses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(11,999)</w:t>
            </w:r>
          </w:p>
        </w:tc>
        <w:tc>
          <w:tcPr>
            <w:tcW w:w="346"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(12,895)</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(12,577)</w:t>
            </w:r>
          </w:p>
        </w:tc>
      </w:tr>
      <w:tr>
        <w:trPr/>
        <w:tc>
          <w:tcPr>
            <w:tcW w:w="56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administration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(11,404)</w:t>
            </w:r>
          </w:p>
        </w:tc>
        <w:tc>
          <w:tcPr>
            <w:tcW w:w="346"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(11,792)</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(12,538)</w:t>
            </w:r>
          </w:p>
        </w:tc>
      </w:tr>
      <w:tr>
        <w:trPr/>
        <w:tc>
          <w:tcPr>
            <w:tcW w:w="56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(2,781)</w:t>
            </w:r>
          </w:p>
        </w:tc>
        <w:tc>
          <w:tcPr>
            <w:tcW w:w="346"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(3,974)</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(5,148)</w:t>
            </w:r>
          </w:p>
        </w:tc>
      </w:tr>
      <w:tr>
        <w:trPr/>
        <w:tc>
          <w:tcPr>
            <w:tcW w:w="56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12,217</w:t>
            </w:r>
          </w:p>
        </w:tc>
        <w:tc>
          <w:tcPr>
            <w:tcW w:w="346"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9,018</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15,985</w:t>
            </w:r>
          </w:p>
        </w:tc>
      </w:tr>
      <w:tr>
        <w:trPr/>
        <w:tc>
          <w:tcPr>
            <w:tcW w:w="56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w:t>
            </w:r>
          </w:p>
        </w:tc>
        <w:tc>
          <w:tcPr>
            <w:tcW w:w="346"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(2,564)</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(2,620)</w:t>
            </w:r>
          </w:p>
        </w:tc>
      </w:tr>
      <w:tr>
        <w:trPr/>
        <w:tc>
          <w:tcPr>
            <w:tcW w:w="56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Listing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(71,630)</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r>
      <w:tr>
        <w:trPr/>
        <w:tc>
          <w:tcPr>
            <w:tcW w:w="56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Reversal on impairment on financial assets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22,696</w:t>
            </w:r>
          </w:p>
        </w:tc>
      </w:tr>
      <w:tr>
        <w:trPr/>
        <w:tc>
          <w:tcPr>
            <w:tcW w:w="562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profit (loss)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1,443</w:t>
            </w:r>
          </w:p>
        </w:tc>
        <w:tc>
          <w:tcPr>
            <w:tcW w:w="346" w:type="dxa"/>
            <w:tcBorders/>
            <w:shd w:fill="CCEEFF" w:val="cle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(81,772)</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32,195</w:t>
            </w:r>
          </w:p>
        </w:tc>
      </w:tr>
      <w:tr>
        <w:trPr/>
        <w:tc>
          <w:tcPr>
            <w:tcW w:w="56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income</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1,888</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19,685</w:t>
            </w:r>
          </w:p>
        </w:tc>
      </w:tr>
      <w:tr>
        <w:trPr/>
        <w:tc>
          <w:tcPr>
            <w:tcW w:w="56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(72,244)</w:t>
            </w:r>
          </w:p>
        </w:tc>
        <w:tc>
          <w:tcPr>
            <w:tcW w:w="346" w:type="dxa"/>
            <w:tcBorders/>
            <w:shd w:fill="CCEEFF" w:val="cle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(5,712)</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(10,091)</w:t>
            </w:r>
          </w:p>
        </w:tc>
      </w:tr>
      <w:tr>
        <w:trPr/>
        <w:tc>
          <w:tcPr>
            <w:tcW w:w="562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result</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15</w:t>
            </w:r>
          </w:p>
        </w:tc>
        <w:tc>
          <w:tcPr>
            <w:tcW w:w="346" w:type="dxa"/>
            <w:tcBorders/>
            <w:vAlign w:val="center"/>
          </w:tcPr>
          <w:p>
            <w:pPr>
              <w:pStyle w:val="TableContents"/>
              <w:bidi w:val="0"/>
              <w:spacing w:before="0" w:after="0"/>
              <w:ind w:left="0" w:right="0" w:hanging="0"/>
              <w:jc w:val="left"/>
              <w:rPr/>
            </w:pPr>
            <w:r>
              <w:rPr/>
              <w:t>​</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(72,178)</w:t>
            </w:r>
          </w:p>
        </w:tc>
        <w:tc>
          <w:tcPr>
            <w:tcW w:w="346" w:type="dxa"/>
            <w:tcBorders/>
            <w:vAlign w:val="center"/>
          </w:tcPr>
          <w:p>
            <w:pPr>
              <w:pStyle w:val="TableContents"/>
              <w:bidi w:val="0"/>
              <w:spacing w:before="0" w:after="0"/>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(3,824)</w:t>
            </w:r>
          </w:p>
        </w:tc>
        <w:tc>
          <w:tcPr>
            <w:tcW w:w="346" w:type="dxa"/>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9,594</w:t>
            </w:r>
          </w:p>
        </w:tc>
      </w:tr>
      <w:tr>
        <w:trPr/>
        <w:tc>
          <w:tcPr>
            <w:tcW w:w="56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loss from equity method investees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c>
          <w:tcPr>
            <w:tcW w:w="346" w:type="dxa"/>
            <w:tcBorders/>
            <w:shd w:fill="CCEEFF" w:val="cle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w:t>
            </w:r>
          </w:p>
        </w:tc>
      </w:tr>
      <w:tr>
        <w:trPr/>
        <w:tc>
          <w:tcPr>
            <w:tcW w:w="562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income tax</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(71,141)</w:t>
            </w:r>
          </w:p>
        </w:tc>
        <w:tc>
          <w:tcPr>
            <w:tcW w:w="346" w:type="dxa"/>
            <w:tcBorders/>
            <w:vAlign w:val="center"/>
          </w:tcPr>
          <w:p>
            <w:pPr>
              <w:pStyle w:val="TableContents"/>
              <w:bidi w:val="0"/>
              <w:spacing w:before="0" w:after="0"/>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(85,596)</w:t>
            </w:r>
          </w:p>
        </w:tc>
        <w:tc>
          <w:tcPr>
            <w:tcW w:w="346" w:type="dxa"/>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40,732</w:t>
            </w:r>
          </w:p>
        </w:tc>
      </w:tr>
      <w:tr>
        <w:trPr/>
        <w:tc>
          <w:tcPr>
            <w:tcW w:w="56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w:t>
            </w:r>
          </w:p>
        </w:tc>
      </w:tr>
      <w:tr>
        <w:trPr/>
        <w:tc>
          <w:tcPr>
            <w:tcW w:w="562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 for the period</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(71,100)</w:t>
            </w:r>
          </w:p>
        </w:tc>
        <w:tc>
          <w:tcPr>
            <w:tcW w:w="346" w:type="dxa"/>
            <w:tcBorders/>
            <w:vAlign w:val="center"/>
          </w:tcPr>
          <w:p>
            <w:pPr>
              <w:pStyle w:val="TableContents"/>
              <w:bidi w:val="0"/>
              <w:spacing w:before="0" w:after="0"/>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(84,104)</w:t>
            </w:r>
          </w:p>
        </w:tc>
        <w:tc>
          <w:tcPr>
            <w:tcW w:w="346" w:type="dxa"/>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37,954</w:t>
            </w:r>
          </w:p>
        </w:tc>
      </w:tr>
      <w:tr>
        <w:trPr/>
        <w:tc>
          <w:tcPr>
            <w:tcW w:w="56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that may be reclassified to profit or loss: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r>
      <w:tr>
        <w:trPr/>
        <w:tc>
          <w:tcPr>
            <w:tcW w:w="56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differences on translation of foreign business units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w:t>
            </w:r>
          </w:p>
        </w:tc>
        <w:tc>
          <w:tcPr>
            <w:tcW w:w="346"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(1,625)</w:t>
            </w:r>
          </w:p>
        </w:tc>
      </w:tr>
      <w:tr>
        <w:trPr/>
        <w:tc>
          <w:tcPr>
            <w:tcW w:w="56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Items that will not be subsequently reclassified to profit or loss: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r>
      <w:tr>
        <w:trPr/>
        <w:tc>
          <w:tcPr>
            <w:tcW w:w="56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Remeasurement of defined pension benefit obligation</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56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on remeasurement of defined pension benefit obligation</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562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items that will not be subsequently reclassified to profit or loss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w:t>
            </w:r>
          </w:p>
        </w:tc>
        <w:tc>
          <w:tcPr>
            <w:tcW w:w="34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w:t>
            </w:r>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w:t>
            </w:r>
          </w:p>
        </w:tc>
      </w:tr>
      <w:tr>
        <w:trPr/>
        <w:tc>
          <w:tcPr>
            <w:tcW w:w="562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(1,152)</w:t>
            </w:r>
          </w:p>
        </w:tc>
        <w:tc>
          <w:tcPr>
            <w:tcW w:w="346" w:type="dxa"/>
            <w:tcBorders/>
            <w:shd w:fill="CCEEFF" w:val="cle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358</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(1,607)</w:t>
            </w:r>
          </w:p>
        </w:tc>
      </w:tr>
      <w:tr>
        <w:trPr/>
        <w:tc>
          <w:tcPr>
            <w:tcW w:w="562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consolidated comprehensive income (loss) for the reporting period</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(72,252)</w:t>
            </w:r>
          </w:p>
        </w:tc>
        <w:tc>
          <w:tcPr>
            <w:tcW w:w="346" w:type="dxa"/>
            <w:tcBorders/>
            <w:vAlign w:val="center"/>
          </w:tcPr>
          <w:p>
            <w:pPr>
              <w:pStyle w:val="TableContents"/>
              <w:bidi w:val="0"/>
              <w:spacing w:before="0" w:after="0"/>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(83,746)</w:t>
            </w:r>
          </w:p>
        </w:tc>
        <w:tc>
          <w:tcPr>
            <w:tcW w:w="346" w:type="dxa"/>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36,346</w:t>
            </w:r>
          </w:p>
        </w:tc>
      </w:tr>
      <w:tr>
        <w:trPr/>
        <w:tc>
          <w:tcPr>
            <w:tcW w:w="562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 attributable to</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56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Owners of SCHMID</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(71,042)</w:t>
            </w:r>
          </w:p>
        </w:tc>
        <w:tc>
          <w:tcPr>
            <w:tcW w:w="346"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(84,111)</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36,868</w:t>
            </w:r>
          </w:p>
        </w:tc>
      </w:tr>
      <w:tr>
        <w:trPr/>
        <w:tc>
          <w:tcPr>
            <w:tcW w:w="56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0"/>
              <w:ind w:left="0" w:right="0" w:hanging="0"/>
              <w:jc w:val="left"/>
              <w:rPr/>
            </w:pPr>
            <w:r>
              <w:rPr/>
              <w:t>​</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w:t>
            </w:r>
          </w:p>
        </w:tc>
      </w:tr>
      <w:tr>
        <w:trPr/>
        <w:tc>
          <w:tcPr>
            <w:tcW w:w="562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consolidated comprehensive income (loss) attributable to</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56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Owners of SCHMID</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(72,162)</w:t>
            </w:r>
          </w:p>
        </w:tc>
        <w:tc>
          <w:tcPr>
            <w:tcW w:w="346"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(83,811)</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35,669</w:t>
            </w:r>
          </w:p>
        </w:tc>
      </w:tr>
      <w:tr>
        <w:trPr/>
        <w:tc>
          <w:tcPr>
            <w:tcW w:w="56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vAlign w:val="center"/>
          </w:tcPr>
          <w:p>
            <w:pPr>
              <w:pStyle w:val="TableContents"/>
              <w:bidi w:val="0"/>
              <w:spacing w:before="0" w:after="0"/>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w:t>
            </w:r>
          </w:p>
        </w:tc>
      </w:tr>
      <w:tr>
        <w:trPr/>
        <w:tc>
          <w:tcPr>
            <w:tcW w:w="56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share for profit / (loss) from continuing operations attributable to the ordinary equity holders of the company:</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r>
      <w:tr>
        <w:trPr/>
        <w:tc>
          <w:tcPr>
            <w:tcW w:w="56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earnings per share</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4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1.28</w:t>
            </w:r>
          </w:p>
        </w:tc>
      </w:tr>
    </w:tbl>
    <w:p>
      <w:pPr>
        <w:pStyle w:val="TextBody"/>
        <w:bidi w:val="0"/>
        <w:spacing w:before="0" w:after="0"/>
        <w:ind w:left="200" w:right="200" w:hanging="0"/>
        <w:jc w:val="left"/>
        <w:rPr/>
      </w:pPr>
      <w:r>
        <w:rPr/>
        <w:t>​</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sz w:val="20"/>
        </w:rPr>
      </w:pPr>
      <w:bookmarkStart w:id="203" w:name="SCHMIDConsolidatedStatementsofFina"/>
      <w:bookmarkStart w:id="204" w:name="_eacf9db4_e30e_43f6_945c_80c8a12bd176"/>
      <w:bookmarkEnd w:id="203"/>
      <w:bookmarkEnd w:id="204"/>
      <w:r>
        <w:rPr>
          <w:rFonts w:ascii="Times New Roman;Times;serif" w:hAnsi="Times New Roman;Times;serif"/>
          <w:b/>
          <w:sz w:val="20"/>
        </w:rPr>
        <w:t>SCHMID </w:t>
      </w:r>
      <w:r>
        <w:rPr>
          <w:rFonts w:ascii="Times New Roman;Times;serif" w:hAnsi="Times New Roman;Times;serif"/>
          <w:spacing w:val="-4"/>
          <w:sz w:val="20"/>
        </w:rPr>
        <w:t>—</w:t>
      </w:r>
      <w:r>
        <w:rPr>
          <w:rFonts w:ascii="Times New Roman;Times;serif" w:hAnsi="Times New Roman;Times;serif"/>
          <w:sz w:val="20"/>
        </w:rPr>
        <w:t xml:space="preserve"> </w:t>
      </w:r>
      <w:r>
        <w:rPr>
          <w:rFonts w:ascii="Times New Roman;Times;serif" w:hAnsi="Times New Roman;Times;serif"/>
          <w:b/>
          <w:sz w:val="20"/>
        </w:rPr>
        <w:t xml:space="preserve">CONSOLIDATED STATEMENTS OF FINANCIAL POSITION AS OF </w:t>
        <w:br/>
        <w:t>DECEMBER 31, 2025 AND 2024</w:t>
      </w:r>
    </w:p>
    <w:p>
      <w:pPr>
        <w:pStyle w:val="TextBody"/>
        <w:bidi w:val="0"/>
        <w:spacing w:before="0" w:after="0"/>
        <w:ind w:left="200" w:right="200" w:hanging="0"/>
        <w:jc w:val="left"/>
        <w:rPr/>
      </w:pPr>
      <w:r>
        <w:rPr/>
        <w:t>​</w:t>
      </w:r>
    </w:p>
    <w:p>
      <w:pPr>
        <w:pStyle w:val="Normal"/>
        <w:bidi w:val="0"/>
        <w:spacing w:before="200" w:after="200"/>
        <w:ind w:left="200" w:right="200" w:hanging="0"/>
        <w:jc w:val="left"/>
        <w:rPr>
          <w:sz w:val="4"/>
          <w:szCs w:val="4"/>
        </w:rPr>
      </w:pPr>
      <w:r>
        <w:rPr>
          <w:sz w:val="4"/>
          <w:szCs w:val="4"/>
        </w:rPr>
      </w:r>
      <w:bookmarkStart w:id="205" w:name="Tc_rJjKMJ8D50WeWYBqZDW13g_38_0"/>
      <w:bookmarkStart w:id="206" w:name="Tc_2vHJctVtRUC0z4yg-Noq-A_37_0"/>
      <w:bookmarkStart w:id="207" w:name="Tc_f23IvWBIGk-qEkypN_w66g_36_2"/>
      <w:bookmarkStart w:id="208" w:name="Tc_q0XaJRQetEqdq87XvWZNUw_36_0"/>
      <w:bookmarkStart w:id="209" w:name="Tc_v0qcTwx5HEy0SH2LxP-LjA_35_2"/>
      <w:bookmarkStart w:id="210" w:name="Tc_dQJxdaGQJE6SI1apdVAERA_35_0"/>
      <w:bookmarkStart w:id="211" w:name="Tc_sSQR4PSiX0yRKdGXwRiweA_34_2"/>
      <w:bookmarkStart w:id="212" w:name="Tc_d_pZIUz5pU-7KQgvV0fM0Q_34_0"/>
      <w:bookmarkStart w:id="213" w:name="Tc_aXCrRsq4F0KHPDOKD2jnbw_33_2"/>
      <w:bookmarkStart w:id="214" w:name="Tc_yNQ-5VJc_E2OrF1BBmlBTw_33_0"/>
      <w:bookmarkStart w:id="215" w:name="Tc_Z5V3EsITQU2dktPh_4RtdQ_32_2"/>
      <w:bookmarkStart w:id="216" w:name="Tc_fu8wOhrGK0WMJOiCk2rsNQ_32_0"/>
      <w:bookmarkStart w:id="217" w:name="Tc_dkh3IVj03U29sikGHi_UCQ_31_2"/>
      <w:bookmarkStart w:id="218" w:name="Tc_HNLoidHWgUid31klLwYWpQ_31_0"/>
      <w:bookmarkStart w:id="219" w:name="Tc_URaAcpiFLkqEo9FshFESRA_30_2"/>
      <w:bookmarkStart w:id="220" w:name="Tc_j0wcGagu9Eez5gsDCTLt5A_30_0"/>
      <w:bookmarkStart w:id="221" w:name="Tc_kmh5YhIk2kKjZXdWy9qrCg_29_0"/>
      <w:bookmarkStart w:id="222" w:name="Tc_HG8i_T2ZWU298_Qwvxjm3g_28_2"/>
      <w:bookmarkStart w:id="223" w:name="Tc_gdrzYrHWKEiKGS0C_N_Mzw_28_0"/>
      <w:bookmarkStart w:id="224" w:name="Tc_v0nlfISoVUSxsfy7zG08FQ_27_2"/>
      <w:bookmarkStart w:id="225" w:name="Tc_-ChfDMxJ7EeQzwLW1deikw_27_0"/>
      <w:bookmarkStart w:id="226" w:name="Tc_1u6AnN4oG0mjkxaSS5aYHQ_26_2"/>
      <w:bookmarkStart w:id="227" w:name="Tc_uRl9jOfXZECF8xBviMTGOg_26_0"/>
      <w:bookmarkStart w:id="228" w:name="Tc_zrzZb4nRNEucV-eTtNOVfQ_25_2"/>
      <w:bookmarkStart w:id="229" w:name="Tc_vVLDR_LibUSpkdfCK3LOxg_25_0"/>
      <w:bookmarkStart w:id="230" w:name="Tc_9ZLt0miGoUa_mT6X6VcZyw_24_2"/>
      <w:bookmarkStart w:id="231" w:name="Tc_QwJz0y8T2UiaHkfATMtd9Q_24_0"/>
      <w:bookmarkStart w:id="232" w:name="Tc_6bBeoTKpxkCTJNcaW230GA_23_0"/>
      <w:bookmarkStart w:id="233" w:name="Tc_XIQf2S1Tp0WtrX53F2J2cA_22_2"/>
      <w:bookmarkStart w:id="234" w:name="Tc_uynKo_AdjEi7CyZrMUshGA_22_0"/>
      <w:bookmarkStart w:id="235" w:name="Tc_DZvGqHgMkU-L1uOFjqJ4Cg_21_2"/>
      <w:bookmarkStart w:id="236" w:name="Tc_QEqDj3mNI0qmPPRb7fEhqA_21_0"/>
      <w:bookmarkStart w:id="237" w:name="Tc_zF-Xe72vW06uriEl8xQ1eg_20_2"/>
      <w:bookmarkStart w:id="238" w:name="Tc_C4RmxTqGCk6PMvVepApVFw_20_0"/>
      <w:bookmarkStart w:id="239" w:name="Tc_ganHJXTJW0Wk20VX0o02Sw_19_2"/>
      <w:bookmarkStart w:id="240" w:name="Tc_-pxKmKKV20622G9EnEEwoQ_19_0"/>
      <w:bookmarkStart w:id="241" w:name="Tc_6J4wzp2HXkihoBh2kEKoQA_18_2"/>
      <w:bookmarkStart w:id="242" w:name="Tc_2fB5G_YB-EKLBY-V7OVpOA_18_0"/>
      <w:bookmarkStart w:id="243" w:name="Tc_piCfhbqj3EafEjiVds3yOg_17_2"/>
      <w:bookmarkStart w:id="244" w:name="Tc_TBR7bz1zBUOQehJP8_AxXw_17_0"/>
      <w:bookmarkStart w:id="245" w:name="Tc_fPLWcTg0pESjLlFvW-1Jjg_16_0"/>
      <w:bookmarkStart w:id="246" w:name="Tc_FioBsoWdcUeDghbVI_e1PA_14_0"/>
      <w:bookmarkStart w:id="247" w:name="Tc_uNCmLncKpk6VhzFFWhkyfg_13_0"/>
      <w:bookmarkStart w:id="248" w:name="Tc_dCYskeOUf0KEOVDIJgzj1g_12_2"/>
      <w:bookmarkStart w:id="249" w:name="Tc__woGdJbKoECaRty-ahYR2g_12_0"/>
      <w:bookmarkStart w:id="250" w:name="Tc__eXMrWlfbkapMpcFFJ2f_g_11_2"/>
      <w:bookmarkStart w:id="251" w:name="Tc_AV4kJqpPxU6dSYDCd_lMuQ_11_0"/>
      <w:bookmarkStart w:id="252" w:name="Tc_gP0oZR2gZk2InaXj_Cx6-g_10_2"/>
      <w:bookmarkStart w:id="253" w:name="Tc_RiumcbTRQUmBPdOyWLJdjg_10_0"/>
      <w:bookmarkStart w:id="254" w:name="Tc_L_a3zgBVo02t_hiQvpsx8w_9_2"/>
      <w:bookmarkStart w:id="255" w:name="Tc_MHAukV77bU2yM28ClXc-ZA_9_0"/>
      <w:bookmarkStart w:id="256" w:name="Tc_tFyXuvCm-EamY4HTlU_ZgQ_8_0"/>
      <w:bookmarkStart w:id="257" w:name="Tc_iIY96bYcbEOkAPeGD9pa8Q_7_2"/>
      <w:bookmarkStart w:id="258" w:name="Tc_tu3S_BvlaUSknjIsbi4mXQ_7_0"/>
      <w:bookmarkStart w:id="259" w:name="Tc_5j-yZ534r0SirEscipNpzw_6_2"/>
      <w:bookmarkStart w:id="260" w:name="Tc_i3MhduRVGUC-_HGg4yHDRA_6_0"/>
      <w:bookmarkStart w:id="261" w:name="Tc_M6iOhR7Zoku3Kdt5UtDx4g_5_2"/>
      <w:bookmarkStart w:id="262" w:name="Tc_nS7M8bsnkkKufWy4ewrWSw_5_0"/>
      <w:bookmarkStart w:id="263" w:name="Tc_GodLOKOpiUiElxJPWaYH_g_4_2"/>
      <w:bookmarkStart w:id="264" w:name="Tc_HRqjAQKa9kGXx6PibOQR4w_4_0"/>
      <w:bookmarkStart w:id="265" w:name="Tc_-FocB0H17EidPEDllrI8aw_3_2"/>
      <w:bookmarkStart w:id="266" w:name="Tc_02Hm93N-pEK88PjyvVeXww_3_0"/>
      <w:bookmarkStart w:id="267" w:name="Tc_-CcJ-xHjxE-RQnNJSF32-w_2_0"/>
      <w:bookmarkStart w:id="268" w:name="Tc_iQqilChFmkOlUyAp1ZLQVw_1_6"/>
      <w:bookmarkStart w:id="269" w:name="Tc_VS9kpugpKU-wVEHFj2eHgQ_1_4"/>
      <w:bookmarkStart w:id="270" w:name="Tc_fUMe423EekiMssaHTEFAvQ_1_2"/>
      <w:bookmarkStart w:id="271" w:name="Tc_vBVXMGbEBk6fz7PuPJ9JIQ_1_0"/>
      <w:bookmarkStart w:id="272" w:name="_1389e69a_2e85_41c0_9a94_2065b2eba40c"/>
      <w:bookmarkStart w:id="273" w:name="Tc_rJjKMJ8D50WeWYBqZDW13g_38_0"/>
      <w:bookmarkStart w:id="274" w:name="Tc_2vHJctVtRUC0z4yg-Noq-A_37_0"/>
      <w:bookmarkStart w:id="275" w:name="Tc_f23IvWBIGk-qEkypN_w66g_36_2"/>
      <w:bookmarkStart w:id="276" w:name="Tc_q0XaJRQetEqdq87XvWZNUw_36_0"/>
      <w:bookmarkStart w:id="277" w:name="Tc_v0qcTwx5HEy0SH2LxP-LjA_35_2"/>
      <w:bookmarkStart w:id="278" w:name="Tc_dQJxdaGQJE6SI1apdVAERA_35_0"/>
      <w:bookmarkStart w:id="279" w:name="Tc_sSQR4PSiX0yRKdGXwRiweA_34_2"/>
      <w:bookmarkStart w:id="280" w:name="Tc_d_pZIUz5pU-7KQgvV0fM0Q_34_0"/>
      <w:bookmarkStart w:id="281" w:name="Tc_aXCrRsq4F0KHPDOKD2jnbw_33_2"/>
      <w:bookmarkStart w:id="282" w:name="Tc_yNQ-5VJc_E2OrF1BBmlBTw_33_0"/>
      <w:bookmarkStart w:id="283" w:name="Tc_Z5V3EsITQU2dktPh_4RtdQ_32_2"/>
      <w:bookmarkStart w:id="284" w:name="Tc_fu8wOhrGK0WMJOiCk2rsNQ_32_0"/>
      <w:bookmarkStart w:id="285" w:name="Tc_dkh3IVj03U29sikGHi_UCQ_31_2"/>
      <w:bookmarkStart w:id="286" w:name="Tc_HNLoidHWgUid31klLwYWpQ_31_0"/>
      <w:bookmarkStart w:id="287" w:name="Tc_URaAcpiFLkqEo9FshFESRA_30_2"/>
      <w:bookmarkStart w:id="288" w:name="Tc_j0wcGagu9Eez5gsDCTLt5A_30_0"/>
      <w:bookmarkStart w:id="289" w:name="Tc_kmh5YhIk2kKjZXdWy9qrCg_29_0"/>
      <w:bookmarkStart w:id="290" w:name="Tc_HG8i_T2ZWU298_Qwvxjm3g_28_2"/>
      <w:bookmarkStart w:id="291" w:name="Tc_gdrzYrHWKEiKGS0C_N_Mzw_28_0"/>
      <w:bookmarkStart w:id="292" w:name="Tc_v0nlfISoVUSxsfy7zG08FQ_27_2"/>
      <w:bookmarkStart w:id="293" w:name="Tc_-ChfDMxJ7EeQzwLW1deikw_27_0"/>
      <w:bookmarkStart w:id="294" w:name="Tc_1u6AnN4oG0mjkxaSS5aYHQ_26_2"/>
      <w:bookmarkStart w:id="295" w:name="Tc_uRl9jOfXZECF8xBviMTGOg_26_0"/>
      <w:bookmarkStart w:id="296" w:name="Tc_zrzZb4nRNEucV-eTtNOVfQ_25_2"/>
      <w:bookmarkStart w:id="297" w:name="Tc_vVLDR_LibUSpkdfCK3LOxg_25_0"/>
      <w:bookmarkStart w:id="298" w:name="Tc_9ZLt0miGoUa_mT6X6VcZyw_24_2"/>
      <w:bookmarkStart w:id="299" w:name="Tc_QwJz0y8T2UiaHkfATMtd9Q_24_0"/>
      <w:bookmarkStart w:id="300" w:name="Tc_6bBeoTKpxkCTJNcaW230GA_23_0"/>
      <w:bookmarkStart w:id="301" w:name="Tc_XIQf2S1Tp0WtrX53F2J2cA_22_2"/>
      <w:bookmarkStart w:id="302" w:name="Tc_uynKo_AdjEi7CyZrMUshGA_22_0"/>
      <w:bookmarkStart w:id="303" w:name="Tc_DZvGqHgMkU-L1uOFjqJ4Cg_21_2"/>
      <w:bookmarkStart w:id="304" w:name="Tc_QEqDj3mNI0qmPPRb7fEhqA_21_0"/>
      <w:bookmarkStart w:id="305" w:name="Tc_zF-Xe72vW06uriEl8xQ1eg_20_2"/>
      <w:bookmarkStart w:id="306" w:name="Tc_C4RmxTqGCk6PMvVepApVFw_20_0"/>
      <w:bookmarkStart w:id="307" w:name="Tc_ganHJXTJW0Wk20VX0o02Sw_19_2"/>
      <w:bookmarkStart w:id="308" w:name="Tc_-pxKmKKV20622G9EnEEwoQ_19_0"/>
      <w:bookmarkStart w:id="309" w:name="Tc_6J4wzp2HXkihoBh2kEKoQA_18_2"/>
      <w:bookmarkStart w:id="310" w:name="Tc_2fB5G_YB-EKLBY-V7OVpOA_18_0"/>
      <w:bookmarkStart w:id="311" w:name="Tc_piCfhbqj3EafEjiVds3yOg_17_2"/>
      <w:bookmarkStart w:id="312" w:name="Tc_TBR7bz1zBUOQehJP8_AxXw_17_0"/>
      <w:bookmarkStart w:id="313" w:name="Tc_fPLWcTg0pESjLlFvW-1Jjg_16_0"/>
      <w:bookmarkStart w:id="314" w:name="Tc_FioBsoWdcUeDghbVI_e1PA_14_0"/>
      <w:bookmarkStart w:id="315" w:name="Tc_uNCmLncKpk6VhzFFWhkyfg_13_0"/>
      <w:bookmarkStart w:id="316" w:name="Tc_dCYskeOUf0KEOVDIJgzj1g_12_2"/>
      <w:bookmarkStart w:id="317" w:name="Tc__woGdJbKoECaRty-ahYR2g_12_0"/>
      <w:bookmarkStart w:id="318" w:name="Tc__eXMrWlfbkapMpcFFJ2f_g_11_2"/>
      <w:bookmarkStart w:id="319" w:name="Tc_AV4kJqpPxU6dSYDCd_lMuQ_11_0"/>
      <w:bookmarkStart w:id="320" w:name="Tc_gP0oZR2gZk2InaXj_Cx6-g_10_2"/>
      <w:bookmarkStart w:id="321" w:name="Tc_RiumcbTRQUmBPdOyWLJdjg_10_0"/>
      <w:bookmarkStart w:id="322" w:name="Tc_L_a3zgBVo02t_hiQvpsx8w_9_2"/>
      <w:bookmarkStart w:id="323" w:name="Tc_MHAukV77bU2yM28ClXc-ZA_9_0"/>
      <w:bookmarkStart w:id="324" w:name="Tc_tFyXuvCm-EamY4HTlU_ZgQ_8_0"/>
      <w:bookmarkStart w:id="325" w:name="Tc_iIY96bYcbEOkAPeGD9pa8Q_7_2"/>
      <w:bookmarkStart w:id="326" w:name="Tc_tu3S_BvlaUSknjIsbi4mXQ_7_0"/>
      <w:bookmarkStart w:id="327" w:name="Tc_5j-yZ534r0SirEscipNpzw_6_2"/>
      <w:bookmarkStart w:id="328" w:name="Tc_i3MhduRVGUC-_HGg4yHDRA_6_0"/>
      <w:bookmarkStart w:id="329" w:name="Tc_M6iOhR7Zoku3Kdt5UtDx4g_5_2"/>
      <w:bookmarkStart w:id="330" w:name="Tc_nS7M8bsnkkKufWy4ewrWSw_5_0"/>
      <w:bookmarkStart w:id="331" w:name="Tc_GodLOKOpiUiElxJPWaYH_g_4_2"/>
      <w:bookmarkStart w:id="332" w:name="Tc_HRqjAQKa9kGXx6PibOQR4w_4_0"/>
      <w:bookmarkStart w:id="333" w:name="Tc_-FocB0H17EidPEDllrI8aw_3_2"/>
      <w:bookmarkStart w:id="334" w:name="Tc_02Hm93N-pEK88PjyvVeXww_3_0"/>
      <w:bookmarkStart w:id="335" w:name="Tc_-CcJ-xHjxE-RQnNJSF32-w_2_0"/>
      <w:bookmarkStart w:id="336" w:name="Tc_iQqilChFmkOlUyAp1ZLQVw_1_6"/>
      <w:bookmarkStart w:id="337" w:name="Tc_VS9kpugpKU-wVEHFj2eHgQ_1_4"/>
      <w:bookmarkStart w:id="338" w:name="Tc_fUMe423EekiMssaHTEFAvQ_1_2"/>
      <w:bookmarkStart w:id="339" w:name="Tc_vBVXMGbEBk6fz7PuPJ9JIQ_1_0"/>
      <w:bookmarkStart w:id="340" w:name="_1389e69a_2e85_41c0_9a94_2065b2eba40c"/>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tbl>
      <w:tblPr>
        <w:tblW w:w="8287" w:type="dxa"/>
        <w:jc w:val="left"/>
        <w:tblInd w:w="200" w:type="dxa"/>
        <w:tblLayout w:type="fixed"/>
        <w:tblCellMar>
          <w:top w:w="0" w:type="dxa"/>
          <w:left w:w="0" w:type="dxa"/>
          <w:bottom w:w="0" w:type="dxa"/>
          <w:right w:w="0" w:type="dxa"/>
        </w:tblCellMar>
      </w:tblPr>
      <w:tblGrid>
        <w:gridCol w:w="4921"/>
        <w:gridCol w:w="346"/>
        <w:gridCol w:w="451"/>
        <w:gridCol w:w="346"/>
        <w:gridCol w:w="916"/>
        <w:gridCol w:w="346"/>
        <w:gridCol w:w="961"/>
      </w:tblGrid>
      <w:tr>
        <w:trPr/>
        <w:tc>
          <w:tcPr>
            <w:tcW w:w="49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r>
      <w:tr>
        <w:trPr/>
        <w:tc>
          <w:tcPr>
            <w:tcW w:w="4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124835" cy="175260"/>
                      <wp:effectExtent l="0" t="0" r="0" b="0"/>
                      <wp:wrapNone/>
                      <wp:docPr id="85" name="Frame83"/>
                      <a:graphic xmlns:a="http://schemas.openxmlformats.org/drawingml/2006/main">
                        <a:graphicData uri="http://schemas.microsoft.com/office/word/2010/wordprocessingShape">
                          <wps:wsp>
                            <wps:cNvSpPr txBox="1"/>
                            <wps:spPr>
                              <a:xfrm>
                                <a:off x="0" y="0"/>
                                <a:ext cx="312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86"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86385" cy="175260"/>
                      <wp:effectExtent l="0" t="0" r="0" b="0"/>
                      <wp:wrapNone/>
                      <wp:docPr id="87" name="Frame85"/>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88"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81660" cy="175260"/>
                      <wp:effectExtent l="0" t="0" r="0" b="0"/>
                      <wp:wrapNone/>
                      <wp:docPr id="89" name="Frame8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0"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10235" cy="175260"/>
                      <wp:effectExtent l="0" t="0" r="0" b="0"/>
                      <wp:wrapNone/>
                      <wp:docPr id="91" name="Frame8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  ​ ​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12/31/2025</w:t>
            </w:r>
          </w:p>
        </w:tc>
        <w:tc>
          <w:tcPr>
            <w:tcW w:w="346" w:type="dxa"/>
            <w:tcBorders/>
            <w:vAlign w:val="center"/>
          </w:tcPr>
          <w:p>
            <w:pPr>
              <w:pStyle w:val="TableContents"/>
              <w:bidi w:val="0"/>
              <w:spacing w:before="0" w:after="0"/>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12/31/2024</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17,262</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14,941</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including right-of-use assets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12,234</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13,092</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assets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16,203</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Equity method investments </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1,448</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2,317</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2,684</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49,058</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32,300</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18,112</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15,734</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 and other receivables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33,653</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38,221</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3,918</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3,054</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3,791</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57,257</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60,800</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106,315</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93,100</w:t>
            </w:r>
          </w:p>
        </w:tc>
      </w:tr>
      <w:tr>
        <w:trPr/>
        <w:tc>
          <w:tcPr>
            <w:tcW w:w="4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AND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Subscribed capital</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reserves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114,980</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114,448</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loss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(245,896)</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(174,853)</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(2,259)</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attributable to owners of SCHMID</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27</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(132,744)</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(61,112)</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(132,165)</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(60,444)</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financial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71,518</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42,053</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Post-employment benefits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provisions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1,965</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lease liability</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7,153</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8,233</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81,859</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53,127</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financial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87,148</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40,433</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contract liabilities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13,555</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11,284</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and related party payables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38,071</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28,179</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15,505</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17,513</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lease liability</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provisions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156,622</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100,417</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equity and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106,315</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93,100</w:t>
            </w:r>
          </w:p>
        </w:tc>
      </w:tr>
    </w:tbl>
    <w:p>
      <w:pPr>
        <w:pStyle w:val="TextBody"/>
        <w:bidi w:val="0"/>
        <w:spacing w:before="0" w:after="0"/>
        <w:ind w:left="200" w:right="200" w:hanging="0"/>
        <w:jc w:val="left"/>
        <w:rPr/>
      </w:pPr>
      <w:r>
        <w:rPr/>
        <w:t>​</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sz w:val="20"/>
        </w:rPr>
      </w:pPr>
      <w:bookmarkStart w:id="341" w:name="ConsolidatedStatementsofChangesinEqUITY"/>
      <w:bookmarkStart w:id="342" w:name="_4309a383_20b6_4b8f_bfd8_8013d3c80080"/>
      <w:bookmarkEnd w:id="341"/>
      <w:bookmarkEnd w:id="342"/>
      <w:r>
        <w:rPr>
          <w:rFonts w:ascii="Times New Roman;Times;serif" w:hAnsi="Times New Roman;Times;serif"/>
          <w:b/>
          <w:sz w:val="20"/>
        </w:rPr>
        <w:t>SCHMID </w:t>
      </w:r>
      <w:r>
        <w:rPr>
          <w:rFonts w:ascii="Times New Roman;Times;serif" w:hAnsi="Times New Roman;Times;serif"/>
          <w:spacing w:val="-4"/>
          <w:sz w:val="20"/>
        </w:rPr>
        <w:t>—</w:t>
      </w:r>
      <w:r>
        <w:rPr>
          <w:rFonts w:ascii="Times New Roman;Times;serif" w:hAnsi="Times New Roman;Times;serif"/>
          <w:sz w:val="20"/>
        </w:rPr>
        <w:t xml:space="preserve"> </w:t>
      </w:r>
      <w:r>
        <w:rPr>
          <w:rFonts w:ascii="Times New Roman;Times;serif" w:hAnsi="Times New Roman;Times;serif"/>
          <w:b/>
          <w:sz w:val="20"/>
        </w:rPr>
        <w:t xml:space="preserve">CONSOLIDATED STATEMENTS OF CHANGES IN EQUITY FOR THE YEARS ENDED </w:t>
        <w:br/>
        <w:t>DECEMBER 31, 2025, 2024 AND 2023</w:t>
      </w:r>
    </w:p>
    <w:p>
      <w:pPr>
        <w:pStyle w:val="TextBody"/>
        <w:bidi w:val="0"/>
        <w:spacing w:before="0" w:after="0"/>
        <w:ind w:left="200" w:right="200" w:hanging="0"/>
        <w:jc w:val="left"/>
        <w:rPr/>
      </w:pPr>
      <w:r>
        <w:rPr/>
        <w:t>​</w:t>
      </w:r>
    </w:p>
    <w:p>
      <w:pPr>
        <w:pStyle w:val="Normal"/>
        <w:bidi w:val="0"/>
        <w:spacing w:before="200" w:after="200"/>
        <w:ind w:left="200" w:right="200" w:hanging="0"/>
        <w:jc w:val="left"/>
        <w:rPr>
          <w:sz w:val="4"/>
          <w:szCs w:val="4"/>
        </w:rPr>
      </w:pPr>
      <w:r>
        <w:rPr>
          <w:sz w:val="4"/>
          <w:szCs w:val="4"/>
        </w:rPr>
      </w:r>
      <w:bookmarkStart w:id="343" w:name="Tc_qjdDDEeI00msqj_H1OC7Dg_22_0"/>
      <w:bookmarkStart w:id="344" w:name="Tc_1FGEQsLGQE-j7SnEQayWCA_21_14"/>
      <w:bookmarkStart w:id="345" w:name="Tc_izEQ-2BglEmcN2G0-D3Twg_21_10"/>
      <w:bookmarkStart w:id="346" w:name="Tc_3nVovdBQ7EuY3894Ow7g_w_21_8"/>
      <w:bookmarkStart w:id="347" w:name="Tc_dVg4woKq0Uq1sWmxmnQABw_21_4"/>
      <w:bookmarkStart w:id="348" w:name="Tc_-R3xiI_Up06ontNzjhAl9Q_21_2"/>
      <w:bookmarkStart w:id="349" w:name="Tc_xB75sT3-JkOWP10IRi_d5A_21_0"/>
      <w:bookmarkStart w:id="350" w:name="Tc_A6Td-rGiAUaAJo3gb1MiyA_20_6"/>
      <w:bookmarkStart w:id="351" w:name="Tc_WEExo8jhRUSSLQnCdOrsXw_20_4"/>
      <w:bookmarkStart w:id="352" w:name="Tc_DuBnjzEsYUKiJhIyLEbosg_20_0"/>
      <w:bookmarkStart w:id="353" w:name="Tc_4Rkzb7dkpE-JqftmvNl1Ow_19_8"/>
      <w:bookmarkStart w:id="354" w:name="Tc_x3q09ws3sUukV7-GL2fXcA_19_6"/>
      <w:bookmarkStart w:id="355" w:name="Tc_FPWDWnjnnEytYa6G8w7GMA_19_4"/>
      <w:bookmarkStart w:id="356" w:name="Tc_vqZjiYnZ80miAEUJB9fOJw_19_0"/>
      <w:bookmarkStart w:id="357" w:name="Tc_9afFY-J5cUiLBYusgMfSNA_18_10"/>
      <w:bookmarkStart w:id="358" w:name="Tc_T0Wzw03uVkCqIJ91pax4ww_18_6"/>
      <w:bookmarkStart w:id="359" w:name="Tc_dO3N7m2fk0CUwkHxA7ZF6w_18_4"/>
      <w:bookmarkStart w:id="360" w:name="Tc_lAsvj-_hq0iZUKDhNz4HNA_18_0"/>
      <w:bookmarkStart w:id="361" w:name="Tc_j7qPuzMj6ECdeo5WMgSlBA_17_0"/>
      <w:bookmarkStart w:id="362" w:name="Tc_kFEwYSCKfEiALJMU65xigA_16_14"/>
      <w:bookmarkStart w:id="363" w:name="Tc_tDIVGJho40yzn8TuuxfQdg_16_10"/>
      <w:bookmarkStart w:id="364" w:name="Tc_96PMZhOa902YYRn1mz7IXg_16_8"/>
      <w:bookmarkStart w:id="365" w:name="Tc_2w6xtjAZpE62YyFjORYmQw_16_4"/>
      <w:bookmarkStart w:id="366" w:name="Tc_tHPF7yQ6IkeYF_J0IylQnQ_16_0"/>
      <w:bookmarkStart w:id="367" w:name="Tc_Tvkne1FLukm5ET4cOHs55g_15_14"/>
      <w:bookmarkStart w:id="368" w:name="Tc_AedStXdo_0m1528iO18u8w_15_10"/>
      <w:bookmarkStart w:id="369" w:name="Tc_9h61cxWPtU2_nXM0fi6NsQ_15_2"/>
      <w:bookmarkStart w:id="370" w:name="Tc_rEVyywJtHEWyZxlmLwCU6Q_15_0"/>
      <w:bookmarkStart w:id="371" w:name="Tc_O717by-hmUyd2qwGZ1ojkg_14_12"/>
      <w:bookmarkStart w:id="372" w:name="Tc_mhIcGw3TRkyh8R5FtrWSYw_14_10"/>
      <w:bookmarkStart w:id="373" w:name="Tc_gwlBnz4BxEym3djjKuKW1g_14_8"/>
      <w:bookmarkStart w:id="374" w:name="Tc_yol2zk5PXECLAElbUFw48A_14_6"/>
      <w:bookmarkStart w:id="375" w:name="Tc_hGeDD-vfAkCL4E4Khb4NVg_14_4"/>
      <w:bookmarkStart w:id="376" w:name="Tc_nKDI2nYJ3UmbHCvEQ7agEg_14_0"/>
      <w:bookmarkStart w:id="377" w:name="Tc_dTyNVHqWUE2AQTF5_DdAyQ_13_6"/>
      <w:bookmarkStart w:id="378" w:name="Tc_PD8K-aGg406dvmXHL_esPA_13_4"/>
      <w:bookmarkStart w:id="379" w:name="Tc_7__im4-ZuUmueSD3JweLpw_13_0"/>
      <w:bookmarkStart w:id="380" w:name="Tc_V_j5FNJTr0iyQ6sXHHi3Vw_12_8"/>
      <w:bookmarkStart w:id="381" w:name="Tc_PFE8JrcZI0WFu9qo4R-H1A_12_6"/>
      <w:bookmarkStart w:id="382" w:name="Tc_xWYRKnU7cUC6er4hTNQSLQ_12_4"/>
      <w:bookmarkStart w:id="383" w:name="Tc_QHbVSdytjE2SiC-GgT6hiQ_12_0"/>
      <w:bookmarkStart w:id="384" w:name="Tc_LTOHgN0OCk-cYXYis5ToxA_11_10"/>
      <w:bookmarkStart w:id="385" w:name="Tc_y5D_FXU4m0q7-MCK_8Yfmg_11_6"/>
      <w:bookmarkStart w:id="386" w:name="Tc_l8DKMSN1dUSel_HZjX9Mng_11_4"/>
      <w:bookmarkStart w:id="387" w:name="Tc_quof7mK5KUuYH8lKmcB4mQ_11_0"/>
      <w:bookmarkStart w:id="388" w:name="Tc_RW7GGUUAqEi94dhz1G4G8A_10_0"/>
      <w:bookmarkStart w:id="389" w:name="Tc_4X8v6xOCPUKGcZHwSUfNUQ_9_14"/>
      <w:bookmarkStart w:id="390" w:name="Tc_eHiYNYlWFUSOFi_ZTZWnMQ_9_10"/>
      <w:bookmarkStart w:id="391" w:name="Tc_Q-I2T561qkCMwaiBA_SCzA_9_8"/>
      <w:bookmarkStart w:id="392" w:name="Tc_0DYdpqc7qkC5Ao2uwCjkTg_9_4"/>
      <w:bookmarkStart w:id="393" w:name="Tc_QTbR-fU7Tk--PzIxUnk8mQ_9_0"/>
      <w:bookmarkStart w:id="394" w:name="Tc_jc0wSY9X5UGZpvpqOrcMEw_8_6"/>
      <w:bookmarkStart w:id="395" w:name="Tc_FB453baI2kueFISyDhlVOw_8_4"/>
      <w:bookmarkStart w:id="396" w:name="Tc_BlbFP_Tu10Owsrx5vNLJuw_8_0"/>
      <w:bookmarkStart w:id="397" w:name="Tc_rGnla4_9lE21thwqDIEB3w_7_8"/>
      <w:bookmarkStart w:id="398" w:name="Tc_iv59g_etQkOcehjH9YPElQ_7_6"/>
      <w:bookmarkStart w:id="399" w:name="Tc_2ELPjgn4sUGHPr9YJms0WQ_7_4"/>
      <w:bookmarkStart w:id="400" w:name="Tc_AdX926lsyE6Eq1WTz9lgdw_7_0"/>
      <w:bookmarkStart w:id="401" w:name="Tc_b90_mh8vg0OVOhWSx0GqbA_6_10"/>
      <w:bookmarkStart w:id="402" w:name="Tc_GfpN7K3JAk6vwWPYPpCTnw_6_6"/>
      <w:bookmarkStart w:id="403" w:name="Tc_I2z09yjhmkOgu49GmTtIUQ_6_4"/>
      <w:bookmarkStart w:id="404" w:name="Tc_BTai__l150aXvuSqnrTbuw_6_0"/>
      <w:bookmarkStart w:id="405" w:name="Tc_WWAs4rwAZUe9TF6iemVMDg_5_0"/>
      <w:bookmarkStart w:id="406" w:name="Tc_e3QAB2GHeUae-UQcyqAAIQ_4_16"/>
      <w:bookmarkStart w:id="407" w:name="Tc_ZYwcW6zWwEijZJFojS5GlQ_4_14"/>
      <w:bookmarkStart w:id="408" w:name="Tc_EG7MoAp_I0CtGk1BGXz1fQ_4_12"/>
      <w:bookmarkStart w:id="409" w:name="Tc_qBpNLo8njUSOETB-7_OQHg_4_10"/>
      <w:bookmarkStart w:id="410" w:name="Tc_qZF6ao9SF0u6mCY4WtZGFA_4_8"/>
      <w:bookmarkStart w:id="411" w:name="Tc_o_zDTUNDFUKKYdL0FKVlFg_4_6"/>
      <w:bookmarkStart w:id="412" w:name="Tc_saCZ_DeZoEWJz6DZNRuTEw_4_4"/>
      <w:bookmarkStart w:id="413" w:name="Tc_lfEN5S5mAkGgpFekkeiogg_4_2"/>
      <w:bookmarkStart w:id="414" w:name="Tc_NIm8wsEgw0SsahwyRcERRg_4_0"/>
      <w:bookmarkStart w:id="415" w:name="Tc_Awi1pfnWMkKWccF5zB-snw_3_14"/>
      <w:bookmarkStart w:id="416" w:name="Tc_1myOXWL4rEa6HqiBx4Vkcg_3_12"/>
      <w:bookmarkStart w:id="417" w:name="Tc_O7eUjm7CU0KO6Pvw7xLrfg_3_10"/>
      <w:bookmarkStart w:id="418" w:name="Tc_1_wDIpOuq0aenSrNkYXltA_3_8"/>
      <w:bookmarkStart w:id="419" w:name="Tc_srCjbKr1rUCghgFh1h751w_3_6"/>
      <w:bookmarkStart w:id="420" w:name="Tc_E5mPCYlrmEylaAfUHcxBuw_3_4"/>
      <w:bookmarkStart w:id="421" w:name="Tc_cCotfwEx_EiaZKl7SlwEww_2_12"/>
      <w:bookmarkStart w:id="422" w:name="Tc_Ukv84W5PCU-KiQLyOUD1OQ_2_10"/>
      <w:bookmarkStart w:id="423" w:name="Tc_cYmrxN6g-k69CojuMRRKVw_1_12"/>
      <w:bookmarkStart w:id="424" w:name="Tc_6obebwuBN0KTyrE0af_dew_1_10"/>
      <w:bookmarkStart w:id="425" w:name="_c7b13a17_05f4_44bc_9383_50d507a875f1"/>
      <w:bookmarkStart w:id="426" w:name="Tc_qjdDDEeI00msqj_H1OC7Dg_22_0"/>
      <w:bookmarkStart w:id="427" w:name="Tc_1FGEQsLGQE-j7SnEQayWCA_21_14"/>
      <w:bookmarkStart w:id="428" w:name="Tc_izEQ-2BglEmcN2G0-D3Twg_21_10"/>
      <w:bookmarkStart w:id="429" w:name="Tc_3nVovdBQ7EuY3894Ow7g_w_21_8"/>
      <w:bookmarkStart w:id="430" w:name="Tc_dVg4woKq0Uq1sWmxmnQABw_21_4"/>
      <w:bookmarkStart w:id="431" w:name="Tc_-R3xiI_Up06ontNzjhAl9Q_21_2"/>
      <w:bookmarkStart w:id="432" w:name="Tc_xB75sT3-JkOWP10IRi_d5A_21_0"/>
      <w:bookmarkStart w:id="433" w:name="Tc_A6Td-rGiAUaAJo3gb1MiyA_20_6"/>
      <w:bookmarkStart w:id="434" w:name="Tc_WEExo8jhRUSSLQnCdOrsXw_20_4"/>
      <w:bookmarkStart w:id="435" w:name="Tc_DuBnjzEsYUKiJhIyLEbosg_20_0"/>
      <w:bookmarkStart w:id="436" w:name="Tc_4Rkzb7dkpE-JqftmvNl1Ow_19_8"/>
      <w:bookmarkStart w:id="437" w:name="Tc_x3q09ws3sUukV7-GL2fXcA_19_6"/>
      <w:bookmarkStart w:id="438" w:name="Tc_FPWDWnjnnEytYa6G8w7GMA_19_4"/>
      <w:bookmarkStart w:id="439" w:name="Tc_vqZjiYnZ80miAEUJB9fOJw_19_0"/>
      <w:bookmarkStart w:id="440" w:name="Tc_9afFY-J5cUiLBYusgMfSNA_18_10"/>
      <w:bookmarkStart w:id="441" w:name="Tc_T0Wzw03uVkCqIJ91pax4ww_18_6"/>
      <w:bookmarkStart w:id="442" w:name="Tc_dO3N7m2fk0CUwkHxA7ZF6w_18_4"/>
      <w:bookmarkStart w:id="443" w:name="Tc_lAsvj-_hq0iZUKDhNz4HNA_18_0"/>
      <w:bookmarkStart w:id="444" w:name="Tc_j7qPuzMj6ECdeo5WMgSlBA_17_0"/>
      <w:bookmarkStart w:id="445" w:name="Tc_kFEwYSCKfEiALJMU65xigA_16_14"/>
      <w:bookmarkStart w:id="446" w:name="Tc_tDIVGJho40yzn8TuuxfQdg_16_10"/>
      <w:bookmarkStart w:id="447" w:name="Tc_96PMZhOa902YYRn1mz7IXg_16_8"/>
      <w:bookmarkStart w:id="448" w:name="Tc_2w6xtjAZpE62YyFjORYmQw_16_4"/>
      <w:bookmarkStart w:id="449" w:name="Tc_tHPF7yQ6IkeYF_J0IylQnQ_16_0"/>
      <w:bookmarkStart w:id="450" w:name="Tc_Tvkne1FLukm5ET4cOHs55g_15_14"/>
      <w:bookmarkStart w:id="451" w:name="Tc_AedStXdo_0m1528iO18u8w_15_10"/>
      <w:bookmarkStart w:id="452" w:name="Tc_9h61cxWPtU2_nXM0fi6NsQ_15_2"/>
      <w:bookmarkStart w:id="453" w:name="Tc_rEVyywJtHEWyZxlmLwCU6Q_15_0"/>
      <w:bookmarkStart w:id="454" w:name="Tc_O717by-hmUyd2qwGZ1ojkg_14_12"/>
      <w:bookmarkStart w:id="455" w:name="Tc_mhIcGw3TRkyh8R5FtrWSYw_14_10"/>
      <w:bookmarkStart w:id="456" w:name="Tc_gwlBnz4BxEym3djjKuKW1g_14_8"/>
      <w:bookmarkStart w:id="457" w:name="Tc_yol2zk5PXECLAElbUFw48A_14_6"/>
      <w:bookmarkStart w:id="458" w:name="Tc_hGeDD-vfAkCL4E4Khb4NVg_14_4"/>
      <w:bookmarkStart w:id="459" w:name="Tc_nKDI2nYJ3UmbHCvEQ7agEg_14_0"/>
      <w:bookmarkStart w:id="460" w:name="Tc_dTyNVHqWUE2AQTF5_DdAyQ_13_6"/>
      <w:bookmarkStart w:id="461" w:name="Tc_PD8K-aGg406dvmXHL_esPA_13_4"/>
      <w:bookmarkStart w:id="462" w:name="Tc_7__im4-ZuUmueSD3JweLpw_13_0"/>
      <w:bookmarkStart w:id="463" w:name="Tc_V_j5FNJTr0iyQ6sXHHi3Vw_12_8"/>
      <w:bookmarkStart w:id="464" w:name="Tc_PFE8JrcZI0WFu9qo4R-H1A_12_6"/>
      <w:bookmarkStart w:id="465" w:name="Tc_xWYRKnU7cUC6er4hTNQSLQ_12_4"/>
      <w:bookmarkStart w:id="466" w:name="Tc_QHbVSdytjE2SiC-GgT6hiQ_12_0"/>
      <w:bookmarkStart w:id="467" w:name="Tc_LTOHgN0OCk-cYXYis5ToxA_11_10"/>
      <w:bookmarkStart w:id="468" w:name="Tc_y5D_FXU4m0q7-MCK_8Yfmg_11_6"/>
      <w:bookmarkStart w:id="469" w:name="Tc_l8DKMSN1dUSel_HZjX9Mng_11_4"/>
      <w:bookmarkStart w:id="470" w:name="Tc_quof7mK5KUuYH8lKmcB4mQ_11_0"/>
      <w:bookmarkStart w:id="471" w:name="Tc_RW7GGUUAqEi94dhz1G4G8A_10_0"/>
      <w:bookmarkStart w:id="472" w:name="Tc_4X8v6xOCPUKGcZHwSUfNUQ_9_14"/>
      <w:bookmarkStart w:id="473" w:name="Tc_eHiYNYlWFUSOFi_ZTZWnMQ_9_10"/>
      <w:bookmarkStart w:id="474" w:name="Tc_Q-I2T561qkCMwaiBA_SCzA_9_8"/>
      <w:bookmarkStart w:id="475" w:name="Tc_0DYdpqc7qkC5Ao2uwCjkTg_9_4"/>
      <w:bookmarkStart w:id="476" w:name="Tc_QTbR-fU7Tk--PzIxUnk8mQ_9_0"/>
      <w:bookmarkStart w:id="477" w:name="Tc_jc0wSY9X5UGZpvpqOrcMEw_8_6"/>
      <w:bookmarkStart w:id="478" w:name="Tc_FB453baI2kueFISyDhlVOw_8_4"/>
      <w:bookmarkStart w:id="479" w:name="Tc_BlbFP_Tu10Owsrx5vNLJuw_8_0"/>
      <w:bookmarkStart w:id="480" w:name="Tc_rGnla4_9lE21thwqDIEB3w_7_8"/>
      <w:bookmarkStart w:id="481" w:name="Tc_iv59g_etQkOcehjH9YPElQ_7_6"/>
      <w:bookmarkStart w:id="482" w:name="Tc_2ELPjgn4sUGHPr9YJms0WQ_7_4"/>
      <w:bookmarkStart w:id="483" w:name="Tc_AdX926lsyE6Eq1WTz9lgdw_7_0"/>
      <w:bookmarkStart w:id="484" w:name="Tc_b90_mh8vg0OVOhWSx0GqbA_6_10"/>
      <w:bookmarkStart w:id="485" w:name="Tc_GfpN7K3JAk6vwWPYPpCTnw_6_6"/>
      <w:bookmarkStart w:id="486" w:name="Tc_I2z09yjhmkOgu49GmTtIUQ_6_4"/>
      <w:bookmarkStart w:id="487" w:name="Tc_BTai__l150aXvuSqnrTbuw_6_0"/>
      <w:bookmarkStart w:id="488" w:name="Tc_WWAs4rwAZUe9TF6iemVMDg_5_0"/>
      <w:bookmarkStart w:id="489" w:name="Tc_e3QAB2GHeUae-UQcyqAAIQ_4_16"/>
      <w:bookmarkStart w:id="490" w:name="Tc_ZYwcW6zWwEijZJFojS5GlQ_4_14"/>
      <w:bookmarkStart w:id="491" w:name="Tc_EG7MoAp_I0CtGk1BGXz1fQ_4_12"/>
      <w:bookmarkStart w:id="492" w:name="Tc_qBpNLo8njUSOETB-7_OQHg_4_10"/>
      <w:bookmarkStart w:id="493" w:name="Tc_qZF6ao9SF0u6mCY4WtZGFA_4_8"/>
      <w:bookmarkStart w:id="494" w:name="Tc_o_zDTUNDFUKKYdL0FKVlFg_4_6"/>
      <w:bookmarkStart w:id="495" w:name="Tc_saCZ_DeZoEWJz6DZNRuTEw_4_4"/>
      <w:bookmarkStart w:id="496" w:name="Tc_lfEN5S5mAkGgpFekkeiogg_4_2"/>
      <w:bookmarkStart w:id="497" w:name="Tc_NIm8wsEgw0SsahwyRcERRg_4_0"/>
      <w:bookmarkStart w:id="498" w:name="Tc_Awi1pfnWMkKWccF5zB-snw_3_14"/>
      <w:bookmarkStart w:id="499" w:name="Tc_1myOXWL4rEa6HqiBx4Vkcg_3_12"/>
      <w:bookmarkStart w:id="500" w:name="Tc_O7eUjm7CU0KO6Pvw7xLrfg_3_10"/>
      <w:bookmarkStart w:id="501" w:name="Tc_1_wDIpOuq0aenSrNkYXltA_3_8"/>
      <w:bookmarkStart w:id="502" w:name="Tc_srCjbKr1rUCghgFh1h751w_3_6"/>
      <w:bookmarkStart w:id="503" w:name="Tc_E5mPCYlrmEylaAfUHcxBuw_3_4"/>
      <w:bookmarkStart w:id="504" w:name="Tc_cCotfwEx_EiaZKl7SlwEww_2_12"/>
      <w:bookmarkStart w:id="505" w:name="Tc_Ukv84W5PCU-KiQLyOUD1OQ_2_10"/>
      <w:bookmarkStart w:id="506" w:name="Tc_cYmrxN6g-k69CojuMRRKVw_1_12"/>
      <w:bookmarkStart w:id="507" w:name="Tc_6obebwuBN0KTyrE0af_dew_1_10"/>
      <w:bookmarkStart w:id="508" w:name="_c7b13a17_05f4_44bc_9383_50d507a875f1"/>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tbl>
      <w:tblPr>
        <w:tblW w:w="12002" w:type="dxa"/>
        <w:jc w:val="left"/>
        <w:tblInd w:w="200" w:type="dxa"/>
        <w:tblLayout w:type="fixed"/>
        <w:tblCellMar>
          <w:top w:w="0" w:type="dxa"/>
          <w:left w:w="0" w:type="dxa"/>
          <w:bottom w:w="0" w:type="dxa"/>
          <w:right w:w="0" w:type="dxa"/>
        </w:tblCellMar>
      </w:tblPr>
      <w:tblGrid>
        <w:gridCol w:w="1396"/>
        <w:gridCol w:w="346"/>
        <w:gridCol w:w="451"/>
        <w:gridCol w:w="346"/>
        <w:gridCol w:w="886"/>
        <w:gridCol w:w="346"/>
        <w:gridCol w:w="781"/>
        <w:gridCol w:w="346"/>
        <w:gridCol w:w="1051"/>
        <w:gridCol w:w="346"/>
        <w:gridCol w:w="1171"/>
        <w:gridCol w:w="346"/>
        <w:gridCol w:w="1171"/>
        <w:gridCol w:w="346"/>
        <w:gridCol w:w="1261"/>
        <w:gridCol w:w="346"/>
        <w:gridCol w:w="1066"/>
      </w:tblGrid>
      <w:tr>
        <w:trPr/>
        <w:tc>
          <w:tcPr>
            <w:tcW w:w="13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ind w:left="0" w:right="0" w:hanging="0"/>
              <w:jc w:val="left"/>
              <w:rPr>
                <w:sz w:val="4"/>
                <w:szCs w:val="4"/>
              </w:rPr>
            </w:pPr>
            <w:r>
              <w:rPr>
                <w:sz w:val="4"/>
                <w:szCs w:val="4"/>
              </w:rPr>
            </w:r>
          </w:p>
        </w:tc>
      </w:tr>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886460" cy="175260"/>
                      <wp:effectExtent l="0" t="0" r="0" b="0"/>
                      <wp:wrapNone/>
                      <wp:docPr id="92" name="Frame90"/>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3"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86385" cy="175260"/>
                      <wp:effectExtent l="0" t="0" r="0" b="0"/>
                      <wp:wrapNone/>
                      <wp:docPr id="94" name="Frame92"/>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5"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62610" cy="175260"/>
                      <wp:effectExtent l="0" t="0" r="0" b="0"/>
                      <wp:wrapNone/>
                      <wp:docPr id="96" name="Frame9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97"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95935" cy="175260"/>
                      <wp:effectExtent l="0" t="0" r="0" b="0"/>
                      <wp:wrapNone/>
                      <wp:docPr id="98" name="Frame9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99"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67385" cy="175260"/>
                      <wp:effectExtent l="0" t="0" r="0" b="0"/>
                      <wp:wrapNone/>
                      <wp:docPr id="100" name="Frame9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1"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743585" cy="175260"/>
                      <wp:effectExtent l="0" t="0" r="0" b="0"/>
                      <wp:wrapNone/>
                      <wp:docPr id="102" name="Frame100"/>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3"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743585" cy="175260"/>
                      <wp:effectExtent l="0" t="0" r="0" b="0"/>
                      <wp:wrapNone/>
                      <wp:docPr id="104" name="Frame102"/>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5"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800735" cy="175260"/>
                      <wp:effectExtent l="0" t="0" r="0" b="0"/>
                      <wp:wrapNone/>
                      <wp:docPr id="106" name="Frame104"/>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07"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76910" cy="175260"/>
                      <wp:effectExtent l="0" t="0" r="0" b="0"/>
                      <wp:wrapNone/>
                      <wp:docPr id="108" name="Frame106"/>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attributable to</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Subscribed </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Capital </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owners of</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pPr>
            <w:r>
              <w:rPr/>
              <w:t>​</w:t>
            </w:r>
          </w:p>
        </w:tc>
      </w:tr>
      <w:tr>
        <w:trPr/>
        <w:tc>
          <w:tcPr>
            <w:tcW w:w="139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left"/>
              <w:rPr/>
            </w:pPr>
            <w:r>
              <w:rPr/>
              <w:t>  ​ ​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reserves</w:t>
            </w:r>
          </w:p>
        </w:tc>
        <w:tc>
          <w:tcPr>
            <w:tcW w:w="346" w:type="dxa"/>
            <w:tcBorders/>
            <w:vAlign w:val="center"/>
          </w:tcPr>
          <w:p>
            <w:pPr>
              <w:pStyle w:val="TableContents"/>
              <w:bidi w:val="0"/>
              <w:spacing w:before="0" w:after="0"/>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left"/>
              <w:rPr/>
            </w:pPr>
            <w:r>
              <w:rPr/>
              <w:t>  ​ ​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0"/>
              <w:ind w:left="0" w:right="0" w:hanging="0"/>
              <w:jc w:val="left"/>
              <w:rPr/>
            </w:pPr>
            <w:r>
              <w:rPr/>
              <w:t>  ​ ​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SCHMID N.V.</w:t>
            </w:r>
          </w:p>
        </w:tc>
        <w:tc>
          <w:tcPr>
            <w:tcW w:w="346" w:type="dxa"/>
            <w:tcBorders/>
            <w:vAlign w:val="center"/>
          </w:tcPr>
          <w:p>
            <w:pPr>
              <w:pStyle w:val="TableContents"/>
              <w:bidi w:val="0"/>
              <w:spacing w:before="0" w:after="0"/>
              <w:ind w:left="0" w:right="0" w:hanging="0"/>
              <w:jc w:val="left"/>
              <w:rPr/>
            </w:pPr>
            <w:r>
              <w:rPr/>
              <w:t>  ​ ​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0"/>
              <w:ind w:left="0" w:right="0" w:hanging="0"/>
              <w:jc w:val="left"/>
              <w:rPr/>
            </w:pPr>
            <w:r>
              <w:rPr/>
              <w:t>  ​ ​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Equity</w:t>
            </w:r>
          </w:p>
        </w:tc>
      </w:tr>
      <w:tr>
        <w:trPr/>
        <w:tc>
          <w:tcPr>
            <w:tcW w:w="139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1/1/2023</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23,004</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47,475</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(131,235)</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(239)</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(60,996)</w:t>
            </w:r>
          </w:p>
        </w:tc>
        <w:tc>
          <w:tcPr>
            <w:tcW w:w="346" w:type="dxa"/>
            <w:tcBorders/>
            <w:shd w:fill="CCEEFF" w:val="clear"/>
            <w:vAlign w:val="center"/>
          </w:tcPr>
          <w:p>
            <w:pPr>
              <w:pStyle w:val="TableContents"/>
              <w:bidi w:val="0"/>
              <w:spacing w:before="0" w:after="0"/>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6,681</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(54,315)</w:t>
            </w:r>
          </w:p>
        </w:tc>
      </w:tr>
      <w:tr>
        <w:trPr/>
        <w:tc>
          <w:tcPr>
            <w:tcW w:w="13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for the period</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36,868</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36,868</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37,954</w:t>
            </w:r>
          </w:p>
        </w:tc>
      </w:tr>
      <w:tr>
        <w:trPr/>
        <w:tc>
          <w:tcPr>
            <w:tcW w:w="13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comprehensive income (loss) </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w:t>
            </w:r>
          </w:p>
        </w:tc>
        <w:tc>
          <w:tcPr>
            <w:tcW w:w="34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w:t>
            </w:r>
          </w:p>
        </w:tc>
      </w:tr>
      <w:tr>
        <w:trPr/>
        <w:tc>
          <w:tcPr>
            <w:tcW w:w="139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comprehensive income (loss)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36,868</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(1,199)</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35,669</w:t>
            </w:r>
          </w:p>
        </w:tc>
        <w:tc>
          <w:tcPr>
            <w:tcW w:w="3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677</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36,346</w:t>
            </w:r>
          </w:p>
        </w:tc>
      </w:tr>
      <w:tr>
        <w:trPr/>
        <w:tc>
          <w:tcPr>
            <w:tcW w:w="13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Transactions with shareholder</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139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12/31/2023</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23,004</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47,603</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(94,367)</w:t>
            </w:r>
          </w:p>
        </w:tc>
        <w:tc>
          <w:tcPr>
            <w:tcW w:w="34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(1,438)</w:t>
            </w:r>
          </w:p>
        </w:tc>
        <w:tc>
          <w:tcPr>
            <w:tcW w:w="346"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(25,198)</w:t>
            </w:r>
          </w:p>
        </w:tc>
        <w:tc>
          <w:tcPr>
            <w:tcW w:w="346" w:type="dxa"/>
            <w:tcBorders/>
            <w:vAlign w:val="center"/>
          </w:tcPr>
          <w:p>
            <w:pPr>
              <w:pStyle w:val="TableContents"/>
              <w:bidi w:val="0"/>
              <w:spacing w:before="0" w:after="0"/>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7,358</w:t>
            </w:r>
          </w:p>
        </w:tc>
        <w:tc>
          <w:tcPr>
            <w:tcW w:w="346"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(17,841)</w:t>
            </w:r>
          </w:p>
        </w:tc>
      </w:tr>
      <w:tr>
        <w:trPr/>
        <w:tc>
          <w:tcPr>
            <w:tcW w:w="13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for the period</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(84,111)</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(84,111)</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(84,104)</w:t>
            </w:r>
          </w:p>
        </w:tc>
      </w:tr>
      <w:tr>
        <w:trPr/>
        <w:tc>
          <w:tcPr>
            <w:tcW w:w="13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r>
      <w:tr>
        <w:trPr/>
        <w:tc>
          <w:tcPr>
            <w:tcW w:w="139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comprehensive income (loss)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(84,111)</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300</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(83,811)</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(83,746)</w:t>
            </w:r>
          </w:p>
        </w:tc>
      </w:tr>
      <w:tr>
        <w:trPr/>
        <w:tc>
          <w:tcPr>
            <w:tcW w:w="13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Minority interest reduction - SCHMID Technology (Guangdong) Co., Ltd. (STG)</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(6,755)</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(6,755)</w:t>
            </w:r>
          </w:p>
        </w:tc>
      </w:tr>
      <w:tr>
        <w:trPr/>
        <w:tc>
          <w:tcPr>
            <w:tcW w:w="13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Reorganization - Share based payment transaction</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(22,573)</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67,146</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3,625</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48,198</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48,198</w:t>
            </w:r>
          </w:p>
        </w:tc>
      </w:tr>
      <w:tr>
        <w:trPr/>
        <w:tc>
          <w:tcPr>
            <w:tcW w:w="13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Transactions with shareholder</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346" w:type="dxa"/>
            <w:tcBorders/>
            <w:vAlign w:val="center"/>
          </w:tcPr>
          <w:p>
            <w:pPr>
              <w:pStyle w:val="TableContents"/>
              <w:bidi w:val="0"/>
              <w:spacing w:before="0" w:after="0"/>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r>
      <w:tr>
        <w:trPr/>
        <w:tc>
          <w:tcPr>
            <w:tcW w:w="139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12/31/2024</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431</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114,448</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(174,853)</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(1,138)</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(61,113)</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668</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(60,444)</w:t>
            </w:r>
          </w:p>
        </w:tc>
      </w:tr>
      <w:tr>
        <w:trPr/>
        <w:tc>
          <w:tcPr>
            <w:tcW w:w="13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for the period</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(71,042)</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(71,042)</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(71,100)</w:t>
            </w:r>
          </w:p>
        </w:tc>
      </w:tr>
      <w:tr>
        <w:trPr/>
        <w:tc>
          <w:tcPr>
            <w:tcW w:w="13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c>
          <w:tcPr>
            <w:tcW w:w="34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w:t>
            </w:r>
          </w:p>
        </w:tc>
      </w:tr>
      <w:tr>
        <w:trPr/>
        <w:tc>
          <w:tcPr>
            <w:tcW w:w="139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comprehensive income (loss)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(71,042)</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(1,121)</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(72,163)</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(72,252)</w:t>
            </w:r>
          </w:p>
        </w:tc>
      </w:tr>
      <w:tr>
        <w:trPr/>
        <w:tc>
          <w:tcPr>
            <w:tcW w:w="13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Transactions with shareholder</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c>
          <w:tcPr>
            <w:tcW w:w="346" w:type="dxa"/>
            <w:tcBorders/>
            <w:shd w:fill="CCEEFF" w:val="clear"/>
            <w:vAlign w:val="center"/>
          </w:tcPr>
          <w:p>
            <w:pPr>
              <w:pStyle w:val="TableContents"/>
              <w:bidi w:val="0"/>
              <w:spacing w:before="0" w:after="0"/>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r>
      <w:tr>
        <w:trPr/>
        <w:tc>
          <w:tcPr>
            <w:tcW w:w="139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12/31/2025</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431</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114,980</w:t>
            </w:r>
          </w:p>
        </w:tc>
        <w:tc>
          <w:tcPr>
            <w:tcW w:w="34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(245,896)</w:t>
            </w:r>
          </w:p>
        </w:tc>
        <w:tc>
          <w:tcPr>
            <w:tcW w:w="34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(2,259)</w:t>
            </w:r>
          </w:p>
        </w:tc>
        <w:tc>
          <w:tcPr>
            <w:tcW w:w="346"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(132,744)</w:t>
            </w:r>
          </w:p>
        </w:tc>
        <w:tc>
          <w:tcPr>
            <w:tcW w:w="346" w:type="dxa"/>
            <w:tcBorders/>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579</w:t>
            </w:r>
          </w:p>
        </w:tc>
        <w:tc>
          <w:tcPr>
            <w:tcW w:w="346" w:type="dxa"/>
            <w:tcBorders/>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(132,165)</w:t>
            </w:r>
          </w:p>
        </w:tc>
      </w:tr>
    </w:tbl>
    <w:p>
      <w:pPr>
        <w:pStyle w:val="TextBody"/>
        <w:bidi w:val="0"/>
        <w:spacing w:before="0" w:after="0"/>
        <w:ind w:left="200" w:right="200" w:hanging="0"/>
        <w:jc w:val="left"/>
        <w:rPr/>
      </w:pPr>
      <w:r>
        <w:rPr/>
        <w:t>​</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sz w:val="20"/>
        </w:rPr>
      </w:pPr>
      <w:bookmarkStart w:id="509" w:name="ConsolidatedStatementsofCashFlows"/>
      <w:bookmarkStart w:id="510" w:name="_984338c4_5ae3_47de_8904_01aca0fb9b99"/>
      <w:bookmarkEnd w:id="509"/>
      <w:bookmarkEnd w:id="510"/>
      <w:r>
        <w:rPr>
          <w:rFonts w:ascii="Times New Roman;Times;serif" w:hAnsi="Times New Roman;Times;serif"/>
          <w:b/>
          <w:sz w:val="20"/>
        </w:rPr>
        <w:t>SCHMID </w:t>
      </w:r>
      <w:r>
        <w:rPr>
          <w:rFonts w:ascii="Times New Roman;Times;serif" w:hAnsi="Times New Roman;Times;serif"/>
          <w:spacing w:val="-4"/>
          <w:sz w:val="20"/>
        </w:rPr>
        <w:t>—</w:t>
      </w:r>
      <w:r>
        <w:rPr>
          <w:rFonts w:ascii="Times New Roman;Times;serif" w:hAnsi="Times New Roman;Times;serif"/>
          <w:sz w:val="20"/>
        </w:rPr>
        <w:t xml:space="preserve"> </w:t>
      </w:r>
      <w:r>
        <w:rPr>
          <w:rFonts w:ascii="Times New Roman;Times;serif" w:hAnsi="Times New Roman;Times;serif"/>
          <w:b/>
          <w:sz w:val="20"/>
        </w:rPr>
        <w:t xml:space="preserve">CONSOLIDATED STATEMENTS OF CASH FLOWS FOR THE YEARS ENDED </w:t>
        <w:br/>
        <w:t>DECEMBER 31, 2025, 2024 AND 2023</w:t>
      </w:r>
    </w:p>
    <w:p>
      <w:pPr>
        <w:pStyle w:val="TextBody"/>
        <w:bidi w:val="0"/>
        <w:spacing w:before="0" w:after="0"/>
        <w:ind w:left="200" w:right="200" w:hanging="0"/>
        <w:jc w:val="left"/>
        <w:rPr/>
      </w:pPr>
      <w:r>
        <w:rPr/>
        <w:t>​</w:t>
      </w:r>
    </w:p>
    <w:p>
      <w:pPr>
        <w:pStyle w:val="Normal"/>
        <w:bidi w:val="0"/>
        <w:spacing w:before="200" w:after="200"/>
        <w:ind w:left="200" w:right="200" w:hanging="0"/>
        <w:jc w:val="left"/>
        <w:rPr>
          <w:sz w:val="4"/>
          <w:szCs w:val="4"/>
        </w:rPr>
      </w:pPr>
      <w:r>
        <w:rPr>
          <w:sz w:val="4"/>
          <w:szCs w:val="4"/>
        </w:rPr>
      </w:r>
      <w:bookmarkStart w:id="511" w:name="Tc_Kpg2VSnMB0Wjjf1fPcW8bg_39_0"/>
      <w:bookmarkStart w:id="512" w:name="Tc_JKOiI6rAGkyPrTCguaAiXQ_38_0"/>
      <w:bookmarkStart w:id="513" w:name="Tc_-rqMu4V5IES5NXZR_1ts-Q_37_0"/>
      <w:bookmarkStart w:id="514" w:name="Tc__eX752TGYUOmgb31F_JYCw_36_0"/>
      <w:bookmarkStart w:id="515" w:name="Tc_l-KvLk_HNEW6D7eP6M_iVQ_35_0"/>
      <w:bookmarkStart w:id="516" w:name="Tc_EPe_tZ5lwk6AqOxK1M7UJg_34_6"/>
      <w:bookmarkStart w:id="517" w:name="Tc_S0ULq_2Ir0GLMjkvd4kuGQ_34_2"/>
      <w:bookmarkStart w:id="518" w:name="Tc_GOMq6w2dNE-o6lh9udvLzg_34_0"/>
      <w:bookmarkStart w:id="519" w:name="Tc_7yG4TRKk-EmXqh5KdSL7jQ_33_0"/>
      <w:bookmarkStart w:id="520" w:name="Tc_dJYUM-YhE0uBGK7xRvpilw_32_0"/>
      <w:bookmarkStart w:id="521" w:name="Tc_nta6NJ4Ro0e0JJR1cL8DFg_31_0"/>
      <w:bookmarkStart w:id="522" w:name="Tc_3JK-TZTEP0C8ydwlP9ODPQ_30_6"/>
      <w:bookmarkStart w:id="523" w:name="Tc_ff3Fd30I9USGD26wjK-d_A_30_2"/>
      <w:bookmarkStart w:id="524" w:name="Tc_th0A1Z6fgUqPQt13dc_CNg_30_0"/>
      <w:bookmarkStart w:id="525" w:name="Tc_vE3eZVb0AkOKdPkuQ-0-bg_29_0"/>
      <w:bookmarkStart w:id="526" w:name="Tc_AZdDkx80yEiN-9EVsGo9DQ_28_6"/>
      <w:bookmarkStart w:id="527" w:name="Tc_Gssu-aB0GEGhBN41k19-LA_28_0"/>
      <w:bookmarkStart w:id="528" w:name="Tc_LFhftTUE7kq7jbvzcw_NgA_27_0"/>
      <w:bookmarkStart w:id="529" w:name="Tc_2HXIHns8oU-1gkriwqoPZg_26_6"/>
      <w:bookmarkStart w:id="530" w:name="Tc_Il9f8HmhhkylmaV-6cyFuA_26_0"/>
      <w:bookmarkStart w:id="531" w:name="Tc_OE-1H_zKL0uvmu7mtFwvEQ_25_6"/>
      <w:bookmarkStart w:id="532" w:name="Tc_tG9FG8aGeUy2sH_XjijnXw_25_2"/>
      <w:bookmarkStart w:id="533" w:name="Tc_MxQa4Zq7e0ytmlMmM8ez5w_25_0"/>
      <w:bookmarkStart w:id="534" w:name="Tc_98WVj3WY9kO6gvA-zVc4xg_24_4"/>
      <w:bookmarkStart w:id="535" w:name="Tc_C-1hl68IZEahwIC5ANMKBA_24_2"/>
      <w:bookmarkStart w:id="536" w:name="Tc_0CIXvwvZlk2g1-hve1C0wQ_24_0"/>
      <w:bookmarkStart w:id="537" w:name="Tc_0uSg-BZA2k20Tn3SoOssBQ_23_6"/>
      <w:bookmarkStart w:id="538" w:name="Tc_t2Q2BPJQu02j_VLx1-XkUw_23_0"/>
      <w:bookmarkStart w:id="539" w:name="Tc_aOT9Lc-0OkudC93ABo7q1g_22_4"/>
      <w:bookmarkStart w:id="540" w:name="Tc_a-q8abXgfk2QYtcsZIQN7Q_22_2"/>
      <w:bookmarkStart w:id="541" w:name="Tc_CFmZkqj5d0eUcc-Cjv1Jgg_22_0"/>
      <w:bookmarkStart w:id="542" w:name="Tc_vPXolC4NE0SJ8aFbDJwy5g_21_0"/>
      <w:bookmarkStart w:id="543" w:name="Tc_Eugii-OmfEGbW4gpjRnI_A_20_0"/>
      <w:bookmarkStart w:id="544" w:name="Tc_owLFYPorz0OxwjH_OvhnnA_19_0"/>
      <w:bookmarkStart w:id="545" w:name="Tc_txGDTqsjZEOy4lSIycE0fQ_18_0"/>
      <w:bookmarkStart w:id="546" w:name="Tc_i0V4LA5lUkufF18hrCXw4w_17_0"/>
      <w:bookmarkStart w:id="547" w:name="Tc_1ZMMSnojkUyu6LGeXWHr1g_16_0"/>
      <w:bookmarkStart w:id="548" w:name="Tc_wIWvvyG-fUCF0u2ti1sIOg_15_0"/>
      <w:bookmarkStart w:id="549" w:name="Tc_DrkxaAKZBkqg0kHhtgaClQ_14_0"/>
      <w:bookmarkStart w:id="550" w:name="Tc_ovuXxeP1o0GCZ7DXXRwahA_13_6"/>
      <w:bookmarkStart w:id="551" w:name="Tc_K3LdOckM_kS7JdZTE4dQdQ_13_4"/>
      <w:bookmarkStart w:id="552" w:name="Tc_50VoWeLXOUu9sf4y4hPFvw_13_0"/>
      <w:bookmarkStart w:id="553" w:name="Tc_Vbm4u1GDt0GpLOxAXsIouA_12_6"/>
      <w:bookmarkStart w:id="554" w:name="Tc_mWWbe7VfHE-Dv4ybtB7ylw_12_2"/>
      <w:bookmarkStart w:id="555" w:name="Tc_wINx8RWf-UeI01WUJyk6HA_12_0"/>
      <w:bookmarkStart w:id="556" w:name="Tc__wvYeHzou0S7gPN6Jia2qA_11_6"/>
      <w:bookmarkStart w:id="557" w:name="Tc_pgfbEFZOUUuQVEVYAjuEMw_11_4"/>
      <w:bookmarkStart w:id="558" w:name="Tc_JygsRFeWckyRL4A1WvFgjg_11_0"/>
      <w:bookmarkStart w:id="559" w:name="Tc_G4lHLxpXUE6ZUbW7MHOfIg_10_6"/>
      <w:bookmarkStart w:id="560" w:name="Tc_rDcjun8zc0GannzQA5oe2g_10_4"/>
      <w:bookmarkStart w:id="561" w:name="Tc_kXYbG1pHi0GixNW6fzbKMA_10_0"/>
      <w:bookmarkStart w:id="562" w:name="Tc_lyhXt_u0Hk2LtskQGnTozg_9_0"/>
      <w:bookmarkStart w:id="563" w:name="Tc_6_NwdCLAAkKMJhUSsew1jw_8_2"/>
      <w:bookmarkStart w:id="564" w:name="Tc_qXIKT1jQ0Uey61k8qVbjeg_8_0"/>
      <w:bookmarkStart w:id="565" w:name="Tc_GoT6wo5SqU2kVr1Fls5Qww_7_0"/>
      <w:bookmarkStart w:id="566" w:name="Tc_it7aAz2nSEOMmRyVPswlXA_6_0"/>
      <w:bookmarkStart w:id="567" w:name="Tc_VpvdVuEhAUWSgXTacloDGA_5_0"/>
      <w:bookmarkStart w:id="568" w:name="Tc_h2QPKziuI0WSGa6ceHAiwQ_4_0"/>
      <w:bookmarkStart w:id="569" w:name="Tc_W7YVQLbFhEWZwaiOtERAdQ_3_0"/>
      <w:bookmarkStart w:id="570" w:name="Tc_AJXucgglWECAE7nRCLULxA_2_0"/>
      <w:bookmarkStart w:id="571" w:name="Tc_Iib6RmuDG0SDLquWmV8EEg_1_6"/>
      <w:bookmarkStart w:id="572" w:name="Tc_2QYOH-PwHEmGHZu2E2SDCQ_1_4"/>
      <w:bookmarkStart w:id="573" w:name="Tc_hvEbHcsIg0qnJGJSHk9PRw_1_2"/>
      <w:bookmarkStart w:id="574" w:name="Tc_FNLCn1TxKkSb7USRISnxIA_1_0"/>
      <w:bookmarkStart w:id="575" w:name="_f444f40a_b1ed_4783_b062_c0bf7e4cc148"/>
      <w:bookmarkStart w:id="576" w:name="Tc_Kpg2VSnMB0Wjjf1fPcW8bg_39_0"/>
      <w:bookmarkStart w:id="577" w:name="Tc_JKOiI6rAGkyPrTCguaAiXQ_38_0"/>
      <w:bookmarkStart w:id="578" w:name="Tc_-rqMu4V5IES5NXZR_1ts-Q_37_0"/>
      <w:bookmarkStart w:id="579" w:name="Tc__eX752TGYUOmgb31F_JYCw_36_0"/>
      <w:bookmarkStart w:id="580" w:name="Tc_l-KvLk_HNEW6D7eP6M_iVQ_35_0"/>
      <w:bookmarkStart w:id="581" w:name="Tc_EPe_tZ5lwk6AqOxK1M7UJg_34_6"/>
      <w:bookmarkStart w:id="582" w:name="Tc_S0ULq_2Ir0GLMjkvd4kuGQ_34_2"/>
      <w:bookmarkStart w:id="583" w:name="Tc_GOMq6w2dNE-o6lh9udvLzg_34_0"/>
      <w:bookmarkStart w:id="584" w:name="Tc_7yG4TRKk-EmXqh5KdSL7jQ_33_0"/>
      <w:bookmarkStart w:id="585" w:name="Tc_dJYUM-YhE0uBGK7xRvpilw_32_0"/>
      <w:bookmarkStart w:id="586" w:name="Tc_nta6NJ4Ro0e0JJR1cL8DFg_31_0"/>
      <w:bookmarkStart w:id="587" w:name="Tc_3JK-TZTEP0C8ydwlP9ODPQ_30_6"/>
      <w:bookmarkStart w:id="588" w:name="Tc_ff3Fd30I9USGD26wjK-d_A_30_2"/>
      <w:bookmarkStart w:id="589" w:name="Tc_th0A1Z6fgUqPQt13dc_CNg_30_0"/>
      <w:bookmarkStart w:id="590" w:name="Tc_vE3eZVb0AkOKdPkuQ-0-bg_29_0"/>
      <w:bookmarkStart w:id="591" w:name="Tc_AZdDkx80yEiN-9EVsGo9DQ_28_6"/>
      <w:bookmarkStart w:id="592" w:name="Tc_Gssu-aB0GEGhBN41k19-LA_28_0"/>
      <w:bookmarkStart w:id="593" w:name="Tc_LFhftTUE7kq7jbvzcw_NgA_27_0"/>
      <w:bookmarkStart w:id="594" w:name="Tc_2HXIHns8oU-1gkriwqoPZg_26_6"/>
      <w:bookmarkStart w:id="595" w:name="Tc_Il9f8HmhhkylmaV-6cyFuA_26_0"/>
      <w:bookmarkStart w:id="596" w:name="Tc_OE-1H_zKL0uvmu7mtFwvEQ_25_6"/>
      <w:bookmarkStart w:id="597" w:name="Tc_tG9FG8aGeUy2sH_XjijnXw_25_2"/>
      <w:bookmarkStart w:id="598" w:name="Tc_MxQa4Zq7e0ytmlMmM8ez5w_25_0"/>
      <w:bookmarkStart w:id="599" w:name="Tc_98WVj3WY9kO6gvA-zVc4xg_24_4"/>
      <w:bookmarkStart w:id="600" w:name="Tc_C-1hl68IZEahwIC5ANMKBA_24_2"/>
      <w:bookmarkStart w:id="601" w:name="Tc_0CIXvwvZlk2g1-hve1C0wQ_24_0"/>
      <w:bookmarkStart w:id="602" w:name="Tc_0uSg-BZA2k20Tn3SoOssBQ_23_6"/>
      <w:bookmarkStart w:id="603" w:name="Tc_t2Q2BPJQu02j_VLx1-XkUw_23_0"/>
      <w:bookmarkStart w:id="604" w:name="Tc_aOT9Lc-0OkudC93ABo7q1g_22_4"/>
      <w:bookmarkStart w:id="605" w:name="Tc_a-q8abXgfk2QYtcsZIQN7Q_22_2"/>
      <w:bookmarkStart w:id="606" w:name="Tc_CFmZkqj5d0eUcc-Cjv1Jgg_22_0"/>
      <w:bookmarkStart w:id="607" w:name="Tc_vPXolC4NE0SJ8aFbDJwy5g_21_0"/>
      <w:bookmarkStart w:id="608" w:name="Tc_Eugii-OmfEGbW4gpjRnI_A_20_0"/>
      <w:bookmarkStart w:id="609" w:name="Tc_owLFYPorz0OxwjH_OvhnnA_19_0"/>
      <w:bookmarkStart w:id="610" w:name="Tc_txGDTqsjZEOy4lSIycE0fQ_18_0"/>
      <w:bookmarkStart w:id="611" w:name="Tc_i0V4LA5lUkufF18hrCXw4w_17_0"/>
      <w:bookmarkStart w:id="612" w:name="Tc_1ZMMSnojkUyu6LGeXWHr1g_16_0"/>
      <w:bookmarkStart w:id="613" w:name="Tc_wIWvvyG-fUCF0u2ti1sIOg_15_0"/>
      <w:bookmarkStart w:id="614" w:name="Tc_DrkxaAKZBkqg0kHhtgaClQ_14_0"/>
      <w:bookmarkStart w:id="615" w:name="Tc_ovuXxeP1o0GCZ7DXXRwahA_13_6"/>
      <w:bookmarkStart w:id="616" w:name="Tc_K3LdOckM_kS7JdZTE4dQdQ_13_4"/>
      <w:bookmarkStart w:id="617" w:name="Tc_50VoWeLXOUu9sf4y4hPFvw_13_0"/>
      <w:bookmarkStart w:id="618" w:name="Tc_Vbm4u1GDt0GpLOxAXsIouA_12_6"/>
      <w:bookmarkStart w:id="619" w:name="Tc_mWWbe7VfHE-Dv4ybtB7ylw_12_2"/>
      <w:bookmarkStart w:id="620" w:name="Tc_wINx8RWf-UeI01WUJyk6HA_12_0"/>
      <w:bookmarkStart w:id="621" w:name="Tc__wvYeHzou0S7gPN6Jia2qA_11_6"/>
      <w:bookmarkStart w:id="622" w:name="Tc_pgfbEFZOUUuQVEVYAjuEMw_11_4"/>
      <w:bookmarkStart w:id="623" w:name="Tc_JygsRFeWckyRL4A1WvFgjg_11_0"/>
      <w:bookmarkStart w:id="624" w:name="Tc_G4lHLxpXUE6ZUbW7MHOfIg_10_6"/>
      <w:bookmarkStart w:id="625" w:name="Tc_rDcjun8zc0GannzQA5oe2g_10_4"/>
      <w:bookmarkStart w:id="626" w:name="Tc_kXYbG1pHi0GixNW6fzbKMA_10_0"/>
      <w:bookmarkStart w:id="627" w:name="Tc_lyhXt_u0Hk2LtskQGnTozg_9_0"/>
      <w:bookmarkStart w:id="628" w:name="Tc_6_NwdCLAAkKMJhUSsew1jw_8_2"/>
      <w:bookmarkStart w:id="629" w:name="Tc_qXIKT1jQ0Uey61k8qVbjeg_8_0"/>
      <w:bookmarkStart w:id="630" w:name="Tc_GoT6wo5SqU2kVr1Fls5Qww_7_0"/>
      <w:bookmarkStart w:id="631" w:name="Tc_it7aAz2nSEOMmRyVPswlXA_6_0"/>
      <w:bookmarkStart w:id="632" w:name="Tc_VpvdVuEhAUWSgXTacloDGA_5_0"/>
      <w:bookmarkStart w:id="633" w:name="Tc_h2QPKziuI0WSGa6ceHAiwQ_4_0"/>
      <w:bookmarkStart w:id="634" w:name="Tc_W7YVQLbFhEWZwaiOtERAdQ_3_0"/>
      <w:bookmarkStart w:id="635" w:name="Tc_AJXucgglWECAE7nRCLULxA_2_0"/>
      <w:bookmarkStart w:id="636" w:name="Tc_Iib6RmuDG0SDLquWmV8EEg_1_6"/>
      <w:bookmarkStart w:id="637" w:name="Tc_2QYOH-PwHEmGHZu2E2SDCQ_1_4"/>
      <w:bookmarkStart w:id="638" w:name="Tc_hvEbHcsIg0qnJGJSHk9PRw_1_2"/>
      <w:bookmarkStart w:id="639" w:name="Tc_FNLCn1TxKkSb7USRISnxIA_1_0"/>
      <w:bookmarkStart w:id="640" w:name="_f444f40a_b1ed_4783_b062_c0bf7e4cc148"/>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tbl>
      <w:tblPr>
        <w:tblW w:w="9187" w:type="dxa"/>
        <w:jc w:val="left"/>
        <w:tblInd w:w="200" w:type="dxa"/>
        <w:tblLayout w:type="fixed"/>
        <w:tblCellMar>
          <w:top w:w="0" w:type="dxa"/>
          <w:left w:w="0" w:type="dxa"/>
          <w:bottom w:w="0" w:type="dxa"/>
          <w:right w:w="0" w:type="dxa"/>
        </w:tblCellMar>
      </w:tblPr>
      <w:tblGrid>
        <w:gridCol w:w="5716"/>
        <w:gridCol w:w="346"/>
        <w:gridCol w:w="796"/>
        <w:gridCol w:w="346"/>
        <w:gridCol w:w="796"/>
        <w:gridCol w:w="346"/>
        <w:gridCol w:w="841"/>
      </w:tblGrid>
      <w:tr>
        <w:trPr/>
        <w:tc>
          <w:tcPr>
            <w:tcW w:w="57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ind w:left="0" w:right="0" w:hanging="0"/>
              <w:jc w:val="left"/>
              <w:rPr>
                <w:sz w:val="4"/>
                <w:szCs w:val="4"/>
              </w:rPr>
            </w:pPr>
            <w:r>
              <w:rPr>
                <w:sz w:val="4"/>
                <w:szCs w:val="4"/>
              </w:rPr>
            </w:r>
          </w:p>
        </w:tc>
      </w:tr>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3629660" cy="175260"/>
                      <wp:effectExtent l="0" t="0" r="0" b="0"/>
                      <wp:wrapNone/>
                      <wp:docPr id="109" name="Frame107"/>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0"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05460" cy="175260"/>
                      <wp:effectExtent l="0" t="0" r="0" b="0"/>
                      <wp:wrapNone/>
                      <wp:docPr id="111" name="Frame10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2"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05460" cy="175260"/>
                      <wp:effectExtent l="0" t="0" r="0" b="0"/>
                      <wp:wrapNone/>
                      <wp:docPr id="113" name="Frame11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4"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34035" cy="175260"/>
                      <wp:effectExtent l="0" t="0" r="0" b="0"/>
                      <wp:wrapNone/>
                      <wp:docPr id="115" name="Frame11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from continued operations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(71,100)</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(84,104)</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37,954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consolidated net income (loss) to net cash</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result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72,178</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3,824</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4,824</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7,923</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(gain) from the disposal of intangibles and PP&amp;E</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Reversal of impairments of financial assets, net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(22,696)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non-cash (income) expenses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equity method investments (non-cash)</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non-current financial assets (non-cash)</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(8,478)</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Listing expense</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71,631</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effects</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(3,447)</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Working capital adjustments: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trade and other receivables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3,704</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(3,580)</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inventories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(1,967)</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trade and related party payables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9,982</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5,086</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provisions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received (paid), net</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4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(1,161)</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provided by (used in)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1,250</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(2,578)</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9,897</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intangible assets and property, plant and equipment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(6,357)</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(5,111)</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Receipts from sale and leaseback transaction</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(purchases) of financial assets, net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for loan to shareholder</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70,000</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disposal of a subsidiary</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received</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used in (provided by) investing activities</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(6,227)</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(4,054)</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72,019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debt financing</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7,572</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3,145</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for debt financing</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(2,296)</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(81,871)</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business combination</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14,443</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lease liabilities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paid</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restricted cash</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with minority shareholder</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(10,939)</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(used in) provided by financing activities</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2,923</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3,959</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(83,714)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increase (decrease) in cash and 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(2,055)</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(2,673)</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(1,798)</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 changes on cash and cash equivalents</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at the beginning of the period</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3,791</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5,710</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8,332</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at the end of the period</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1,574</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3,791</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5,710</w:t>
            </w:r>
          </w:p>
        </w:tc>
      </w:tr>
    </w:tbl>
    <w:p>
      <w:pPr>
        <w:pStyle w:val="TextBody"/>
        <w:bidi w:val="0"/>
        <w:spacing w:before="0" w:after="0"/>
        <w:ind w:left="200" w:right="200" w:hanging="0"/>
        <w:jc w:val="left"/>
        <w:rPr/>
      </w:pPr>
      <w:r>
        <w:rPr/>
        <w:t>​</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bookmarkStart w:id="641" w:name="a1BUSINESSDESCRIPTION_360801"/>
      <w:bookmarkEnd w:id="641"/>
      <w:r>
        <w:rPr>
          <w:rFonts w:ascii="Times New Roman;Times;serif" w:hAnsi="Times New Roman;Times;serif"/>
          <w:b/>
          <w:i w:val="false"/>
          <w:caps w:val="false"/>
          <w:smallCaps w:val="false"/>
          <w:sz w:val="20"/>
        </w:rPr>
        <w:t>1.</w:t>
      </w:r>
      <w:r>
        <w:rPr>
          <w:rFonts w:ascii="Times New Roman;Times;serif" w:hAnsi="Times New Roman;Times;serif"/>
          <w:b/>
          <w:sz w:val="20"/>
        </w:rPr>
        <w:t>BUSINESS DESCRIPTION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SCHMID Group N.V. (“SCHMID N.V.”) together with its subsidiary, Gebr. SCHMID GmbH (“SCHMID GmbH”) and its subsidiaries (“the Company” or “SCHMID”) is a global supplier of equipment and services for various industries such as printed circuit boards (“PCB”), substrate manufacturing, photovoltaics, and glass and energy storage with a focus on the highest end of this market in terms of technology and performance including automation, wet processes (horizontal, vertical and single panel) and vacuum processes. This includes developing production techniques and building machines as well as extensive work with customers on development projects. SCHMID is also providing customer service through which customers are assisted with upgrades, spare parts, logistics, customer training in multiple languages, on-site management, maintenance contracts and project management.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SCHMID Group N.V. is registered under the Dutch trade register number 89188276. The address of the registered office is Robert-Bosch-Str. 32-36, 72250 Freudenstadt, Germany. SCHMID located in Freudenstadt, Germany, was founded in 1864. SCHMID employs over 700 employees worldwide. Manufacturing sites are located in Germany and China. SCHMID products are distributed worldwide by the Company directly and by external trading partners. The customers of SCHMID include well-known companies from the hardware and software technology sector, the electronics industry and the photovoltaic industry, which are located worldwide.</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Research and development is a crucial factor for SCHMID’s business success. The majority of research work and the development of SCHMID technologies are conducted in Freudenstadt.</w:t>
      </w:r>
    </w:p>
    <w:p>
      <w:pPr>
        <w:pStyle w:val="TextBody"/>
        <w:bidi w:val="0"/>
        <w:spacing w:before="0" w:after="240"/>
        <w:ind w:left="200" w:right="200" w:hanging="0"/>
        <w:jc w:val="both"/>
        <w:rPr/>
      </w:pPr>
      <w:r>
        <w:rPr/>
        <w:t>​</w:t>
      </w:r>
    </w:p>
    <w:p>
      <w:pPr>
        <w:pStyle w:val="TextBody"/>
        <w:bidi w:val="0"/>
        <w:spacing w:before="0" w:after="240"/>
        <w:ind w:left="200" w:right="200" w:hanging="0"/>
        <w:jc w:val="left"/>
        <w:rPr>
          <w:rFonts w:ascii="Times New Roman;Times;serif" w:hAnsi="Times New Roman;Times;serif"/>
          <w:b/>
          <w:sz w:val="20"/>
        </w:rPr>
      </w:pPr>
      <w:bookmarkStart w:id="642" w:name="Tc_1XplQeRtdU6sAzj5W1NMYA_21_7"/>
      <w:bookmarkStart w:id="643" w:name="Tc_XHkdZU-0AUO_uPGQ_JJZgQ_21_5"/>
      <w:bookmarkStart w:id="644" w:name="Tc_0LjmLldAqEaCRgULaeGDkA_20_7"/>
      <w:bookmarkStart w:id="645" w:name="Tc_gSYEbSNZukSe9yV1Kxt0SQ_20_5"/>
      <w:bookmarkStart w:id="646" w:name="Tc_wFVAMelsiUulF6-HaE6Ojw_19_0"/>
      <w:bookmarkStart w:id="647" w:name="Tc_FDwhjsJZtkmXe5R5kA6ADQ_18_7"/>
      <w:bookmarkStart w:id="648" w:name="Tc_fQDEWBetGk6anpxPEkzOow_18_5"/>
      <w:bookmarkStart w:id="649" w:name="Tc_Rg9i381ILUiIGvEonMU19Q_17_7"/>
      <w:bookmarkStart w:id="650" w:name="Tc_6zEygih260mGeW2rev0s6w_17_5"/>
      <w:bookmarkStart w:id="651" w:name="Tc_2tlMi6UDk06PuUiLRjTzaw_16_7"/>
      <w:bookmarkStart w:id="652" w:name="Tc_ctLY6SP7vUS4Z3wVDNm_Xw_16_5"/>
      <w:bookmarkStart w:id="653" w:name="Tc_BiO_OoY_x06PZjlp6WRR9g_15_7"/>
      <w:bookmarkStart w:id="654" w:name="Tc_Rtp7ziAECEOunPc-n3u8Lg_15_5"/>
      <w:bookmarkStart w:id="655" w:name="Tc_UMdgEkzS-ESyPgeHuACfEw_14_7"/>
      <w:bookmarkStart w:id="656" w:name="Tc_fCJiNZ_vLEm17nENSKCg1Q_14_5"/>
      <w:bookmarkStart w:id="657" w:name="Tc_l7mGVKAFfki-tNlRCUA5xg_13_7"/>
      <w:bookmarkStart w:id="658" w:name="Tc_OpT8ZxIy5Uq0thQGV-paOw_13_5"/>
      <w:bookmarkStart w:id="659" w:name="Tc_bpQqc0iMrkaWu4qMLQBVZw_12_7"/>
      <w:bookmarkStart w:id="660" w:name="Tc__OX8OHC9h0OR-PZ0XshP3Q_12_5"/>
      <w:bookmarkStart w:id="661" w:name="Tc_XNo4IhgTtUOkfkApI0TBkg_11_7"/>
      <w:bookmarkStart w:id="662" w:name="Tc_ieI6_K6NikquE5iiz_J8JA_11_5"/>
      <w:bookmarkStart w:id="663" w:name="Tc_sil70KG0bk2XypsXMrHSaw_11_4"/>
      <w:bookmarkStart w:id="664" w:name="Tc_QBV5VG2sekifOmxuFiTK3Q_10_7"/>
      <w:bookmarkStart w:id="665" w:name="Tc_v8Kwq2rGuEeu8owm94fbew_10_5"/>
      <w:bookmarkStart w:id="666" w:name="Tc_fd1xXZPl00alIA4vl3v6IQ_9_7"/>
      <w:bookmarkStart w:id="667" w:name="Tc_vvXlS0xBiU2qNCeuOkIpfw_9_5"/>
      <w:bookmarkStart w:id="668" w:name="Tc_PHfVfEc-GUK1L2CqVZzMjQ_8_7"/>
      <w:bookmarkStart w:id="669" w:name="Tc_txvMW6KNPk2llN3t7GlSdQ_8_5"/>
      <w:bookmarkStart w:id="670" w:name="Tc_9AY42hFFD0eeksetFskZaQ_7_7"/>
      <w:bookmarkStart w:id="671" w:name="Tc_WA4zqKXlGU-P26Z8GxbufA_7_5"/>
      <w:bookmarkStart w:id="672" w:name="Tc_iMQ4gbs1gEOM14YOxidoDA_6_7"/>
      <w:bookmarkStart w:id="673" w:name="Tc_MyiJnRzKbUOetP0TUTRcPg_6_5"/>
      <w:bookmarkStart w:id="674" w:name="Tc_jmxO0RxfIEOHUiwhb32LDA_5_7"/>
      <w:bookmarkStart w:id="675" w:name="Tc_Ezmb7GUHZ0ut-zCcLioIPw_5_5"/>
      <w:bookmarkStart w:id="676" w:name="Tc_6_-LN1awvE2tBO4ukIlCrA_4_7"/>
      <w:bookmarkStart w:id="677" w:name="Tc_kg5pe7F05UGYNl7YloT_SA_4_5"/>
      <w:bookmarkStart w:id="678" w:name="Tc_GOWjPGq-1UuGiFJRnjTNSQ_3_7"/>
      <w:bookmarkStart w:id="679" w:name="Tc_cfNiKikq3Eu_QDyKkplEtw_3_6"/>
      <w:bookmarkStart w:id="680" w:name="Tc_5KVxUfGud0-lapu2L_wGJg_3_5"/>
      <w:bookmarkStart w:id="681" w:name="Tc_Eau7C7Qs2EaYpgM9SFitcg_3_4"/>
      <w:bookmarkStart w:id="682" w:name="Tc_wYDlYtkXEki9mbGEs5sTLg_2_6"/>
      <w:bookmarkStart w:id="683" w:name="Tc_PvEnjV1-ZkOMfwr4nqZevg_2_4"/>
      <w:bookmarkStart w:id="684" w:name="Tc_MsM-ee2DtEG6V9xNKh44WA_2_2"/>
      <w:bookmarkStart w:id="685" w:name="Tc_TJOwWD3YHUW42AwoFhUM4w_2_0"/>
      <w:bookmarkStart w:id="686" w:name="Tc_y0k71Mi7ukKaGHYRaPGm6A_1_2"/>
      <w:bookmarkStart w:id="687" w:name="_803e68f3_8e51_4d32_aee5_ed24e2411093"/>
      <w:bookmarkStart w:id="688" w:name="a2BASISOFPRESENTATION_368078"/>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r>
        <w:rPr>
          <w:rFonts w:ascii="Times New Roman;Times;serif" w:hAnsi="Times New Roman;Times;serif"/>
          <w:b/>
          <w:i w:val="false"/>
          <w:caps w:val="false"/>
          <w:smallCaps w:val="false"/>
          <w:sz w:val="20"/>
        </w:rPr>
        <w:t>2.</w:t>
      </w:r>
      <w:r>
        <w:rPr>
          <w:rFonts w:ascii="Times New Roman;Times;serif" w:hAnsi="Times New Roman;Times;serif"/>
          <w:b/>
          <w:sz w:val="20"/>
        </w:rPr>
        <w:t>BASIS OF PRESENTATION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financial statements as of and for the years ended December 31, 2025 and 2024 have been prepared on a consolidated basis.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These consolidated financial statements have been prepared on a going concern basis in conformity with International Financial Reporting Standards (“IFRS Accounting Standards”), as issued by the International Accounting Standards Board (“IASB”).</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legal entities which comprise the consolidated financial statements and its investments in joint ventures accounted for using the equity method are as follows:</w:t>
      </w:r>
    </w:p>
    <w:p>
      <w:pPr>
        <w:pStyle w:val="TextBody"/>
        <w:bidi w:val="0"/>
        <w:spacing w:before="0" w:after="240"/>
        <w:ind w:left="200" w:right="200" w:hanging="0"/>
        <w:jc w:val="both"/>
        <w:rPr/>
      </w:pPr>
      <w:r>
        <w:rPr/>
        <w:t>​</w:t>
      </w:r>
    </w:p>
    <w:tbl>
      <w:tblPr>
        <w:tblW w:w="8423" w:type="dxa"/>
        <w:jc w:val="left"/>
        <w:tblInd w:w="200" w:type="dxa"/>
        <w:tblLayout w:type="fixed"/>
        <w:tblCellMar>
          <w:top w:w="0" w:type="dxa"/>
          <w:left w:w="0" w:type="dxa"/>
          <w:bottom w:w="0" w:type="dxa"/>
          <w:right w:w="0" w:type="dxa"/>
        </w:tblCellMar>
      </w:tblPr>
      <w:tblGrid>
        <w:gridCol w:w="3826"/>
        <w:gridCol w:w="346"/>
        <w:gridCol w:w="1396"/>
        <w:gridCol w:w="346"/>
        <w:gridCol w:w="916"/>
        <w:gridCol w:w="361"/>
        <w:gridCol w:w="916"/>
        <w:gridCol w:w="316"/>
      </w:tblGrid>
      <w:tr>
        <w:trPr/>
        <w:tc>
          <w:tcPr>
            <w:tcW w:w="3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429510" cy="175260"/>
                      <wp:effectExtent l="0" t="0" r="0" b="0"/>
                      <wp:wrapNone/>
                      <wp:docPr id="116" name="Frame114"/>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17"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886460" cy="175260"/>
                      <wp:effectExtent l="0" t="0" r="0" b="0"/>
                      <wp:wrapNone/>
                      <wp:docPr id="118" name="Frame116"/>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19"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81660" cy="175260"/>
                      <wp:effectExtent l="0" t="0" r="0" b="0"/>
                      <wp:wrapNone/>
                      <wp:docPr id="120" name="Frame11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29235" cy="175260"/>
                      <wp:effectExtent l="0" t="0" r="0" b="0"/>
                      <wp:wrapNone/>
                      <wp:docPr id="121" name="Frame11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81660" cy="175260"/>
                      <wp:effectExtent l="0" t="0" r="0" b="0"/>
                      <wp:wrapNone/>
                      <wp:docPr id="122" name="Frame12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0660" cy="175260"/>
                      <wp:effectExtent l="0" t="0" r="0" b="0"/>
                      <wp:wrapNone/>
                      <wp:docPr id="123" name="Frame12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Country of</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38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center"/>
              <w:rPr/>
            </w:pPr>
            <w:r>
              <w:rPr/>
              <w:t>  ​ ​ ​</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w:t>
            </w:r>
          </w:p>
        </w:tc>
        <w:tc>
          <w:tcPr>
            <w:tcW w:w="346" w:type="dxa"/>
            <w:tcBorders/>
            <w:vAlign w:val="center"/>
          </w:tcPr>
          <w:p>
            <w:pPr>
              <w:pStyle w:val="TableContents"/>
              <w:bidi w:val="0"/>
              <w:spacing w:before="0" w:after="0"/>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12/31/2025</w:t>
            </w:r>
          </w:p>
        </w:tc>
        <w:tc>
          <w:tcPr>
            <w:tcW w:w="361" w:type="dxa"/>
            <w:tcBorders/>
            <w:vAlign w:val="center"/>
          </w:tcPr>
          <w:p>
            <w:pPr>
              <w:pStyle w:val="TableContents"/>
              <w:bidi w:val="0"/>
              <w:spacing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12/31/2024</w:t>
            </w:r>
          </w:p>
        </w:tc>
        <w:tc>
          <w:tcPr>
            <w:tcW w:w="316" w:type="dxa"/>
            <w:tcBorders/>
            <w:vAlign w:val="center"/>
          </w:tcPr>
          <w:p>
            <w:pPr>
              <w:pStyle w:val="TableContents"/>
              <w:bidi w:val="0"/>
              <w:spacing w:before="0" w:after="0"/>
              <w:ind w:left="0" w:right="0" w:hanging="0"/>
              <w:jc w:val="center"/>
              <w:rPr/>
            </w:pPr>
            <w:r>
              <w:rPr/>
              <w:t> </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Group N.V.</w:t>
            </w:r>
          </w:p>
        </w:tc>
        <w:tc>
          <w:tcPr>
            <w:tcW w:w="346" w:type="dxa"/>
            <w:tcBorders/>
            <w:shd w:fill="CCEEFF" w:val="clear"/>
            <w:vAlign w:val="center"/>
          </w:tcPr>
          <w:p>
            <w:pPr>
              <w:pStyle w:val="TableContents"/>
              <w:bidi w:val="0"/>
              <w:spacing w:before="0" w:after="0"/>
              <w:ind w:left="0" w:right="0" w:hanging="0"/>
              <w:jc w:val="center"/>
              <w:rPr/>
            </w:pPr>
            <w:r>
              <w:rPr/>
              <w:t>​</w:t>
            </w:r>
          </w:p>
        </w:tc>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Netherlands</w:t>
            </w:r>
          </w:p>
        </w:tc>
        <w:tc>
          <w:tcPr>
            <w:tcW w:w="34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Gebr. SCHMID GmbH</w:t>
            </w:r>
          </w:p>
        </w:tc>
        <w:tc>
          <w:tcPr>
            <w:tcW w:w="346"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Systems, Inc.</w:t>
            </w:r>
          </w:p>
        </w:tc>
        <w:tc>
          <w:tcPr>
            <w:tcW w:w="346"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USA</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Singapore Pte. Ltd.</w:t>
            </w:r>
          </w:p>
        </w:tc>
        <w:tc>
          <w:tcPr>
            <w:tcW w:w="346"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Singapore</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Korea Co., Ltd</w:t>
            </w:r>
          </w:p>
        </w:tc>
        <w:tc>
          <w:tcPr>
            <w:tcW w:w="346"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 Korea</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Asia Ltd.</w:t>
            </w:r>
          </w:p>
        </w:tc>
        <w:tc>
          <w:tcPr>
            <w:tcW w:w="346"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SCHMID Technology Guangdong Co., Ltd.</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China Ltd.</w:t>
            </w:r>
          </w:p>
        </w:tc>
        <w:tc>
          <w:tcPr>
            <w:tcW w:w="346"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SCHMID Shenzhen Ltd.</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(Kunshan) Co., Ltd.</w:t>
            </w:r>
          </w:p>
        </w:tc>
        <w:tc>
          <w:tcPr>
            <w:tcW w:w="346"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Taiwan Ltd.</w:t>
            </w:r>
          </w:p>
        </w:tc>
        <w:tc>
          <w:tcPr>
            <w:tcW w:w="346"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Taiwan</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Automation (Zhuhai) Co., Ltd.</w:t>
            </w:r>
          </w:p>
        </w:tc>
        <w:tc>
          <w:tcPr>
            <w:tcW w:w="346"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Solar (Shenzhen) Ltd. 2)</w:t>
            </w:r>
          </w:p>
        </w:tc>
        <w:tc>
          <w:tcPr>
            <w:tcW w:w="346"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Trading (Zhongshan) Co. Ltd.</w:t>
            </w:r>
          </w:p>
        </w:tc>
        <w:tc>
          <w:tcPr>
            <w:tcW w:w="346"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Pegasus Digital Mobility Acquisition Corp.</w:t>
            </w:r>
          </w:p>
        </w:tc>
        <w:tc>
          <w:tcPr>
            <w:tcW w:w="346" w:type="dxa"/>
            <w:tcBorders/>
            <w:shd w:fill="CCEEFF" w:val="clear"/>
            <w:vAlign w:val="center"/>
          </w:tcPr>
          <w:p>
            <w:pPr>
              <w:pStyle w:val="TableContents"/>
              <w:bidi w:val="0"/>
              <w:spacing w:before="0" w:after="0"/>
              <w:ind w:left="0" w:right="0" w:hanging="0"/>
              <w:jc w:val="left"/>
              <w:rPr/>
            </w:pPr>
            <w:r>
              <w:rPr/>
              <w:t>​</w:t>
            </w:r>
          </w:p>
        </w:tc>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Cayman Islands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Asia Pacific Sdn. Bhd</w:t>
            </w:r>
          </w:p>
        </w:tc>
        <w:tc>
          <w:tcPr>
            <w:tcW w:w="34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Malaysia</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method investees</w:t>
            </w:r>
          </w:p>
        </w:tc>
        <w:tc>
          <w:tcPr>
            <w:tcW w:w="346"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Avaco Korea, Co. Ltd.</w:t>
            </w:r>
          </w:p>
        </w:tc>
        <w:tc>
          <w:tcPr>
            <w:tcW w:w="34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 Korea</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Energy Systems GmbH (SES)</w:t>
            </w:r>
          </w:p>
        </w:tc>
        <w:tc>
          <w:tcPr>
            <w:tcW w:w="346"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7757" w:type="dxa"/>
        <w:jc w:val="left"/>
        <w:tblInd w:w="200" w:type="dxa"/>
        <w:tblLayout w:type="fixed"/>
        <w:tblCellMar>
          <w:top w:w="0" w:type="dxa"/>
          <w:left w:w="0" w:type="dxa"/>
          <w:bottom w:w="0" w:type="dxa"/>
          <w:right w:w="0" w:type="dxa"/>
        </w:tblCellMar>
      </w:tblPr>
      <w:tblGrid>
        <w:gridCol w:w="346"/>
        <w:gridCol w:w="7411"/>
      </w:tblGrid>
      <w:tr>
        <w:trPr/>
        <w:tc>
          <w:tcPr>
            <w:tcW w:w="34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74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Legal transfer of the remaining minority shares not yet executed as of December 31, 2025.</w:t>
            </w:r>
          </w:p>
        </w:tc>
      </w:tr>
    </w:tbl>
    <w:tbl>
      <w:tblPr>
        <w:tblW w:w="9557" w:type="dxa"/>
        <w:jc w:val="left"/>
        <w:tblInd w:w="200" w:type="dxa"/>
        <w:tblLayout w:type="fixed"/>
        <w:tblCellMar>
          <w:top w:w="0" w:type="dxa"/>
          <w:left w:w="0" w:type="dxa"/>
          <w:bottom w:w="0" w:type="dxa"/>
          <w:right w:w="0" w:type="dxa"/>
        </w:tblCellMar>
      </w:tblPr>
      <w:tblGrid>
        <w:gridCol w:w="346"/>
        <w:gridCol w:w="9211"/>
      </w:tblGrid>
      <w:tr>
        <w:trPr/>
        <w:tc>
          <w:tcPr>
            <w:tcW w:w="34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2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SCHMID Shenzhen Ltd. was liquidated in September 2025 and SCHMID Solar (Shenzhen) Ltd. in January 2026</w:t>
            </w:r>
          </w:p>
        </w:tc>
      </w:tr>
    </w:tbl>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of December 30, 2024 Gebr. SCHMID GmbH sold part of the shares in SES, resulting in the loss of control over SES. Accordingly, as of December 31, 2024 and December 31, 2025, SES is accounted for using the equity method. For further details on both transactions see note 35. Equity method investments.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SCHMID presents its consolidated financial statements in Euros which is the Company’s presentation currency. All amounts are presented in thousands of Euros (“€ thousand”), unless otherwise stated. Due to rounding, numbers presented may not add up precisely to the totals provided and percentages may not precisely reflect the absolute figures.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consolidated financial statements of SCHMID were authorized for issuance by the Board on May 12, 2026.</w:t>
      </w:r>
    </w:p>
    <w:p>
      <w:pPr>
        <w:pStyle w:val="TextBody"/>
        <w:bidi w:val="0"/>
        <w:spacing w:before="0" w:after="240"/>
        <w:ind w:left="200" w:right="200" w:hanging="0"/>
        <w:jc w:val="left"/>
        <w:rPr>
          <w:rFonts w:ascii="Times New Roman;Times;serif" w:hAnsi="Times New Roman;Times;serif"/>
          <w:b w:val="false"/>
          <w:sz w:val="20"/>
        </w:rPr>
      </w:pPr>
      <w:r>
        <w:rPr>
          <w:rFonts w:ascii="Times New Roman;Times;serif" w:hAnsi="Times New Roman;Times;serif"/>
          <w:b w:val="false"/>
          <w:sz w:val="20"/>
        </w:rPr>
        <w:t>Intra-reporting entity transactions and balances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Intra-SCHMID balances and transactions, and any unrealized income and expenses (except for foreign currency transaction gains or losses) arising from intra-SCHMID transactions, are eliminated. Unrealized gains arising from transactions with equity-accounted investees are eliminated against the investment to the extent of SCHMID’s interest in the investee. Unrealized losses are eliminated in the same way as unrealized gains, but only to the extent that there is no evidence of impairment.</w:t>
      </w:r>
    </w:p>
    <w:p>
      <w:pPr>
        <w:pStyle w:val="TextBody"/>
        <w:bidi w:val="0"/>
        <w:spacing w:before="0" w:after="240"/>
        <w:ind w:left="200" w:right="200" w:hanging="0"/>
        <w:jc w:val="left"/>
        <w:rPr>
          <w:rFonts w:ascii="Times New Roman;Times;serif" w:hAnsi="Times New Roman;Times;serif"/>
          <w:b w:val="false"/>
          <w:sz w:val="20"/>
        </w:rPr>
      </w:pPr>
      <w:r>
        <w:rPr>
          <w:rFonts w:ascii="Times New Roman;Times;serif" w:hAnsi="Times New Roman;Times;serif"/>
          <w:b w:val="false"/>
          <w:sz w:val="20"/>
        </w:rPr>
        <w:t>Foreign Currency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consolidated financial statements are presented in Euro. The Company’s foreign entities identified that the local currency is their functional currency and therefore the financial statements of these entities are translated to Euro using year-end exchange rates for assets and liabilities, and average exchange rates for income and expenses. Adjustments resulting from translating foreign functional currency financial statements into Euro are recorded as a separate component in the consolidated statements of comprehensive income.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Monetary assets and liabilities that are denominated in currencies other than the respective functional currencies are remeasured at the foreign currency rates as of the reporting date. Foreign currency transaction gains and losses from the remeasurement are included in other income and other expenses, as appropriate, in the consolidated statements of profit or loss for the period.</w:t>
      </w:r>
    </w:p>
    <w:p>
      <w:pPr>
        <w:pStyle w:val="TextBody"/>
        <w:bidi w:val="0"/>
        <w:spacing w:lineRule="auto" w:line="343" w:before="0" w:after="240"/>
        <w:ind w:left="200" w:right="200" w:hanging="0"/>
        <w:jc w:val="both"/>
        <w:rPr>
          <w:rFonts w:ascii="Times New Roman;Times;serif" w:hAnsi="Times New Roman;Times;serif"/>
          <w:sz w:val="20"/>
        </w:rPr>
      </w:pPr>
      <w:r>
        <w:rPr>
          <w:rFonts w:ascii="Times New Roman;Times;serif" w:hAnsi="Times New Roman;Times;serif"/>
          <w:sz w:val="20"/>
        </w:rPr>
        <w:t>Going Concern</w:t>
      </w:r>
    </w:p>
    <w:p>
      <w:pPr>
        <w:pStyle w:val="TextBody"/>
        <w:bidi w:val="0"/>
        <w:spacing w:before="0" w:after="240"/>
        <w:ind w:left="200" w:right="200" w:hanging="0"/>
        <w:jc w:val="both"/>
        <w:rPr>
          <w:rFonts w:ascii="Times New Roman;Times;serif" w:hAnsi="Times New Roman;Times;serif"/>
          <w:b/>
          <w:sz w:val="20"/>
        </w:rPr>
      </w:pPr>
      <w:r>
        <w:rPr>
          <w:rFonts w:ascii="Times New Roman;Times;serif" w:hAnsi="Times New Roman;Times;serif"/>
          <w:b/>
          <w:sz w:val="20"/>
        </w:rPr>
        <w:t>Basis of preparation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These consolidated financial statements have been prepared on a going concern basis, which contemplates the realization of assets and settlement of liabilities in the normal course of business. In assessing going concern, management considered the Group’s liquidity position, forecast cash flows and financing requirements, and potential downside scenarios, for at least twelve months from the date these financial statements are authorized for issue, as well as events and circumstances arising after the reporting date through the authorization date of these financial statements.</w:t>
      </w:r>
    </w:p>
    <w:p>
      <w:pPr>
        <w:pStyle w:val="TextBody"/>
        <w:bidi w:val="0"/>
        <w:spacing w:before="0" w:after="240"/>
        <w:ind w:left="200" w:right="200" w:hanging="0"/>
        <w:jc w:val="both"/>
        <w:rPr>
          <w:rFonts w:ascii="Times New Roman;Times;serif" w:hAnsi="Times New Roman;Times;serif"/>
          <w:b/>
          <w:sz w:val="20"/>
        </w:rPr>
      </w:pPr>
      <w:r>
        <w:rPr>
          <w:rFonts w:ascii="Times New Roman;Times;serif" w:hAnsi="Times New Roman;Times;serif"/>
          <w:b/>
          <w:sz w:val="20"/>
        </w:rPr>
        <w:t>Events and conditions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During the year ended December 31, 2025, order intake and sales remained below expectations, resulting in negative operating results and cash flows, particularly in the first half of the year. In addition, during 2025 the Group was unable to generate significant cash inflows through equity or debt financing.</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Therefore, as of December 31, 2025, the Group had a significant working capital deficiency, reflecting the impact of continued operating losses and constrained access to financing during the year.</w:t>
      </w:r>
    </w:p>
    <w:p>
      <w:pPr>
        <w:pStyle w:val="TextBody"/>
        <w:bidi w:val="0"/>
        <w:spacing w:before="0" w:after="240"/>
        <w:ind w:left="200" w:right="200" w:hanging="0"/>
        <w:jc w:val="both"/>
        <w:rPr>
          <w:rFonts w:ascii="Times New Roman;Times;serif" w:hAnsi="Times New Roman;Times;serif"/>
          <w:b/>
          <w:sz w:val="20"/>
        </w:rPr>
      </w:pPr>
      <w:r>
        <w:rPr>
          <w:rFonts w:ascii="Times New Roman;Times;serif" w:hAnsi="Times New Roman;Times;serif"/>
          <w:b/>
          <w:sz w:val="20"/>
        </w:rPr>
        <w:t>Measures implemented after the reporting date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Subsequent to December 31, 2025, the Group implemented several measures to strengthen liquidity and reduce near-term obligations, including:</w:t>
      </w:r>
    </w:p>
    <w:tbl>
      <w:tblPr>
        <w:tblW w:w="9805" w:type="dxa"/>
        <w:jc w:val="left"/>
        <w:tblInd w:w="200" w:type="dxa"/>
        <w:tblLayout w:type="fixed"/>
        <w:tblCellMar>
          <w:top w:w="28" w:type="dxa"/>
          <w:left w:w="28" w:type="dxa"/>
          <w:bottom w:w="28" w:type="dxa"/>
          <w:right w:w="28" w:type="dxa"/>
        </w:tblCellMar>
      </w:tblPr>
      <w:tblGrid>
        <w:gridCol w:w="124"/>
        <w:gridCol w:w="211"/>
        <w:gridCol w:w="94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47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 debt-for-equity set-off with XJ Harbour, effective in 2025 based on irrevocable contracts signed in November 2025, with the issuance of 12,540,539</w:t>
            </w:r>
            <w:r>
              <w:rPr>
                <w:caps w:val="false"/>
                <w:smallCaps w:val="false"/>
              </w:rPr>
              <w:t xml:space="preserve"> </w:t>
            </w:r>
            <w:r>
              <w:rPr>
                <w:rFonts w:ascii="Times New Roman;Times;serif" w:hAnsi="Times New Roman;Times;serif"/>
                <w:b w:val="false"/>
                <w:i w:val="false"/>
                <w:caps w:val="false"/>
                <w:smallCaps w:val="false"/>
                <w:sz w:val="20"/>
              </w:rPr>
              <w:t>shares being completed on January 16, 2026, eliminating the related payment obligation;</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71"/>
        <w:gridCol w:w="9410"/>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41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execution of an Investment Agreement in January 2026 for the issuance of USD 30.0</w:t>
            </w:r>
            <w:r>
              <w:rPr>
                <w:caps w:val="false"/>
                <w:smallCaps w:val="false"/>
              </w:rPr>
              <w:t xml:space="preserve"> </w:t>
            </w:r>
            <w:r>
              <w:rPr>
                <w:rFonts w:ascii="Times New Roman;Times;serif" w:hAnsi="Times New Roman;Times;serif"/>
                <w:b w:val="false"/>
                <w:i w:val="false"/>
                <w:caps w:val="false"/>
                <w:smallCaps w:val="false"/>
                <w:sz w:val="20"/>
              </w:rPr>
              <w:t>million senior convertible notes structured in two tranches of USD 15.0</w:t>
            </w:r>
            <w:r>
              <w:rPr>
                <w:caps w:val="false"/>
                <w:smallCaps w:val="false"/>
              </w:rPr>
              <w:t xml:space="preserve"> </w:t>
            </w:r>
            <w:r>
              <w:rPr>
                <w:rFonts w:ascii="Times New Roman;Times;serif" w:hAnsi="Times New Roman;Times;serif"/>
                <w:b w:val="false"/>
                <w:i w:val="false"/>
                <w:caps w:val="false"/>
                <w:smallCaps w:val="false"/>
                <w:sz w:val="20"/>
              </w:rPr>
              <w:t>million each and additional warrants. The first tranche was received on January 21, 2026 and the second tranche was received on March 5, 2026; and</w:t>
            </w:r>
          </w:p>
        </w:tc>
      </w:tr>
    </w:tbl>
    <w:tbl>
      <w:tblPr>
        <w:tblW w:w="9805" w:type="dxa"/>
        <w:jc w:val="left"/>
        <w:tblInd w:w="200" w:type="dxa"/>
        <w:tblLayout w:type="fixed"/>
        <w:tblCellMar>
          <w:top w:w="28" w:type="dxa"/>
          <w:left w:w="28" w:type="dxa"/>
          <w:bottom w:w="28" w:type="dxa"/>
          <w:right w:w="28" w:type="dxa"/>
        </w:tblCellMar>
      </w:tblPr>
      <w:tblGrid>
        <w:gridCol w:w="124"/>
        <w:gridCol w:w="331"/>
        <w:gridCol w:w="9350"/>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35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signing of a Standby Equity Purchase Agreement (“SEPA”) with an institutional investor on May 12, 2026, which provides the Company with the ability, at its discretion, to raise up to USD 30.0</w:t>
            </w:r>
            <w:r>
              <w:rPr>
                <w:caps w:val="false"/>
                <w:smallCaps w:val="false"/>
              </w:rPr>
              <w:t xml:space="preserve"> </w:t>
            </w:r>
            <w:r>
              <w:rPr>
                <w:rFonts w:ascii="Times New Roman;Times;serif" w:hAnsi="Times New Roman;Times;serif"/>
                <w:b w:val="false"/>
                <w:i w:val="false"/>
                <w:caps w:val="false"/>
                <w:smallCaps w:val="false"/>
                <w:sz w:val="20"/>
              </w:rPr>
              <w:t>million of additional equity capital over a 24-month period. See Note 38, Subsequent Events, for more detailed description of this facility.</w:t>
            </w:r>
          </w:p>
        </w:tc>
      </w:tr>
    </w:tbl>
    <w:p>
      <w:pPr>
        <w:pStyle w:val="TextBody"/>
        <w:bidi w:val="0"/>
        <w:spacing w:before="0" w:after="240"/>
        <w:ind w:left="200" w:right="200" w:hanging="0"/>
        <w:jc w:val="both"/>
        <w:rPr>
          <w:rFonts w:ascii="Times New Roman;Times;serif" w:hAnsi="Times New Roman;Times;serif"/>
          <w:b/>
          <w:sz w:val="20"/>
        </w:rPr>
      </w:pPr>
      <w:r>
        <w:rPr>
          <w:rFonts w:ascii="Times New Roman;Times;serif" w:hAnsi="Times New Roman;Times;serif"/>
          <w:b/>
          <w:sz w:val="20"/>
        </w:rPr>
        <w:t>Management’s plans and assumptions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Management has prepared detailed cash flow forecasts covering at least twelve months from the date of authorization of these consolidated financial statements. These forecasts reflect:</w:t>
      </w:r>
    </w:p>
    <w:tbl>
      <w:tblPr>
        <w:tblW w:w="8451" w:type="dxa"/>
        <w:jc w:val="left"/>
        <w:tblInd w:w="200" w:type="dxa"/>
        <w:tblLayout w:type="fixed"/>
        <w:tblCellMar>
          <w:top w:w="28" w:type="dxa"/>
          <w:left w:w="28" w:type="dxa"/>
          <w:bottom w:w="28" w:type="dxa"/>
          <w:right w:w="28" w:type="dxa"/>
        </w:tblCellMar>
      </w:tblPr>
      <w:tblGrid>
        <w:gridCol w:w="124"/>
        <w:gridCol w:w="256"/>
        <w:gridCol w:w="8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expected conversion of the </w:t>
            </w:r>
            <w:r>
              <w:rPr>
                <w:caps w:val="false"/>
                <w:smallCaps w:val="false"/>
              </w:rPr>
              <w:t>€</w:t>
            </w:r>
            <w:r>
              <w:rPr>
                <w:rFonts w:ascii="Times New Roman;Times;serif" w:hAnsi="Times New Roman;Times;serif"/>
                <w:b w:val="false"/>
                <w:i w:val="false"/>
                <w:caps w:val="false"/>
                <w:smallCaps w:val="false"/>
                <w:sz w:val="20"/>
              </w:rPr>
              <w:t>51</w:t>
            </w:r>
            <w:r>
              <w:rPr>
                <w:caps w:val="false"/>
                <w:smallCaps w:val="false"/>
              </w:rPr>
              <w:t xml:space="preserve"> </w:t>
            </w:r>
            <w:r>
              <w:rPr>
                <w:rFonts w:ascii="Times New Roman;Times;serif" w:hAnsi="Times New Roman;Times;serif"/>
                <w:b w:val="false"/>
                <w:i w:val="false"/>
                <w:caps w:val="false"/>
                <w:smallCaps w:val="false"/>
                <w:sz w:val="20"/>
              </w:rPr>
              <w:t>million order backlog as of December 31, 2025 into revenues,</w:t>
            </w:r>
          </w:p>
        </w:tc>
      </w:tr>
    </w:tbl>
    <w:tbl>
      <w:tblPr>
        <w:tblW w:w="4461" w:type="dxa"/>
        <w:jc w:val="left"/>
        <w:tblInd w:w="20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order intake during the forecast period,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implementation of planned cost reduction measures, including a </w:t>
            </w:r>
            <w:r>
              <w:rPr>
                <w:caps w:val="false"/>
                <w:smallCaps w:val="false"/>
              </w:rPr>
              <w:t>€</w:t>
            </w:r>
            <w:r>
              <w:rPr>
                <w:rFonts w:ascii="Times New Roman;Times;serif" w:hAnsi="Times New Roman;Times;serif"/>
                <w:b w:val="false"/>
                <w:i w:val="false"/>
                <w:caps w:val="false"/>
                <w:smallCaps w:val="false"/>
                <w:sz w:val="20"/>
              </w:rPr>
              <w:t>4</w:t>
            </w:r>
            <w:r>
              <w:rPr>
                <w:caps w:val="false"/>
                <w:smallCaps w:val="false"/>
              </w:rPr>
              <w:t xml:space="preserve"> </w:t>
            </w:r>
            <w:r>
              <w:rPr>
                <w:rFonts w:ascii="Times New Roman;Times;serif" w:hAnsi="Times New Roman;Times;serif"/>
                <w:b w:val="false"/>
                <w:i w:val="false"/>
                <w:caps w:val="false"/>
                <w:smallCaps w:val="false"/>
                <w:sz w:val="20"/>
              </w:rPr>
              <w:t>million annual cost-savings program in Germany; and</w:t>
            </w:r>
          </w:p>
        </w:tc>
      </w:tr>
    </w:tbl>
    <w:tbl>
      <w:tblPr>
        <w:tblW w:w="5946" w:type="dxa"/>
        <w:jc w:val="left"/>
        <w:tblInd w:w="200" w:type="dxa"/>
        <w:tblLayout w:type="fixed"/>
        <w:tblCellMar>
          <w:top w:w="28" w:type="dxa"/>
          <w:left w:w="28" w:type="dxa"/>
          <w:bottom w:w="28" w:type="dxa"/>
          <w:right w:w="28"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external financing, including the SEPA facility if needed.</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Management has assessed that potential temporary liquidity shortfalls would be fully covered through available financing sources, including the proceeds already received from the convertible notes and the ability to access additional liquidity under the SEPA facility. Furthermore, in the unlikely event that financing needs would temporarily exceed its financing sources, management has other options to reduce costs in the short-term including the use of government subsidized short time work programs (“</w:t>
      </w:r>
      <w:r>
        <w:rPr>
          <w:rFonts w:ascii="Times New Roman;Times;serif" w:hAnsi="Times New Roman;Times;serif"/>
          <w:i/>
          <w:sz w:val="20"/>
        </w:rPr>
        <w:t>Kurzarbeit</w:t>
      </w:r>
      <w:r>
        <w:rPr>
          <w:rFonts w:ascii="Times New Roman;Times;serif" w:hAnsi="Times New Roman;Times;serif"/>
          <w:sz w:val="20"/>
        </w:rPr>
        <w:t>”) in Germany.</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Conclusion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Based on the assessment described above, including the measures implemented subsequent to the reporting date, the cash flow forecasts, the availability of additional equity financing through the SEPA facility, and the availability of short-term employment reduction programs, management has concluded that the Group has adequate resources to continue in operational existence for the foreseeable future.</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Accordingly, management has concluded that no material uncertainties exist that may cast significant doubt on the Group’s ability to continue as a going concern for at least twelve months from the date of authorization of these consolidated financial statements. These consolidated financial statements do not include any adjustments that might result if the Group were unable to continue as a going concern.</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sz w:val="20"/>
        </w:rPr>
      </w:pPr>
      <w:bookmarkStart w:id="689" w:name="a3DESPAC_84484"/>
      <w:bookmarkEnd w:id="689"/>
      <w:r>
        <w:rPr>
          <w:rFonts w:ascii="Times New Roman;Times;serif" w:hAnsi="Times New Roman;Times;serif"/>
          <w:b/>
          <w:i w:val="false"/>
          <w:caps w:val="false"/>
          <w:smallCaps w:val="false"/>
          <w:sz w:val="20"/>
        </w:rPr>
        <w:t>3.</w:t>
      </w:r>
      <w:r>
        <w:rPr>
          <w:rFonts w:ascii="Times New Roman;Times;serif" w:hAnsi="Times New Roman;Times;serif"/>
          <w:b/>
          <w:sz w:val="20"/>
        </w:rPr>
        <w:t>DE-SPAC</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May 31, 2023, Pegasus Digital Mobility Acquisition Corp., a Cayman Islands exempted company (“Pegasus”), SCHMID GmbH (“SCHMID GmbH”), SCHMID Group N.V. (formerly known as Pegasus TopCo B.V., “SCHMID Group N.V.”), Pegasus MergerSub Corp., a Cayman Islands exempted company (“Merger Sub”) entered into a Business Combination Agreement (the “Business Combination Agreement”), contemplating several transactions, and in connection with which, Pegasus would be merged with and into Merger Sub, with Merger Sub as the surviving company, SCHMID GmbH N.V. would be the ultimate parent company of SCHMID GmbH (altogether: “Business Combination”).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SCHMID Group N.V. was incorporated for the purpose of holding Merger Sub and SCHMID GmbH following the consummation of the Business Combination which occurred on April 30, 2024. Ordinary shares and warrants issued by SCHMID Group N.V. are listed on the Nasdaq.</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merger of Pegasus constituted a transaction by SCHMID Group N.V., which is accounted for within the scope of IFRS 2 as a “reverse recapitalization”.</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part of the transaction, former shareholders of Pegasus (public shareholders, sponsors and directors) received 7,843,501 shares of SCHMID Group N.V. and 17,000,000 warrants (“SCHMID Group N.V.Warrants”) to purchase ordinary shares of SCHMID Group N.V. In exchange, SCHMID Group N.V. received the net assets held by Pegasus of minus €3.5 million upon closing of the transaction on April 30, 2024. The net assets included €47.7 million of cash and cash equivalents held in Pegasus trust account, current liabilities of €10.6 million, warrant liabilities of €1.4 million and €2.3 million deferred underwriting commissions. Upon closing of the Pegasus Merger, Pegasus Warrants were converted into SCHMID Group N.V. Warrants.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accordance with IFRS 2, the difference between (i) the fair value of the net assets contributed by Pegasus and (ii) the fair value of equity instruments issued to the former Pegasus shareholders was recognized as an expense. As a result, the Company recorded share listing expense of €71.6 million (see Note 13. Share listing expense).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SCHMID Group N.V. Warrants entitle the holder to subscribe to SCHMID Group N.V.’s shares at a fixed (or determinable) exercise price for a specified period, subject to the terms of the warrant agreement. The SCHMID Group warrants include a cashless exercise feature that provides for settlement in a variable number of shares. Accordingly, the SCHMID Group N.V. Warrants do not meet the criteria for equity classification and are accounted for as financial liabilities measured at fair value through profit and loss, with changes in fair value recognized in profit or loss.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Pegasus merger closed on April 30, 2024. Upon Closing, SCHMID Group N.V. became a publicly traded company on the Nasdaq under the ticker “SHMD”. The SCHMID Group N.V. Warrants are traded under the ticker “SHMDW”. The Company incurred incremental transaction costs directly attributable to the issuance of shares to Pegasus shareholders of €4.6 million, which were recorded as a reduction from equity (in capital reserve).</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bookmarkStart w:id="690" w:name="a3MATERIALACCOUNTINGPOLICIES_947886"/>
      <w:bookmarkEnd w:id="690"/>
      <w:r>
        <w:rPr>
          <w:rFonts w:ascii="Times New Roman;Times;serif" w:hAnsi="Times New Roman;Times;serif"/>
          <w:b/>
          <w:i w:val="false"/>
          <w:caps w:val="false"/>
          <w:smallCaps w:val="false"/>
          <w:sz w:val="20"/>
        </w:rPr>
        <w:t>4.</w:t>
      </w:r>
      <w:r>
        <w:rPr>
          <w:rFonts w:ascii="Times New Roman;Times;serif" w:hAnsi="Times New Roman;Times;serif"/>
          <w:b/>
          <w:sz w:val="20"/>
        </w:rPr>
        <w:t>MATERIAL ACCOUNTING POLICIES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Intangible assets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General</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Intangible assets are measured at cost upon initial recognition. In subsequent periods, intangible assets are recognized at cost less any accumulated amortization and impairment losses. Intangible assets with finite useful lives are amortized on a straight-line basis. The estimated (remaining) useful lives as well as the amortization method are subject to annual reviews. If necessary, adjustments due to changes of the expected useful life or of the amortization method are accounted for prospectively as changes in accounting estimates. Amortization expenses for intangible assets are included in cost of sales.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Research and development (R&amp;D) costs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accordance with IAS 38 (Intangible Assets), expenses incurred during the R&amp;D phase must be accounted for separately. Research is defined as original and planned investigation undertaken with the prospect of gaining new scientific or technical knowledge and understanding. Such costs are expensed in the period incurred. Development is defined as the technical and commercial implementation of research findings.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accordance with IAS 38, development costs must be capitalized if the criteria set out in IAS 38.57 are fulfilled. The Company starts to capitalize costs when management board approval is obtained. The approval is only provided when it is ensured that adequate technical, financial and other resources are available to complete the project and that the Company intends to complete and use the intangible asset. Furthermore, prior to approval, the development project leader provides the management board with an overview of the future economic benefits based on external market studies and internal analysis, as well as the documentation of technical feasibility. The Company has an R&amp;D controlling system in place which enables management to determine expenditures attributable to specific technologies during their development.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capitalizes costs for the development of a technology until the time that development of such technology is completed. The capitalized development costs are amortized on a straight-line basis over the economic useful life of 4–10 years based on the expected useful life of such technology. Amortization of capitalized development costs commences upon completion of the development project (technology).</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Intangible assets with indefinite useful lives or intangible assets not yet available for use are not amortized; however, they are tested for impairment annually and whenever there is an indication that the intangible asset may be impaired based on the individual asset or on the level of the related cash-generating unit.</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Patents and licenses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Intangible assets acquired separately are measured on initial recognition at cost. Following initial recognition, intangible assets are carried at cost less any accumulated straight-line amortization and accumulated impairment losses. The useful life for patents and licenses is 5–8 years.</w:t>
      </w:r>
    </w:p>
    <w:p>
      <w:pPr>
        <w:pStyle w:val="TextBody"/>
        <w:bidi w:val="0"/>
        <w:spacing w:before="0" w:after="240"/>
        <w:ind w:left="200" w:right="200" w:hanging="0"/>
        <w:jc w:val="left"/>
        <w:rPr>
          <w:rFonts w:ascii="Times New Roman;Times;serif" w:hAnsi="Times New Roman;Times;serif"/>
          <w:b w:val="false"/>
          <w:sz w:val="20"/>
        </w:rPr>
      </w:pPr>
      <w:r>
        <w:rPr>
          <w:rFonts w:ascii="Times New Roman;Times;serif" w:hAnsi="Times New Roman;Times;serif"/>
          <w:b w:val="false"/>
          <w:sz w:val="20"/>
        </w:rPr>
        <w:t>Impairment tests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At the end of each reporting period, SCHMID assesses whether there is an indication that an asset may be impaired. If any indication exists, or when annual impairment testing for an asset is required, SCHMID estimates the asset’s recoverable amount. The recoverable amount is determined for an individual asset, unless the asset does not generate cash inflows that are largely independent of those from other assets or groups of assets. An asset’s recoverable amount is the higher of an asset’s or cash generating unit (“CGU”)’s fair value less costs of disposal and its value in use. When the carrying amount of an asset or CGU exceeds its recoverable amount, the asset is considered impaired and is written down to its recoverable amount.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assessing value in use, the estimated future cash flows are discounted to their present value using a pre-tax discount rate that reflects current market assessments of the time value of money and the risks specific to the asset. In determining fair value less costs of disposal, recent market transactions are taken into account. If no such transactions can be identified, an appropriate valuation model is used.</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Property, Plant and Equipment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Property, plant and equipment are measured at cost, net of accumulated depreciation and any accumulated impairment losses. Costs of construction capitalized include all attributable direct costs including material and production overheads, and, where applicable, an initial estimate of the cost of dismantling and removing the item and restoring the site on which it is located.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Subsequent expenditures on assets are capitalized only when it is probable that future economic benefits associated with the expenditure will flow to SCHMID. Repairs and maintenance are expensed in profit or loss in the period the costs are incurred.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items of property, plant and equipment are sold or disposed of, the gain or loss arising from the disposal is recognized as other operating income or expense in the consolidated statement of profit or loss and other comprehensive income (loss).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Depreciation is calculated on a straight-line basis based on the following useful lives:</w:t>
      </w:r>
    </w:p>
    <w:p>
      <w:pPr>
        <w:pStyle w:val="TextBody"/>
        <w:bidi w:val="0"/>
        <w:spacing w:before="0" w:after="240"/>
        <w:ind w:left="200" w:right="200" w:hanging="0"/>
        <w:jc w:val="both"/>
        <w:rPr/>
      </w:pPr>
      <w:r>
        <w:rPr/>
        <w:t>​</w:t>
      </w:r>
    </w:p>
    <w:tbl>
      <w:tblPr>
        <w:tblW w:w="4758" w:type="dxa"/>
        <w:jc w:val="left"/>
        <w:tblInd w:w="200" w:type="dxa"/>
        <w:tblLayout w:type="fixed"/>
        <w:tblCellMar>
          <w:top w:w="0" w:type="dxa"/>
          <w:left w:w="0" w:type="dxa"/>
          <w:bottom w:w="0" w:type="dxa"/>
          <w:right w:w="0" w:type="dxa"/>
        </w:tblCellMar>
      </w:tblPr>
      <w:tblGrid>
        <w:gridCol w:w="3226"/>
        <w:gridCol w:w="346"/>
        <w:gridCol w:w="1186"/>
      </w:tblGrid>
      <w:tr>
        <w:trPr/>
        <w:tc>
          <w:tcPr>
            <w:tcW w:w="32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ind w:left="0" w:right="0" w:hanging="0"/>
              <w:jc w:val="left"/>
              <w:rPr>
                <w:sz w:val="4"/>
                <w:szCs w:val="4"/>
              </w:rPr>
            </w:pPr>
            <w:r>
              <w:rPr>
                <w:sz w:val="4"/>
                <w:szCs w:val="4"/>
              </w:rPr>
            </w:r>
          </w:p>
        </w:tc>
      </w:tr>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48510" cy="175260"/>
                      <wp:effectExtent l="0" t="0" r="0" b="0"/>
                      <wp:wrapNone/>
                      <wp:docPr id="124" name="Frame122"/>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5"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753110" cy="175260"/>
                      <wp:effectExtent l="0" t="0" r="0" b="0"/>
                      <wp:wrapNone/>
                      <wp:docPr id="126" name="Frame12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building improvements</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10 - 50 years</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Technical equipment and machinery</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2 - 21 years</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and other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3 - 13 years</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residual values, useful lives and methods of depreciation of property, plant and equipment are reviewed at each financial year end and adjusted prospectively, if appropriate.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Leases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SCHMID’s lease obligations primarily relate to rights to buildings mainly for its office, R&amp;D and production premises as well as to leased vehicles. As lease contracts are negotiated on an individual basis, lease terms contain a range of different terms and conditions. Lease contracts are typically entered for a period of 1–10 years.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a lessee, at the inception of a contract, SCHMID assesses whether the contract is, or contains, a lease. A contract is, or contains, a lease if the contract conveys the right to control the use of an identified asset for a period in exchange for consideration.</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SCHMID recognizes right of use assets which represent a right to use the underlying leased assets and corresponding lease liabilities which represent the present value of future lease payments, excluding short-term leases (lease term of 12 months or less from commencement date and do not contain a purchase option) and leases of low value assets acquisition costs less than €6 thousand), in the consolidated statement of financial position at the date at which the leased asset is available for use.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Liabilities arising from a lease are initially measured at present value of lease payments discounted using interest rate implicit in the lease or incremental borrowing rate in case interest rate implicit in the lease is not readily determinable.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Main components of the lease payments included in the measurement of the lease liability comprise the following:</w:t>
      </w:r>
    </w:p>
    <w:tbl>
      <w:tblPr>
        <w:tblW w:w="2286" w:type="dxa"/>
        <w:jc w:val="left"/>
        <w:tblInd w:w="200" w:type="dxa"/>
        <w:tblLayout w:type="fixed"/>
        <w:tblCellMar>
          <w:top w:w="28" w:type="dxa"/>
          <w:left w:w="28" w:type="dxa"/>
          <w:bottom w:w="28" w:type="dxa"/>
          <w:right w:w="28" w:type="dxa"/>
        </w:tblCellMar>
      </w:tblPr>
      <w:tblGrid>
        <w:gridCol w:w="124"/>
        <w:gridCol w:w="256"/>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lease payments;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payments that depend on an index or rate, initially measured using the index or rate as at the commencement date;</w:t>
            </w:r>
          </w:p>
        </w:tc>
      </w:tr>
    </w:tbl>
    <w:tbl>
      <w:tblPr>
        <w:tblW w:w="9501" w:type="dxa"/>
        <w:jc w:val="left"/>
        <w:tblInd w:w="20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payments in an optional renewal period if SCHMID is reasonably certain to exercise an extension option;</w:t>
            </w:r>
          </w:p>
        </w:tc>
      </w:tr>
    </w:tbl>
    <w:tbl>
      <w:tblPr>
        <w:tblW w:w="9411" w:type="dxa"/>
        <w:jc w:val="left"/>
        <w:tblInd w:w="20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non-lease components are not separated from lease components but accounted for as single lease components.</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Lease payments contain principal elements and interest. Interest is presented as part of finance costs in the consolidated statements of profit or loss and other comprehensive income using the effective interest method. Principal and interest portion of lease payments have been presented within financing activities in the statement of cash flow. The carrying amount of lease liabilities is remeasured if there is change in the future lease payments due to change in index or rate.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Right of use assets at the lease commencement date are measured at cost less any accumulated depreciation and impairment losses and adjusted for any remeasurement of lease liabilities recognized. Cost of right of use assets includes lease liabilities, initial direct costs, prepayments made on or before the commencement date and less any lease incentives received. The right of use asset is subsequently depreciated using the straight-line method from the commencement date to the end of the lease term, unless the lease transfers ownership of the underlying asset to SCHMID by the end of the lease term or the cost of the right of use asset reflects that SCHMID will exercise a purchase option. In that case the right of use asset will be depreciated over the useful life of the underlying asset, which is determined on the same basis as those of property and equipment. The right of use asset is assessed for impairment in case of a triggering event.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Assets related to retirement obligations for leased buildings are included in the cost of right of use assets for the respective underlying building lease.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SCHMID acts as a lessor and the contract is classified as a finance lease, it is accounted for as a financing transaction. A receivable is valued at the amount of the net investment in the lease and the resulting interest income is recognized as income. The classification of a contract as an operating lease with SCHMID acting as the lessor means that the asset remains on SCHMID`s balance sheet. The income from it is recognized in the income statement over the term of the lease.</w:t>
      </w:r>
    </w:p>
    <w:p>
      <w:pPr>
        <w:pStyle w:val="TextBody"/>
        <w:bidi w:val="0"/>
        <w:spacing w:before="0" w:after="240"/>
        <w:ind w:left="200" w:right="200" w:hanging="0"/>
        <w:jc w:val="left"/>
        <w:rPr>
          <w:rFonts w:ascii="Times New Roman;Times;serif" w:hAnsi="Times New Roman;Times;serif"/>
          <w:b w:val="false"/>
          <w:sz w:val="20"/>
        </w:rPr>
      </w:pPr>
      <w:r>
        <w:rPr>
          <w:rFonts w:ascii="Times New Roman;Times;serif" w:hAnsi="Times New Roman;Times;serif"/>
          <w:b w:val="false"/>
          <w:sz w:val="20"/>
        </w:rPr>
        <w:t>Sale and Leaseback Transaction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When SCHMID sells its assets and leases them back, it needs to be determined whether the sales part of the transaction qualifies as a true sale according to IFRS 15. If the transfer of an asset does not meet the requirements of IFRS 15 to be recognized as a sale, the asset remains on the balance sheet, and a financial liability is recognized equal to the transfer proceeds in accordance with IFRS 9.</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the case of a qualified sale, SCHMID measures the right of use asset arising from the leaseback at the proportion of the previous carrying amount of the asset that relates to the right of use retained. Consequently, SCHMID only recognizes any gain or loss that pertains to the rights transferred to the buyer-lessor.</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If the amount received for selling an asset is not the same as the value of the asset, or if the lease payments are not in line with market rates, SCHMID will make adjustments to ensure that the sale proceeds are measured at a fair value. If the lease terms are below market rates, the difference will be treated as a prepayment of future lease payments. Conversely, if the lease terms are above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market rates, the excess amount will be considered as additional financing provided by the buyer-lessor to the seller-lessee (IFRS 16.101).</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Cash and Cash Equivalents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Cash and cash equivalents in the statement of financial position and statement of cash flows comprise cash at banks and short-term highly liquid deposits with original maturities of three months or less, that are readily convertible to a known amount of cash and subject to an insignificant risk of changes in value.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Financial Instruments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Financial instruments are contracts that give rise to a financial asset for one entity and to a financial liability or equity instrument for another entity. SCHMID recognizes a financial instrument when it becomes a party to its contractual provisions. Purchases or sales of financial assets that require delivery of assets within a time frame established by regulation or convention in the marketplace (regular way trades) are recognized on the settlement date.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Financial assets and financial liabilities are offset, and the net amount is reported in the consolidated statement of financial position if there is a currently enforceable legal right to set off the recognized amounts and there is an intention to settle on a net basis or to realize the assets and settle the liabilities simultaneously. SCHMID currently has no such assets and liabilities.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Financial assets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SCHMID’s financial assets include cash and cash equivalents, trade and other receivables as well as other financial assets. Other financial assets consist of a loan to one shareholder and other loans.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Financial assets are initially measured at fair value plus, in the case of a financial asset not measured at fair value through profit or loss, transaction costs. As an exception to this general rule, trade receivables are measured at their transaction price.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Financial assets are classified at initial recognition as either measured at amortized cost (“AC”), fair value through other comprehensive income (“FVOCI”), or fair value through profit or loss (“FVTPL”) depending on the contractual cash flows and SCHMID’s business model for managing them. For all financial assets SCHMID has the objective to hold financial assets in order to collect the contractual cash flows. If the contractual terms of the financial assets give rise on specified dates to cash flows that are solely payments of principal and interest on the principal amount outstanding, SCHMID will measure these financial assets at amortized cost under consideration of impairment (see following section). If the contractually agreed cash flows of a financial asset are not solely payments of principal and interest on principal amount outstanding, the respective financial asset has to be classified as measured at FVTPL. Currently all financial assets are measured at amortized cost that are determined by applying the effective interest rate (EIR) method. Effects resulting from impairment of financial assets that are not classified as FVTPL (including reversals of impairment losses on financial assets) are presented in a separate line item in profit or loss in accordance with IAS 1.82(ba), while changes in amortized cost due to the application of the EIR method are presented in finance income / expense.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 financial asset is derecognized (i.e., removed from SCHMID’s consolidated statement of financial position) when the rights to receive cash flows from the financial asset have expired or have been transferred and SCHMID has transferred substantially all risks and rewards of ownership.</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Impairment of financial assets – expected credit losses (“ECLs”)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All financial assets subsequently measured at amortized cost are required to be impaired at initial recognition in the amount of their expected credit loss (“ECL”). ECLs are based on the difference between the cash flows due in accordance with the contract and all the cash flows that SCHMID expects to receive. ECLs are a probability-weighted estimate of credit losses.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For trade receivables with no significant financing component SCHMID applies the simplified approach as required by IFRS 9, which requires lifetime ECLs to be recognized from initial recognition of the receivables instead of monitoring the development of the customers’ credit risk. In general, ECLs are recognized in three stages (“general approach”). For credit exposures at initial recognition, ECLs are provided for credit losses that result from default events which may be possible within the next 12-months (Stage 1: a 12-month ECL). For credit exposures for which there has been a significant increase in credit risk since initial recognition, a loss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allowance is required for credit losses expected over the remaining life of the exposure, irrespective of the timing of the default (Stage 2: a lifetime ECL). The same applies if objective indications exist that a default event has occurred (Stage 3: an incurred loss). In this case, any interest income is measured on the basis of the net carrying amount, while for Stage 1 and 2 the basis is the gross carrying amount.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For cash and cash equivalents advantage is taken of the simplification available for financial instruments with a low credit risk (“low credit risk exemption”) as of the reporting date. Factors that can contribute to a low credit risk assessment are debtor-specific rating information and related outlooks. The requirement for classification with a low credit risk is regarded to be fulfilled for counterparties that have at least an investment grade rating; in this case there is no need to monitor credit risks for financial instruments with a low credit risk. The default probabilities applied to determine the expected credit losses for cash and cash equivalents are based on credit default swap spreads that are quoted on markets, which take future-oriented macroeconomic data into account.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general, SCHMID defines a default event as a situation in which the debt is no longer recoverable. If the financial instrument is perceived to be unrecoverable, then the expectation is that future contractual cash flows will not occur. At this point in time, the balance is written off after giving consideration to any possible security that is available.</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Financial liabilities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SCHMID’s financial liabilities include trade payables and other liabilities, lease liabilities (see note 21. Leases), a share option and borrowings. Borrowings consist of loans from financial institutions and other third parties, debt funds and related parties (including bifurcated embedded derivatives).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Financial liabilities are classified as measured at amortized cost (“FLAC”) or fair value through profit or loss (“FVTPL”). All financial liabilities are recognized initially at fair value less, in the case of a financial liability not measured at FVTPL, directly attributable transaction costs.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Financial liabilities at FVTPL are measured at fair value and gains and losses are recognized in finance income / expense. Currently, SCHMID only accounts for options / separated embedded derivatives of loans as a financial liability at FVTPL. All other financial liabilities are subsequently measured at amortized cost using the Effective Interest (“EIR”) method. When applying the EIR method, SCHMID generally amortizes any fees, transaction costs and other premiums or discounts that are included in the calculation of the effective interest rate over the expected life of the financial instrument. Gains and losses are recognized in interest expense when the liabilities are derecognized as well as through the EIR amortization process. If SCHMID revises its estimates of the cash flows used for the initial EIR method of a financial liability, the carrying amount of the financial liability is being adjusted to reflect that fact.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 financial liability is derecognized when the obligation under the liability is discharged or cancelled or expires. When an existing financial liability is replaced by another from the same lender on substantially different terms, or the terms of an existing liability are substantially modified, such an exchange or modification is treated as the derecognition of the original liability and the recognition of a new liability. The resulting gain or loss is recognized in the Consolidated Statements of Profit or Loss and Other Comprehensive Income (Loss).</w:t>
      </w:r>
    </w:p>
    <w:p>
      <w:pPr>
        <w:pStyle w:val="TextBody"/>
        <w:bidi w:val="0"/>
        <w:spacing w:before="0" w:after="240"/>
        <w:ind w:left="200" w:right="200" w:hanging="0"/>
        <w:jc w:val="both"/>
        <w:rPr>
          <w:rFonts w:ascii="Times New Roman;Times;serif" w:hAnsi="Times New Roman;Times;serif"/>
          <w:sz w:val="20"/>
        </w:rPr>
      </w:pPr>
      <w:r>
        <w:rPr>
          <w:rFonts w:ascii="Times New Roman;Times;serif" w:hAnsi="Times New Roman;Times;serif"/>
          <w:sz w:val="20"/>
        </w:rPr>
        <w:t>Warrants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Warrants were considered to be part of the net assets acquired and therefore, management applied the provisions of debt and equity classification under IAS 32 Financial Instruments: Presentation (“IAS 32”). In accordance with IAS 32, a contract to issue a variable number of shares fails to meet the definition of equity and must instead be classified as a derivative liability and measured at fair value with changes in fair value recognized in the consolidated statement of profit and loss and other comprehensive income (loss) at each reporting date. As the Public and Private Warrants include contingent settlement provisions that introduce potential variability to the settlement amounts of the Public Warrants and Private Warrants, dependent on the occurrence of some uncertain future events, the Public Warrants and Private Warrants are accounted for as derivative financial liabilities at fair value, with changes in fair value reflected through profit and loss on the consolidated statement of profit and loss and other comprehensive income (loss).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Current income taxes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Current income tax assets and liabilities are measured at the amount expected to be recovered from or paid to the taxation authorities. This includes liabilities and/or receivables for the current period as well as for prior periods. The tax rates and tax laws used to compute the amount are those that are enacted or substantively enacted at the reporting date in the countries where the reporting entity SCHMID operates and generates taxable income.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Management periodically evaluates positions taken in the tax returns with respect to situations in which applicable tax regulations are subject to interpretation and establishes provisions where appropriate.</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Deferred income taxes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SCHMID uses the liability method of accounting for income taxes. Deferred income tax assets and liabilities represent temporary differences between the carrying amounts of assets and liabilities in the consolidated financial statements and their corresponding tax basis used in the computation of taxable income. Deferred tax however is not recognized on the initial recognition of goodwill, or the initial recognition of an asset or liability (other than in a business combination) in a transaction that affects neither tax nor accounting income.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Deferred tax assets are recognized for all deductible temporary differences, carry forward of unused tax credits and any unused tax losses to the extent it is probable that taxable profit will be available against which the deductible temporary differences, the carry forward of unused tax credits and the unused tax losses can be utilized.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Deferred tax liabilities are recognized for all taxable temporary differences associated with investments in entities and equity method investments, except where SCHMID controls the reversal of the temporary differences and it is probable that the temporary difference will not reverse in the foreseeable future.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Deferred tax assets and liabilities are measured at the tax rates that are expected to apply in the year in which the asset is realized, or the liability is settled, based on tax rates (and tax laws) that have been enacted or substantively enacted at the reporting date.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Deferred tax liabilities and assets are offset when there is a legally enforceable right to offset current tax assets against current tax liabilities and when they relate to income taxes levied by the same taxation authority and SCHMID intends to settle its current tax assets and liabilities on a net basis.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Current and deferred tax items are recognized in profit or loss, other comprehensive income or directly in equity, consistent to where the transaction giving rise to the related income taxes are presented. Changes in deferred tax assets or liabilities are recognized as a component of tax expense (income) in the consolidated statement of profit or loss, except where they relate to items that are recognized in other comprehensive income or directly in equity, in which case the related deferred tax is also recognized in other comprehensive income or equity, respectively.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Deferred tax assets and deferred tax liabilities are not discounted and are always classified as non-current asset or liabilities in the consolidated statement of financial position.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SCHMID’s business activities are complex, and the related domestic and foreign tax interpretations, regulations, laws and case law are constantly changing. These issues can lead to uncertain tax positions. In accordance with IFRIC 23, uncertain tax positions are accounted for if it is probable that the tax authorities will not accept the income tax treatment applied. The better forecast of the “most likely amount” and the “expected value” has to be recognized.</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Provisions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Provisions are recognized when SCHMID has a present obligation (legal or constructive) as a result of a past event, it is probable that an outflow of resources embodying economic benefits will be required to settle the obligation and a reliable estimate can be made of the amount of the obligation.</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Fair Values of Assets and Liabilities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Fair value is a market-based measurement. For some assets and liabilities, observable market transactions or market information is available. For other assets and liabilities, observable market transactions or market information might not be available. When a price for an identical asset or liability is not observable, another valuation technique is used. To increase consistency and comparability in fair value measurements, there are three levels of the fair value hierarchy:</w:t>
      </w:r>
    </w:p>
    <w:tbl>
      <w:tblPr>
        <w:tblW w:w="8856" w:type="dxa"/>
        <w:jc w:val="left"/>
        <w:tblInd w:w="20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contains the use of unadjusted quoted prices in active markets for identical assets or liabilities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are other than quoted prices included within Level 1 that are observable for the asset or liability either directly or indirectly</w:t>
            </w:r>
          </w:p>
        </w:tc>
      </w:tr>
    </w:tbl>
    <w:tbl>
      <w:tblPr>
        <w:tblW w:w="4941" w:type="dxa"/>
        <w:jc w:val="left"/>
        <w:tblInd w:w="200" w:type="dxa"/>
        <w:tblLayout w:type="fixed"/>
        <w:tblCellMar>
          <w:top w:w="28" w:type="dxa"/>
          <w:left w:w="28" w:type="dxa"/>
          <w:bottom w:w="28" w:type="dxa"/>
          <w:right w:w="28" w:type="dxa"/>
        </w:tblCellMar>
      </w:tblPr>
      <w:tblGrid>
        <w:gridCol w:w="124"/>
        <w:gridCol w:w="256"/>
        <w:gridCol w:w="4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are based on unobservable market data</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the inputs used to measure the fair value of an asset or a liability fall into different levels of the fair value hierarchy, then the fair value measurement is categorized in its entirety in the same level of the fair value hierarchy as the lowest level input that is significant to the entire measurement.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SCHMID recognizes transfers between levels of the fair value hierarchy at the end of the reporting period during which the change has occurred.</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Post-employment benefits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SCHMID granted a defined benefit pension to Christian Schmid. The cost of providing benefits under the defined benefit plan is determined using the projected unit credit method.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Remeasurements, comprising actuarial gains and losses, are recognized immediately in the statement of financial position with a corresponding debit or credit in Other comprehensive income (“OCI”) in the period in which they occur. Remeasurements are not reclassified to profit or loss in subsequent periods.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Net interest is calculated by applying the discount rate to the net defined benefit liability. SCHMID recognizes the changes in the net defined benefit obligation under OCI.</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For defined contribution plans, contributions are withheld from employees’ wages and salaries and contributions are made by SCHMID to publicly or privately administered pension insurance plans. SCHMID has no further payment obligations once the contributions have been paid. The contributions are recognized as employee benefit expense when they are due. Prepaid contributions are recognized as an asset to the extent that a cash refund or a reduction in future payments is available.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records revenue in accordance with IFRS 15 “Revenue from Contracts with Customers”. The core principle of the guidance requires that an entity recognizes revenue to depict the transfer of promised goods or services to customers in an amount that reflects the consideration which the Company expects to be entitled to exchange for those goods or services. This guidance defines a five-step process to achieve this core principle and, in doing so, judgment and estimates are required within the revenue recognition process including identifying performance obligations in the contract, estimating the amount of variable consideration to include in the transaction price and allocating the transaction price to each separate performance obligation. Revenue amounts are presented net of discounts.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Revenue from sales of machines and spare parts is recognized at the point in time when the customer obtains control over the products sold upon delivery. Sales of machines sometimes include installation services and extended warranty services which, when requested, are priced as a bundle. However, when sold together, these promises qualify as separate performance obligations as they are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 xml:space="preserve">capable of being distinct and distinct within the context of the contract. The Company allocates transaction prices to these performance obligations based on their relative standalone selling price using a cost-plus margin approach. The respective revenue is recognized after the installation is complete, which is usually after a period of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weeks after delivery. Contracts for sales machines typically require payment at various times prior to and after delivery as follows: an installment payment upon receipt of order confirmation, an installment payment upon delivery and, when installation services are requested, a final payment after installation and customer acceptance of the services. Invoices are according to contractual terms typically payable within 30 – 90 days. Revenue from the sale of extended warranties is recognized overtime on a straight-line basis over the extended warranty period as there is no certain pattern of warranty cases over time and therefore, the benefit to the customer transfers ratably throughout the extension period.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Company offers repair services, inspections and installations of modifications (“Services”), which are optional for customers and priced separately. When these promises are included in a contract with others, the Company considers these to be distinct performance obligations and allocates transaction prices based on their relative standalone selling price. Service revenue is recognized after the Company has satisfied the performance obligation by transferring the promised service to the customer, which is usually not more than a period of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weeks. Services are invoiced after the service has been rendered and according to contractual terms and are typically payable within 30 days.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Certain of the Company’s contracts include the provision of development services over an extended period of up to three years (long-term development contracts). The Company develops machinery according to specific requirements provided by the Customer in exchange for nonrefundable consideration provided at fixed points throughout the contract and additional consideration based on the achievement of milestones.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case of these long-term development contracts, revenue is recognized over time as these contracts meet the criteria of IFRS 15.35. Revenue resulting from fixed payments that the Company receives — which is not connected to defined results — is recognized on a straight-line basis over the term of the contract as the Company efforts and inputs needed are expected to be relatively consistent overtime. Moreover, the Company receives variable consideration at the completion of certain milestones. Due to the high degree of uncertainty with respect to such payments, these are not included in the transaction price recognized overtime and instead are recorded as revenue upon completion of the relevant milestone. If the advance payments invoiced/received exceed the services already provided, the overpayment will be recognized and disclosed under contract liabilities. A contract asset is recognized if the services rendered exceed the advance payments invoiced/received. If the right to consideration is unconditional, a contract asset becomes a trade receivable. This is the case if the due date of the consideration is only dependent on the passage of time. Impairments of contract assets are measured, recognized and disclosed on the same basis as financial assets within the scope of IFRS 9. SCHMID applies industry-standard payment terms when invoicing.</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Inventories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SCHMID capitalizes and measures existing inventory at the lower of cost or net realizable value. The average cost method is used as the measurement standard for acquisition and production costs. The production costs include not only the direct unit costs but also an appropriate share of material and production overheads. Where necessary, impairments to reflect lower net realizable values as well as other inventory risks are recorded. An impairment loss is reversed, if the reasons for the write-down in the past no longer exist.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Government Grants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has received various government grants related to innovation projects encouraged by governmental authorities which generally reimburse a specified amount or proportion of the costs related to such projects either as cash payments or as reductions of tax liabilities. As these grants are not received in the course of normal trading transactions, these grants are treated as government grants in accordance with IAS 20. Government grants related to assets are recognized on the date on which the conditions for receipt of the grant are met and are deducted from the carrying amount of the asset; they are recognized in profit or loss over the life of a depreciable asset as a reduced depreciation expense.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Government grants related to costs incurred by SCHMID are recognized in profit or loss as other operating income in the period in which the Company recognizes as expenses the related costs to be compensated by the grants.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both"/>
        <w:rPr>
          <w:rFonts w:ascii="Times New Roman;Times;serif" w:hAnsi="Times New Roman;Times;serif"/>
          <w:b/>
          <w:sz w:val="20"/>
        </w:rPr>
      </w:pPr>
      <w:r>
        <w:rPr>
          <w:rFonts w:ascii="Times New Roman;Times;serif" w:hAnsi="Times New Roman;Times;serif"/>
          <w:b/>
          <w:sz w:val="20"/>
        </w:rPr>
        <w:t>Interests in equity-accounted investees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Group’s interests in equity-accounted investees comprise interests in associates. Associates are those entities in which the Group has significant influence, but not control or joint control, over the financial and operating policies.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Interests in associates are accounted for under the equity method. They are initially recognized at cost, which includes transactions costs. After initial recognition, the consolidated financial statements include the Group’s share of profit or loss and OCI of equity-accounted investees, until the date on which significant influence ceases.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Where SCHMID’s share of losses in an equity-accounted investment equals or exceeds its interest in the entity, including any other unsecured long-term receivables, SCHMID does not recognize further losses, unless it has incurred obligations or made payments on behalf of the other entity. Unrealized gains on transactions between SCHMID and its equity method investees are eliminated to the extent of SCHMID’s interest in these entities. Unrealized losses are also eliminated unless the underlying transaction provides evidence of an impairment of the asset transferred. Accounting policies of equity-accounted investees have been changed where necessary to ensure consistency with the policies adopted by SCHMID.</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New and amended standards adopted by SCHMID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has applied the following standards and amendments for the first time for its annual reporting period commencing January 1, 2025: Amendment to IAS 21 – Lack of Exchangeability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amendment listed above did not have any material impact on the amounts recognized in prior periods and is not expected to significantly affect the current or future periods.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New Standards and Interpretations not yet adopted by SCHMID</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new and amended standards and interpretations that are issued, but not yet effective, up to the date of issuance of SCHMID’s financial statements are disclosed below. SCHMID intends to adopt these new and amended standards and interpretations, if applicable, when they become effective.</w:t>
      </w:r>
    </w:p>
    <w:p>
      <w:pPr>
        <w:pStyle w:val="TextBody"/>
        <w:bidi w:val="0"/>
        <w:spacing w:before="0" w:after="240"/>
        <w:ind w:left="200" w:right="200" w:hanging="0"/>
        <w:jc w:val="both"/>
        <w:rPr/>
      </w:pPr>
      <w:r>
        <w:rPr/>
        <w:t>​</w:t>
      </w:r>
    </w:p>
    <w:tbl>
      <w:tblPr>
        <w:tblW w:w="8808" w:type="dxa"/>
        <w:jc w:val="left"/>
        <w:tblInd w:w="200" w:type="dxa"/>
        <w:tblLayout w:type="fixed"/>
        <w:tblCellMar>
          <w:top w:w="0" w:type="dxa"/>
          <w:left w:w="0" w:type="dxa"/>
          <w:bottom w:w="0" w:type="dxa"/>
          <w:right w:w="0" w:type="dxa"/>
        </w:tblCellMar>
      </w:tblPr>
      <w:tblGrid>
        <w:gridCol w:w="7306"/>
        <w:gridCol w:w="346"/>
        <w:gridCol w:w="1156"/>
      </w:tblGrid>
      <w:tr>
        <w:trPr/>
        <w:tc>
          <w:tcPr>
            <w:tcW w:w="73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639310" cy="175260"/>
                      <wp:effectExtent l="0" t="0" r="0" b="0"/>
                      <wp:wrapNone/>
                      <wp:docPr id="127" name="Frame125"/>
                      <a:graphic xmlns:a="http://schemas.openxmlformats.org/drawingml/2006/main">
                        <a:graphicData uri="http://schemas.microsoft.com/office/word/2010/wordprocessingShape">
                          <wps:wsp>
                            <wps:cNvSpPr txBox="1"/>
                            <wps:spPr>
                              <a:xfrm>
                                <a:off x="0" y="0"/>
                                <a:ext cx="463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28"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734060" cy="175260"/>
                      <wp:effectExtent l="0" t="0" r="0" b="0"/>
                      <wp:wrapNone/>
                      <wp:docPr id="129" name="Frame127"/>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Standard</w:t>
            </w:r>
          </w:p>
        </w:tc>
        <w:tc>
          <w:tcPr>
            <w:tcW w:w="346" w:type="dxa"/>
            <w:tcBorders/>
            <w:vAlign w:val="center"/>
          </w:tcPr>
          <w:p>
            <w:pPr>
              <w:pStyle w:val="TableContents"/>
              <w:bidi w:val="0"/>
              <w:spacing w:before="0" w:after="0"/>
              <w:ind w:left="0" w:right="0" w:hanging="0"/>
              <w:jc w:val="center"/>
              <w:rPr/>
            </w:pPr>
            <w:r>
              <w:rPr/>
              <w:t>  ​ ​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Effective date</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Contracts Referencing Nature-dependent Electricity - Amendments to IFRS 9 and IFRS 7</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1/1/2026</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Annual Improvements Volume 11 </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1/1/2026</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Amendments to the Classification and Measurement of Financial Instruments</w:t>
            </w:r>
          </w:p>
        </w:tc>
        <w:tc>
          <w:tcPr>
            <w:tcW w:w="34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1/1/2026</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IFRS 18 - Presentation and Disclosure in Financial Statements</w:t>
            </w:r>
          </w:p>
        </w:tc>
        <w:tc>
          <w:tcPr>
            <w:tcW w:w="3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1/1/2027</w:t>
            </w:r>
          </w:p>
        </w:tc>
      </w:tr>
    </w:tbl>
    <w:p>
      <w:pPr>
        <w:pStyle w:val="TextBody"/>
        <w:bidi w:val="0"/>
        <w:spacing w:before="0" w:after="0"/>
        <w:ind w:left="200" w:right="200" w:hanging="0"/>
        <w:jc w:val="left"/>
        <w:rPr/>
      </w:pPr>
      <w:r>
        <w:rPr/>
        <w:t>​</w:t>
      </w:r>
    </w:p>
    <w:p>
      <w:pPr>
        <w:pStyle w:val="TextBody"/>
        <w:bidi w:val="0"/>
        <w:spacing w:before="0" w:after="240"/>
        <w:ind w:left="200" w:right="200" w:hanging="0"/>
        <w:jc w:val="both"/>
        <w:rPr>
          <w:rFonts w:ascii="Times New Roman;Times;serif" w:hAnsi="Times New Roman;Times;serif"/>
          <w:sz w:val="20"/>
        </w:rPr>
      </w:pPr>
      <w:r>
        <w:rPr>
          <w:rFonts w:ascii="Times New Roman;Times;serif" w:hAnsi="Times New Roman;Times;serif"/>
          <w:sz w:val="20"/>
        </w:rPr>
        <w:t>IFRS 18 Presentation and Disclosure in Financial Statements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April 2024, the IASB issued IFRS 18, which replaces IAS 1 Presentation of Financial Statements. IFRS 18 introduces new requirements for presentation within the statement of profit or loss, including specified totals and subtotals. Furthermore, entities are required to classify all income and expenses within the statement of profit or loss into one of five categories: operating, investing, financing, income taxes and discontinued operations, whereof the first three are new. It also requires disclosure of newly defined management-defined performance measures, subtotals of income and expenses, and includes new requirements for aggregation and disaggregation of financial information based on the identified ‘roles’ of the primary financial statements (PFS) and the notes. IFRS 18, and the amendments to the other standards, is effective for reporting periods beginning on or after January 1, 2027, but earlier application is permitted and must be disclosed. IFRS 18 will apply retrospectively.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SCHMID is currently working to identify all impacts the amendments will have on the primary financial statements and notes to the financial statements.</w:t>
      </w:r>
    </w:p>
    <w:p>
      <w:pPr>
        <w:pStyle w:val="TextBody"/>
        <w:bidi w:val="0"/>
        <w:spacing w:before="0" w:after="240"/>
        <w:ind w:left="200" w:right="200" w:hanging="0"/>
        <w:jc w:val="left"/>
        <w:rPr>
          <w:rFonts w:ascii="Times New Roman;Times;serif" w:hAnsi="Times New Roman;Times;serif"/>
          <w:b/>
          <w:sz w:val="20"/>
        </w:rPr>
      </w:pPr>
      <w:bookmarkStart w:id="691" w:name="a4SIGNIFICANTACCOUNTINGJUDGMENTSESTIMATE"/>
      <w:bookmarkEnd w:id="691"/>
      <w:r>
        <w:rPr>
          <w:rFonts w:ascii="Times New Roman;Times;serif" w:hAnsi="Times New Roman;Times;serif"/>
          <w:b/>
          <w:i w:val="false"/>
          <w:caps w:val="false"/>
          <w:smallCaps w:val="false"/>
          <w:sz w:val="20"/>
        </w:rPr>
        <w:t>5.</w:t>
      </w:r>
      <w:r>
        <w:rPr>
          <w:rFonts w:ascii="Times New Roman;Times;serif" w:hAnsi="Times New Roman;Times;serif"/>
          <w:b/>
          <w:sz w:val="20"/>
        </w:rPr>
        <w:t>SIGNIFICANT ACCOUNTING JUDGMENTS, ESTIMATES AND ASSUMPTIONS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The preparation of SCHMID’s consolidated financial statements requires management to make judgements, estimates and assumptions that affect the reported amounts. Management exercises its best judgment based upon its experience and the circumstances prevailing at that time. The estimates and assumptions are based on available information and conditions at the end of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the financial period presented and are reviewed on an ongoing basis. Actual results may differ from these estimates under different assumptions and conditions and may materially affect the financial results or the financial position reported in future periods.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Accounting Judgments</w:t>
      </w:r>
    </w:p>
    <w:p>
      <w:pPr>
        <w:pStyle w:val="TextBody"/>
        <w:bidi w:val="0"/>
        <w:spacing w:before="0" w:after="240"/>
        <w:ind w:left="200" w:right="200" w:hanging="0"/>
        <w:jc w:val="both"/>
        <w:rPr>
          <w:rFonts w:ascii="Times New Roman;Times;serif" w:hAnsi="Times New Roman;Times;serif"/>
          <w:sz w:val="20"/>
        </w:rPr>
      </w:pPr>
      <w:r>
        <w:rPr>
          <w:rFonts w:ascii="Times New Roman;Times;serif" w:hAnsi="Times New Roman;Times;serif"/>
          <w:sz w:val="20"/>
        </w:rPr>
        <w:t>Debt to equity swap</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2024, SCHMID and XJ Harbour entered into an agreement to transfer the shares of the Company’s subsidiary SCHMID Technology (Guangdong) Co., Ltd. (STG) from XJ Harbour back to SCHMID in exchange for 1,406,361 shares in SCHMID and €30 million cash. In November 2025, due to the liquidity shortages of SCHMID experienced during 2025, the parties entered into agreements which resulted in an exchange of the remaining cash obligation of €22,666 thousand due to XJ Harbour for equity in SCHMID. Management has concluded, that at the date of the agreements, the cash payment obligation was substantially modified and therefore must be derecognized. The new liability to deliver shares of SCHMID to XJ Harbour has been recognized as of the closing date in November 2025 at fair value (€54,846 thousand) as well as embedded derivative assets and liabilities resulting from a share price protection clause amounting to a net €2,156 thousand liability. See note 29 for further details.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Accounting Estimates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Impairment test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An impairment test on R&amp;D costs capitalized on assets that are not yet ready for use is performed at each reporting date. For detailed information on key assumptions underlying recoverable amounts please see note 19. Intangible Assets.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Financial assets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Our investment in Group14 shares, a private company whose share are not publicly traded, require significant estimates to determine the fair value of the Group14 shares. For further detail refer to note 22. Financial Assets.</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bookmarkStart w:id="692" w:name="a6SEGMENTANDGEOGRAPHICINFORMATION_795417"/>
      <w:bookmarkEnd w:id="692"/>
      <w:r>
        <w:rPr>
          <w:rFonts w:ascii="Times New Roman;Times;serif" w:hAnsi="Times New Roman;Times;serif"/>
          <w:b/>
          <w:i w:val="false"/>
          <w:caps w:val="false"/>
          <w:smallCaps w:val="false"/>
          <w:sz w:val="20"/>
        </w:rPr>
        <w:t>6.</w:t>
      </w:r>
      <w:r>
        <w:rPr>
          <w:rFonts w:ascii="Times New Roman;Times;serif" w:hAnsi="Times New Roman;Times;serif"/>
          <w:b/>
          <w:sz w:val="20"/>
        </w:rPr>
        <w:t>SEGMENT AND GEOGRAPHIC INFORMATION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accordance with IFRS 8, Operating Segments, the Company’s operating segments are based on the management approach. Accordingly, segments must be classified and disclosed based on the criteria used internally by the chief operating decision maker (CODM) for the allocation of resources and the evaluation of performance of the components of SCHMID. The Chief Executive Officer, who allocates resources and evaluates segment performance based on the reports regularly submitted to him is the CODM.</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the CODM examines the Company’s performance from a product perspective and has therefore identified two operating segments:</w:t>
      </w:r>
    </w:p>
    <w:tbl>
      <w:tblPr>
        <w:tblW w:w="9805" w:type="dxa"/>
        <w:jc w:val="left"/>
        <w:tblInd w:w="200" w:type="dxa"/>
        <w:tblLayout w:type="fixed"/>
        <w:tblCellMar>
          <w:top w:w="28" w:type="dxa"/>
          <w:left w:w="28" w:type="dxa"/>
          <w:bottom w:w="28" w:type="dxa"/>
          <w:right w:w="28" w:type="dxa"/>
        </w:tblCellMar>
      </w:tblPr>
      <w:tblGrid>
        <w:gridCol w:w="124"/>
        <w:gridCol w:w="327"/>
        <w:gridCol w:w="9354"/>
      </w:tblGrid>
      <w:tr>
        <w:trPr/>
        <w:tc>
          <w:tcPr>
            <w:tcW w:w="124" w:type="dxa"/>
            <w:tcBorders/>
            <w:vAlign w:val="center"/>
          </w:tcPr>
          <w:p>
            <w:pPr>
              <w:pStyle w:val="TableContents"/>
              <w:bidi w:val="0"/>
              <w:spacing w:before="0" w:after="283"/>
              <w:jc w:val="left"/>
              <w:rPr>
                <w:sz w:val="4"/>
                <w:szCs w:val="4"/>
              </w:rPr>
            </w:pPr>
            <w:r>
              <w:rPr>
                <w:sz w:val="4"/>
                <w:szCs w:val="4"/>
              </w:rPr>
            </w:r>
          </w:p>
        </w:tc>
        <w:tc>
          <w:tcPr>
            <w:tcW w:w="32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35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equipment and processes includes mainly the sale of machines including installation and extended warranties.</w:t>
            </w:r>
          </w:p>
        </w:tc>
      </w:tr>
    </w:tbl>
    <w:tbl>
      <w:tblPr>
        <w:tblW w:w="9805" w:type="dxa"/>
        <w:jc w:val="left"/>
        <w:tblInd w:w="200" w:type="dxa"/>
        <w:tblLayout w:type="fixed"/>
        <w:tblCellMar>
          <w:top w:w="28" w:type="dxa"/>
          <w:left w:w="28" w:type="dxa"/>
          <w:bottom w:w="28" w:type="dxa"/>
          <w:right w:w="28" w:type="dxa"/>
        </w:tblCellMar>
      </w:tblPr>
      <w:tblGrid>
        <w:gridCol w:w="124"/>
        <w:gridCol w:w="320"/>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Spare parts and services includes the sale of spare parts as well as services including repairs, modifications of machines and inspections.</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operating segments are also the reporting segments of the Company.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performance of the operating segments is measured on the basis of revenue and Segment Adjusted EBITDA, as measured for management reporting purposes. The measure is defined as net profit (loss) calculated in accordance with IFRS Accounting Standards before financial result including result from at equity investments, taxes, depreciation and amortization.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Assets are neither allocated to the operating segments nor regularly provided to the CODM.</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firstLine="360"/>
        <w:jc w:val="left"/>
        <w:rPr>
          <w:rFonts w:ascii="Times New Roman;Times;serif" w:hAnsi="Times New Roman;Times;serif"/>
          <w:sz w:val="20"/>
        </w:rPr>
      </w:pPr>
      <w:bookmarkStart w:id="693" w:name="Tc_dTVaVx-B80W7b3NTg3lAWA_7_0"/>
      <w:bookmarkStart w:id="694" w:name="Tc_lqzg3PLNd0qbkPpeORanAg_6_0"/>
      <w:bookmarkStart w:id="695" w:name="Tc_PxP0lC4AtkWUDCBZLctucw_5_4"/>
      <w:bookmarkStart w:id="696" w:name="Tc_BGKZwnZZpUaXXGOw-dxxSQ_5_0"/>
      <w:bookmarkStart w:id="697" w:name="Tc_8LjNkbTQoE6BGWtfLJD9Kg_4_0"/>
      <w:bookmarkStart w:id="698" w:name="Tc_5xlLTlJOXEihgV_uoKNKug_3_0"/>
      <w:bookmarkStart w:id="699" w:name="Tc_84Axbpagh0ukWxqNgos1Xw_2_0"/>
      <w:bookmarkStart w:id="700" w:name="Tc_WPQBgOWk2E-n1JUWMSDCGA_1_6"/>
      <w:bookmarkStart w:id="701" w:name="Tc_B-cjgiTYPUiKpI2SQuYKzg_1_4"/>
      <w:bookmarkStart w:id="702" w:name="Tc_QlufRzbE20KyIKVFisexzw_1_2"/>
      <w:bookmarkStart w:id="703" w:name="Tc_CGk17a8Ou0SBIymzzAIJoQ_1_0"/>
      <w:bookmarkStart w:id="704" w:name="_bf49b9c7_e0b3_4c49_877b_773f28795a24"/>
      <w:bookmarkStart w:id="705" w:name="Tc_QYh0a7X6EUOwQRbpxnkGjQ_6_0"/>
      <w:bookmarkStart w:id="706" w:name="Tc_vWPAYPocgU6bDRbilAv-Wg_5_6"/>
      <w:bookmarkStart w:id="707" w:name="Tc_OrnTEIr9OUWSf47rydGK_Q_5_0"/>
      <w:bookmarkStart w:id="708" w:name="Tc_N6EKw5GOnkWuPWMb2sT8FQ_4_8"/>
      <w:bookmarkStart w:id="709" w:name="Tc_i4bWeldiMk-DI__ZAne_1Q_4_6"/>
      <w:bookmarkStart w:id="710" w:name="Tc_u6wjIdP3F0m2WrObJLOwug_4_4"/>
      <w:bookmarkStart w:id="711" w:name="Tc_tTB9H7KPvkyz2-ysQOzSow_4_2"/>
      <w:bookmarkStart w:id="712" w:name="Tc_GuS0tkazCEGDrzS5yEnRTw_4_0"/>
      <w:bookmarkStart w:id="713" w:name="Tc_M4PqD2tQYECGBRtVltsVCA_3_8"/>
      <w:bookmarkStart w:id="714" w:name="Tc_L09ak2BpDE-JnnYwETpbjA_3_4"/>
      <w:bookmarkStart w:id="715" w:name="Tc_3Q6_kapWkUOkKhJ5u-Gz6A_3_2"/>
      <w:bookmarkStart w:id="716" w:name="Tc_7pvW44KYOU2LcYY5aZIF_w_2_8"/>
      <w:bookmarkStart w:id="717" w:name="Tc_I0SJU0c8SE-xdwXWrwRi7g_2_2"/>
      <w:bookmarkStart w:id="718" w:name="Tc_PD_PtyW_R0ydVsLD1GsBMg_1_2"/>
      <w:bookmarkStart w:id="719" w:name="_9b8a8ca1_35e1_47e7_8714_70a7be9199cf"/>
      <w:bookmarkStart w:id="720" w:name="Tc_k3BXfEpXgEWFnSztttwhmA_6_0"/>
      <w:bookmarkStart w:id="721" w:name="Tc_9sS9L5oKdECJstIPz2qLeQ_5_0"/>
      <w:bookmarkStart w:id="722" w:name="Tc_Oc-Yfi6RaEiwM9VWJfyJNg_4_8"/>
      <w:bookmarkStart w:id="723" w:name="Tc_4b2kZWJd60OtBO6vdM2iDg_4_6"/>
      <w:bookmarkStart w:id="724" w:name="Tc_QulUNR5sWEeaPwb7LXWjHw_4_4"/>
      <w:bookmarkStart w:id="725" w:name="Tc_rAVWhUhvHUuO9LdC8Giv2A_4_2"/>
      <w:bookmarkStart w:id="726" w:name="Tc_l344Nk4iMUOcn4ROhBWDGQ_3_8"/>
      <w:bookmarkStart w:id="727" w:name="Tc_GZP2OlNKbEKELqG5b45Mew_3_4"/>
      <w:bookmarkStart w:id="728" w:name="Tc_HXScgvpoxEG5M0b67l1WiA_3_2"/>
      <w:bookmarkStart w:id="729" w:name="Tc_IcDU297Vw0CoUJbpwWvB0Q_2_8"/>
      <w:bookmarkStart w:id="730" w:name="Tc_CpE1yzrQ9UyLDvSCDn31ew_2_2"/>
      <w:bookmarkStart w:id="731" w:name="Tc_EmWo7TGkrUecbYwvI4z4ow_1_2"/>
      <w:bookmarkStart w:id="732" w:name="_3deb54f4_8a0a_41a4_a727_b11d9d2f2b0b"/>
      <w:bookmarkStart w:id="733" w:name="Tc_BQCrcZ7rkk-_SRPsnvG2_w_6_0"/>
      <w:bookmarkStart w:id="734" w:name="Tc_KfT8aTYJD0y7RWrOV82lOw_5_0"/>
      <w:bookmarkStart w:id="735" w:name="Tc_nfjo9mYxLkinY7h3DsGnXg_4_8"/>
      <w:bookmarkStart w:id="736" w:name="Tc_zWnCpwLb3keYBeEsL7wDkA_4_6"/>
      <w:bookmarkStart w:id="737" w:name="Tc_jF6riOt_CUWzjYWDlkR0dw_4_4"/>
      <w:bookmarkStart w:id="738" w:name="Tc_WSWce9S1dUew3TP4aSB0Dg_4_2"/>
      <w:bookmarkStart w:id="739" w:name="Tc_Og0GHWTL0Em75q_4CEH1mQ_3_8"/>
      <w:bookmarkStart w:id="740" w:name="Tc_4rIVJXfZtEKEv8eGslQQpQ_3_4"/>
      <w:bookmarkStart w:id="741" w:name="Tc_9e59zySoeUmF2_K43jes6Q_3_2"/>
      <w:bookmarkStart w:id="742" w:name="Tc_Iq1LVEAIBUSquv4KF0oqzg_2_8"/>
      <w:bookmarkStart w:id="743" w:name="Tc_o-KZ2GwLwES3YQ_z-TPvOg_2_2"/>
      <w:bookmarkStart w:id="744" w:name="Tc_udUpR8k8q0ClLBGnNCHP6Q_1_2"/>
      <w:bookmarkStart w:id="745" w:name="_29c2a6d4_95a8_46aa_8f5d_18f5685e5620"/>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r>
        <w:rPr>
          <w:rFonts w:ascii="Times New Roman;Times;serif" w:hAnsi="Times New Roman;Times;serif"/>
          <w:sz w:val="20"/>
        </w:rPr>
        <w:t>SCHMID’s key financial metrics by segment are as follows:</w:t>
      </w:r>
    </w:p>
    <w:p>
      <w:pPr>
        <w:pStyle w:val="TextBody"/>
        <w:bidi w:val="0"/>
        <w:spacing w:before="0" w:after="240"/>
        <w:ind w:left="200" w:right="200" w:hanging="0"/>
        <w:jc w:val="both"/>
        <w:rPr/>
      </w:pPr>
      <w:r>
        <w:rPr/>
        <w:t>​</w:t>
      </w:r>
    </w:p>
    <w:tbl>
      <w:tblPr>
        <w:tblW w:w="7434" w:type="dxa"/>
        <w:jc w:val="left"/>
        <w:tblInd w:w="200" w:type="dxa"/>
        <w:tblLayout w:type="fixed"/>
        <w:tblCellMar>
          <w:top w:w="0" w:type="dxa"/>
          <w:left w:w="0" w:type="dxa"/>
          <w:bottom w:w="0" w:type="dxa"/>
          <w:right w:w="0" w:type="dxa"/>
        </w:tblCellMar>
      </w:tblPr>
      <w:tblGrid>
        <w:gridCol w:w="2311"/>
        <w:gridCol w:w="346"/>
        <w:gridCol w:w="1081"/>
        <w:gridCol w:w="346"/>
        <w:gridCol w:w="991"/>
        <w:gridCol w:w="346"/>
        <w:gridCol w:w="541"/>
        <w:gridCol w:w="346"/>
        <w:gridCol w:w="1126"/>
      </w:tblGrid>
      <w:tr>
        <w:trPr/>
        <w:tc>
          <w:tcPr>
            <w:tcW w:w="23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467485" cy="175260"/>
                      <wp:effectExtent l="0" t="0" r="0" b="0"/>
                      <wp:wrapNone/>
                      <wp:docPr id="130" name="Frame128"/>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1"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86435" cy="175260"/>
                      <wp:effectExtent l="0" t="0" r="0" b="0"/>
                      <wp:wrapNone/>
                      <wp:docPr id="132" name="Frame130"/>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3"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29285" cy="175260"/>
                      <wp:effectExtent l="0" t="0" r="0" b="0"/>
                      <wp:wrapNone/>
                      <wp:docPr id="134" name="Frame13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5"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343535" cy="175260"/>
                      <wp:effectExtent l="0" t="0" r="0" b="0"/>
                      <wp:wrapNone/>
                      <wp:docPr id="136" name="Frame13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37"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715010" cy="175260"/>
                      <wp:effectExtent l="0" t="0" r="0" b="0"/>
                      <wp:wrapNone/>
                      <wp:docPr id="138" name="Frame136"/>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77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Technical </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equipment </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Spare parts </w:t>
            </w:r>
          </w:p>
        </w:tc>
        <w:tc>
          <w:tcPr>
            <w:tcW w:w="346"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management </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processes</w:t>
            </w:r>
          </w:p>
        </w:tc>
        <w:tc>
          <w:tcPr>
            <w:tcW w:w="346" w:type="dxa"/>
            <w:tcBorders/>
            <w:vAlign w:val="center"/>
          </w:tcPr>
          <w:p>
            <w:pPr>
              <w:pStyle w:val="TableContents"/>
              <w:bidi w:val="0"/>
              <w:spacing w:before="0" w:after="0"/>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services</w:t>
            </w:r>
          </w:p>
        </w:tc>
        <w:tc>
          <w:tcPr>
            <w:tcW w:w="346" w:type="dxa"/>
            <w:tcBorders/>
            <w:vAlign w:val="center"/>
          </w:tcPr>
          <w:p>
            <w:pPr>
              <w:pStyle w:val="TableContents"/>
              <w:bidi w:val="0"/>
              <w:spacing w:before="0" w:after="0"/>
              <w:ind w:left="0" w:right="0" w:hanging="0"/>
              <w:jc w:val="center"/>
              <w:rPr/>
            </w:pPr>
            <w:r>
              <w:rPr/>
              <w:t>  ​ ​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  ​ ​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reporting</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54,446</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11,885</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66,945</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3,415</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6,267</w:t>
            </w:r>
          </w:p>
        </w:tc>
      </w:tr>
    </w:tbl>
    <w:p>
      <w:pPr>
        <w:pStyle w:val="TextBody"/>
        <w:bidi w:val="0"/>
        <w:spacing w:before="0" w:after="0"/>
        <w:ind w:left="200" w:right="200" w:hanging="0"/>
        <w:jc w:val="left"/>
        <w:rPr/>
      </w:pPr>
      <w:r>
        <w:rPr/>
        <w:t>​</w:t>
      </w:r>
    </w:p>
    <w:tbl>
      <w:tblPr>
        <w:tblW w:w="7689" w:type="dxa"/>
        <w:jc w:val="left"/>
        <w:tblInd w:w="200" w:type="dxa"/>
        <w:tblLayout w:type="fixed"/>
        <w:tblCellMar>
          <w:top w:w="0" w:type="dxa"/>
          <w:left w:w="0" w:type="dxa"/>
          <w:bottom w:w="0" w:type="dxa"/>
          <w:right w:w="0" w:type="dxa"/>
        </w:tblCellMar>
      </w:tblPr>
      <w:tblGrid>
        <w:gridCol w:w="2311"/>
        <w:gridCol w:w="346"/>
        <w:gridCol w:w="1081"/>
        <w:gridCol w:w="346"/>
        <w:gridCol w:w="991"/>
        <w:gridCol w:w="346"/>
        <w:gridCol w:w="796"/>
        <w:gridCol w:w="346"/>
        <w:gridCol w:w="1126"/>
      </w:tblGrid>
      <w:tr>
        <w:trPr/>
        <w:tc>
          <w:tcPr>
            <w:tcW w:w="23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467485" cy="175260"/>
                      <wp:effectExtent l="0" t="0" r="0" b="0"/>
                      <wp:wrapNone/>
                      <wp:docPr id="139" name="Frame137"/>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0"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86435" cy="175260"/>
                      <wp:effectExtent l="0" t="0" r="0" b="0"/>
                      <wp:wrapNone/>
                      <wp:docPr id="141" name="Frame139"/>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2"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29285" cy="175260"/>
                      <wp:effectExtent l="0" t="0" r="0" b="0"/>
                      <wp:wrapNone/>
                      <wp:docPr id="143" name="Frame14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4"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05460" cy="175260"/>
                      <wp:effectExtent l="0" t="0" r="0" b="0"/>
                      <wp:wrapNone/>
                      <wp:docPr id="145" name="Frame14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46"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715010" cy="175260"/>
                      <wp:effectExtent l="0" t="0" r="0" b="0"/>
                      <wp:wrapNone/>
                      <wp:docPr id="147" name="Frame14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03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Technical </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equipment </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Spare parts </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management </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processes</w:t>
            </w:r>
          </w:p>
        </w:tc>
        <w:tc>
          <w:tcPr>
            <w:tcW w:w="346" w:type="dxa"/>
            <w:tcBorders/>
            <w:vAlign w:val="center"/>
          </w:tcPr>
          <w:p>
            <w:pPr>
              <w:pStyle w:val="TableContents"/>
              <w:bidi w:val="0"/>
              <w:spacing w:before="0" w:after="0"/>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services</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  ​ ​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reporting</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49,593</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11,192</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60,836</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2,459</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(77,527)</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(74,457)</w:t>
            </w:r>
          </w:p>
        </w:tc>
      </w:tr>
    </w:tbl>
    <w:p>
      <w:pPr>
        <w:pStyle w:val="TextBody"/>
        <w:bidi w:val="0"/>
        <w:spacing w:before="0" w:after="0"/>
        <w:ind w:left="200" w:right="200" w:hanging="0"/>
        <w:jc w:val="left"/>
        <w:rPr/>
      </w:pPr>
      <w:r>
        <w:rPr/>
        <w:t>​</w:t>
      </w:r>
    </w:p>
    <w:tbl>
      <w:tblPr>
        <w:tblW w:w="7524" w:type="dxa"/>
        <w:jc w:val="left"/>
        <w:tblInd w:w="200" w:type="dxa"/>
        <w:tblLayout w:type="fixed"/>
        <w:tblCellMar>
          <w:top w:w="0" w:type="dxa"/>
          <w:left w:w="0" w:type="dxa"/>
          <w:bottom w:w="0" w:type="dxa"/>
          <w:right w:w="0" w:type="dxa"/>
        </w:tblCellMar>
      </w:tblPr>
      <w:tblGrid>
        <w:gridCol w:w="2311"/>
        <w:gridCol w:w="346"/>
        <w:gridCol w:w="1081"/>
        <w:gridCol w:w="346"/>
        <w:gridCol w:w="991"/>
        <w:gridCol w:w="346"/>
        <w:gridCol w:w="676"/>
        <w:gridCol w:w="346"/>
        <w:gridCol w:w="1081"/>
      </w:tblGrid>
      <w:tr>
        <w:trPr/>
        <w:tc>
          <w:tcPr>
            <w:tcW w:w="23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467485" cy="175260"/>
                      <wp:effectExtent l="0" t="0" r="0" b="0"/>
                      <wp:wrapNone/>
                      <wp:docPr id="148" name="Frame146"/>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49"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86435" cy="175260"/>
                      <wp:effectExtent l="0" t="0" r="0" b="0"/>
                      <wp:wrapNone/>
                      <wp:docPr id="150" name="Frame14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1"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29285" cy="175260"/>
                      <wp:effectExtent l="0" t="0" r="0" b="0"/>
                      <wp:wrapNone/>
                      <wp:docPr id="152" name="Frame15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3"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29260" cy="175260"/>
                      <wp:effectExtent l="0" t="0" r="0" b="0"/>
                      <wp:wrapNone/>
                      <wp:docPr id="154" name="Frame1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5"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86435" cy="175260"/>
                      <wp:effectExtent l="0" t="0" r="0" b="0"/>
                      <wp:wrapNone/>
                      <wp:docPr id="156" name="Frame15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86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Technical </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Spare parts </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management</w:t>
            </w:r>
          </w:p>
        </w:tc>
      </w:tr>
      <w:tr>
        <w:trPr/>
        <w:tc>
          <w:tcPr>
            <w:tcW w:w="23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processes</w:t>
            </w:r>
          </w:p>
        </w:tc>
        <w:tc>
          <w:tcPr>
            <w:tcW w:w="346" w:type="dxa"/>
            <w:tcBorders/>
            <w:vAlign w:val="center"/>
          </w:tcPr>
          <w:p>
            <w:pPr>
              <w:pStyle w:val="TableContents"/>
              <w:bidi w:val="0"/>
              <w:spacing w:before="0" w:after="0"/>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services</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  ​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reporting</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78,743</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11,503</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90,246</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12,872</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3,787</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22,440</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39,099</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column “Other” includes costs related to head office and group services as well as certain effects not directly attributable to the operating segments.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For the year ended December 31, 2025 the column “Other” include legal and consulting expenses (€3,390 thousand) and G&amp;A costs like insurances and salaries (€6,149 thousand). The income in “Other” is mainly due to the waiver with debtor warrant which was granted for €5,000 thousand and the income from currency conversion of €5,100 thousand.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2024, the expense in “Other” is mainly due to the share listing expense amounting to €71,631 thousand as well as other cost associated with the listing (€ 1,765 thousand), legal and consulting (€3,607 thousand) as well as general and administration costs (€3,250 thousand).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the financial year ended December 31, 2023 the column “Other” includes costs related to head office and group services as well as certain effects not directly attributable to the operating segments. In 2023, the income in “Other” is mainly due to the reversal of the impairment of the Silicon receivables (€21.375 thousand) and the gain resulting from bonus payments relating to disposals of several entities (€ 4,700 thousand) and reversal of impairment of shareholder loan (€1,418 thousand). In addition, the column “Other” include costs associated with the listing (€5,410 thousand), G&amp;A costs like salaries and insurances (€2,207 thousand) and compensation (€1,875 thousand).</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Reconciliation from total Segment Adjusted EBITDA to income (loss) for the period according to IFRS:</w:t>
      </w:r>
    </w:p>
    <w:p>
      <w:pPr>
        <w:pStyle w:val="TextBody"/>
        <w:bidi w:val="0"/>
        <w:spacing w:before="0" w:after="240"/>
        <w:ind w:left="200" w:right="200" w:hanging="0"/>
        <w:jc w:val="both"/>
        <w:rPr/>
      </w:pPr>
      <w:r>
        <w:rPr/>
        <w:t>​</w:t>
      </w:r>
    </w:p>
    <w:tbl>
      <w:tblPr>
        <w:tblW w:w="6997" w:type="dxa"/>
        <w:jc w:val="left"/>
        <w:tblInd w:w="200" w:type="dxa"/>
        <w:tblLayout w:type="fixed"/>
        <w:tblCellMar>
          <w:top w:w="0" w:type="dxa"/>
          <w:left w:w="0" w:type="dxa"/>
          <w:bottom w:w="0" w:type="dxa"/>
          <w:right w:w="0" w:type="dxa"/>
        </w:tblCellMar>
      </w:tblPr>
      <w:tblGrid>
        <w:gridCol w:w="3586"/>
        <w:gridCol w:w="346"/>
        <w:gridCol w:w="796"/>
        <w:gridCol w:w="346"/>
        <w:gridCol w:w="796"/>
        <w:gridCol w:w="346"/>
        <w:gridCol w:w="781"/>
      </w:tblGrid>
      <w:tr>
        <w:trPr/>
        <w:tc>
          <w:tcPr>
            <w:tcW w:w="3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ind w:left="0" w:right="0" w:hanging="0"/>
              <w:jc w:val="left"/>
              <w:rPr>
                <w:sz w:val="4"/>
                <w:szCs w:val="4"/>
              </w:rPr>
            </w:pPr>
            <w:r>
              <w:rPr>
                <w:sz w:val="4"/>
                <w:szCs w:val="4"/>
              </w:rPr>
            </w:r>
          </w:p>
        </w:tc>
      </w:tr>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277110" cy="175260"/>
                      <wp:effectExtent l="0" t="0" r="0" b="0"/>
                      <wp:wrapNone/>
                      <wp:docPr id="157" name="Frame155"/>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58"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05460" cy="175260"/>
                      <wp:effectExtent l="0" t="0" r="0" b="0"/>
                      <wp:wrapNone/>
                      <wp:docPr id="159" name="Frame15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0"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05460" cy="175260"/>
                      <wp:effectExtent l="0" t="0" r="0" b="0"/>
                      <wp:wrapNone/>
                      <wp:docPr id="161" name="Frame15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2"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95935" cy="175260"/>
                      <wp:effectExtent l="0" t="0" r="0" b="0"/>
                      <wp:wrapNone/>
                      <wp:docPr id="163" name="Frame1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8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segment adjusted EBITDA</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6,267</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(74,457)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39,099</w:t>
            </w:r>
          </w:p>
        </w:tc>
      </w:tr>
      <w:tr>
        <w:trPr/>
        <w:tc>
          <w:tcPr>
            <w:tcW w:w="35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Financial result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(72,178)</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(3,824)</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9,594</w:t>
            </w:r>
          </w:p>
        </w:tc>
      </w:tr>
      <w:tr>
        <w:trPr/>
        <w:tc>
          <w:tcPr>
            <w:tcW w:w="358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Amortization and depreciation</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(4,824)</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(7,315)</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(6,904)</w:t>
            </w:r>
          </w:p>
        </w:tc>
      </w:tr>
      <w:tr>
        <w:trPr/>
        <w:tc>
          <w:tcPr>
            <w:tcW w:w="35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Share of loss from equity method investees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w:t>
            </w:r>
          </w:p>
        </w:tc>
      </w:tr>
      <w:tr>
        <w:trPr/>
        <w:tc>
          <w:tcPr>
            <w:tcW w:w="358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Income tax benefit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w:t>
            </w:r>
          </w:p>
        </w:tc>
      </w:tr>
      <w:tr>
        <w:trPr/>
        <w:tc>
          <w:tcPr>
            <w:tcW w:w="358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income (loss) for the period</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(71,100)</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(84,104)</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37,953</w:t>
            </w:r>
          </w:p>
        </w:tc>
      </w:tr>
    </w:tbl>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firstLine="360"/>
        <w:jc w:val="left"/>
        <w:rPr>
          <w:rFonts w:ascii="Times New Roman;Times;serif" w:hAnsi="Times New Roman;Times;serif"/>
          <w:sz w:val="20"/>
        </w:rPr>
      </w:pPr>
      <w:bookmarkStart w:id="746" w:name="Tc_rfcKtGQXOEyiJ1g0cQGYjQ_5_0"/>
      <w:bookmarkStart w:id="747" w:name="Tc_a-pzCvQPUEWWEN-Hl0PN_g_4_0"/>
      <w:bookmarkStart w:id="748" w:name="Tc_gk3nP4kCZEyGMu26TJ8XwQ_3_0"/>
      <w:bookmarkStart w:id="749" w:name="Tc_hsWjKpvcPECIUcJIRJ8--A_2_0"/>
      <w:bookmarkStart w:id="750" w:name="Tc_8jsZjVUv30KCDO9OIuT_qg_1_4"/>
      <w:bookmarkStart w:id="751" w:name="Tc_7vVrZl-j-katwESUT8o5cQ_1_2"/>
      <w:bookmarkStart w:id="752" w:name="Tc_U0nZjJDhm02fdsiuYErbQw_1_0"/>
      <w:bookmarkStart w:id="753" w:name="Tc_-eALwTuR80-oCBSDbLAsyA_8_0"/>
      <w:bookmarkStart w:id="754" w:name="Tc_c4ikcePoaEqiYn5jzZ9KXg_7_0"/>
      <w:bookmarkStart w:id="755" w:name="Tc_G2VE4VaUkkC2hgCjNL1b2w_6_0"/>
      <w:bookmarkStart w:id="756" w:name="Tc_I5F-gmt6mU6yB9Aw3nba9w_5_0"/>
      <w:bookmarkStart w:id="757" w:name="Tc_TtqvPbTLL0imGs33xh57AQ_4_0"/>
      <w:bookmarkStart w:id="758" w:name="Tc_QCsArjnBc0mo3x4_khLNqg_3_0"/>
      <w:bookmarkStart w:id="759" w:name="Tc_D_jHqIGojkan1cRaINMprA_2_0"/>
      <w:bookmarkStart w:id="760" w:name="Tc_bHo0he_WF064fGtjsXIkVA_1_6"/>
      <w:bookmarkStart w:id="761" w:name="Tc_yxUFBiQD5kWcrbVyd2ow2g_1_4"/>
      <w:bookmarkStart w:id="762" w:name="Tc_mwZ-02ixN0yv1u_1j2XdUQ_1_2"/>
      <w:bookmarkStart w:id="763" w:name="Tc_s90MVuxIB06ZpySL0KoSrA_1_0"/>
      <w:bookmarkStart w:id="764" w:name="_d0732b02_aeb6_42da_b17e_69c95793e280"/>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r>
        <w:rPr>
          <w:rFonts w:ascii="Times New Roman;Times;serif" w:hAnsi="Times New Roman;Times;serif"/>
          <w:sz w:val="20"/>
        </w:rPr>
        <w:t>Revenue can be split into the following geographical areas:</w:t>
      </w:r>
    </w:p>
    <w:p>
      <w:pPr>
        <w:pStyle w:val="TextBody"/>
        <w:bidi w:val="0"/>
        <w:spacing w:before="0" w:after="240"/>
        <w:ind w:left="200" w:right="200" w:hanging="0"/>
        <w:jc w:val="both"/>
        <w:rPr/>
      </w:pPr>
      <w:r>
        <w:rPr/>
        <w:t>​</w:t>
      </w:r>
    </w:p>
    <w:tbl>
      <w:tblPr>
        <w:tblW w:w="5152" w:type="dxa"/>
        <w:jc w:val="left"/>
        <w:tblInd w:w="200" w:type="dxa"/>
        <w:tblLayout w:type="fixed"/>
        <w:tblCellMar>
          <w:top w:w="0" w:type="dxa"/>
          <w:left w:w="0" w:type="dxa"/>
          <w:bottom w:w="0" w:type="dxa"/>
          <w:right w:w="0" w:type="dxa"/>
        </w:tblCellMar>
      </w:tblPr>
      <w:tblGrid>
        <w:gridCol w:w="1981"/>
        <w:gridCol w:w="346"/>
        <w:gridCol w:w="676"/>
        <w:gridCol w:w="346"/>
        <w:gridCol w:w="676"/>
        <w:gridCol w:w="346"/>
        <w:gridCol w:w="781"/>
      </w:tblGrid>
      <w:tr>
        <w:trPr/>
        <w:tc>
          <w:tcPr>
            <w:tcW w:w="19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ind w:left="0" w:right="0" w:hanging="0"/>
              <w:jc w:val="left"/>
              <w:rPr>
                <w:sz w:val="4"/>
                <w:szCs w:val="4"/>
              </w:rPr>
            </w:pPr>
            <w:r>
              <w:rPr>
                <w:sz w:val="4"/>
                <w:szCs w:val="4"/>
              </w:rPr>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257935" cy="175260"/>
                      <wp:effectExtent l="0" t="0" r="0" b="0"/>
                      <wp:wrapNone/>
                      <wp:docPr id="164" name="Frame162"/>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5"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29260" cy="175260"/>
                      <wp:effectExtent l="0" t="0" r="0" b="0"/>
                      <wp:wrapNone/>
                      <wp:docPr id="166" name="Frame1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67"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29260" cy="175260"/>
                      <wp:effectExtent l="0" t="0" r="0" b="0"/>
                      <wp:wrapNone/>
                      <wp:docPr id="168" name="Frame16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69"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95935" cy="175260"/>
                      <wp:effectExtent l="0" t="0" r="0" b="0"/>
                      <wp:wrapNone/>
                      <wp:docPr id="170" name="Frame1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981"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Greater China</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25,702</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16,942</w:t>
            </w:r>
          </w:p>
        </w:tc>
      </w:tr>
      <w:tr>
        <w:trPr/>
        <w:tc>
          <w:tcPr>
            <w:tcW w:w="198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USA</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19,770</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22,207</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17,522</w:t>
            </w:r>
          </w:p>
        </w:tc>
      </w:tr>
      <w:tr>
        <w:trPr/>
        <w:tc>
          <w:tcPr>
            <w:tcW w:w="1981"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Germany</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4,154</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3,819</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9,577</w:t>
            </w:r>
          </w:p>
        </w:tc>
      </w:tr>
      <w:tr>
        <w:trPr/>
        <w:tc>
          <w:tcPr>
            <w:tcW w:w="198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EMEA w/o Germany</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9,841</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12,728</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24,791</w:t>
            </w:r>
          </w:p>
        </w:tc>
      </w:tr>
      <w:tr>
        <w:trPr/>
        <w:tc>
          <w:tcPr>
            <w:tcW w:w="1981"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Rest of Asia w/o China</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7,477</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5,551</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21,370</w:t>
            </w:r>
          </w:p>
        </w:tc>
      </w:tr>
      <w:tr>
        <w:trPr/>
        <w:tc>
          <w:tcPr>
            <w:tcW w:w="198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Rest of the World</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1981"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66,945</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60,836</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90,246</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revenues are presented based on the location of the customer receiving the service or goods. In 2025, no customer had a revenue share of more 10% individually of the total revenues.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There are three customers in 2024 with a revenue share of more than 10% individually of the total revenues. The revenue with the first customer amounts to €7,866 thousand (2023: €17,649 thousand), €6,500 thousand for the second customer (2023: €16,361 thousand) and €6,232 thousand for the third customer (2023: €12,280 thousand). Revenue for these three customers is recognized within both the “Technical equipment and processes” and “Spare parts and services” operating segments.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Non-current assets are distributed among geographical areas as follows:</w:t>
      </w:r>
    </w:p>
    <w:p>
      <w:pPr>
        <w:pStyle w:val="TextBody"/>
        <w:bidi w:val="0"/>
        <w:spacing w:before="0" w:after="240"/>
        <w:ind w:left="200" w:right="200" w:hanging="0"/>
        <w:jc w:val="both"/>
        <w:rPr/>
      </w:pPr>
      <w:r>
        <w:rPr/>
        <w:t>​</w:t>
      </w:r>
    </w:p>
    <w:tbl>
      <w:tblPr>
        <w:tblW w:w="3665" w:type="dxa"/>
        <w:jc w:val="left"/>
        <w:tblInd w:w="200" w:type="dxa"/>
        <w:tblLayout w:type="fixed"/>
        <w:tblCellMar>
          <w:top w:w="0" w:type="dxa"/>
          <w:left w:w="0" w:type="dxa"/>
          <w:bottom w:w="0" w:type="dxa"/>
          <w:right w:w="0" w:type="dxa"/>
        </w:tblCellMar>
      </w:tblPr>
      <w:tblGrid>
        <w:gridCol w:w="1096"/>
        <w:gridCol w:w="346"/>
        <w:gridCol w:w="916"/>
        <w:gridCol w:w="346"/>
        <w:gridCol w:w="961"/>
      </w:tblGrid>
      <w:tr>
        <w:trPr/>
        <w:tc>
          <w:tcPr>
            <w:tcW w:w="10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r>
      <w:tr>
        <w:trPr/>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5960" cy="175260"/>
                      <wp:effectExtent l="0" t="0" r="0" b="0"/>
                      <wp:wrapNone/>
                      <wp:docPr id="171" name="Frame16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2"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81660" cy="175260"/>
                      <wp:effectExtent l="0" t="0" r="0" b="0"/>
                      <wp:wrapNone/>
                      <wp:docPr id="173" name="Frame17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4"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10235" cy="175260"/>
                      <wp:effectExtent l="0" t="0" r="0" b="0"/>
                      <wp:wrapNone/>
                      <wp:docPr id="175" name="Frame17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12/31/2025</w:t>
            </w:r>
          </w:p>
        </w:tc>
        <w:tc>
          <w:tcPr>
            <w:tcW w:w="346" w:type="dxa"/>
            <w:tcBorders/>
            <w:vAlign w:val="center"/>
          </w:tcPr>
          <w:p>
            <w:pPr>
              <w:pStyle w:val="TableContents"/>
              <w:bidi w:val="0"/>
              <w:spacing w:before="0" w:after="0"/>
              <w:ind w:left="0" w:right="0" w:hanging="0"/>
              <w:jc w:val="left"/>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12/31/2024</w:t>
            </w:r>
          </w:p>
        </w:tc>
      </w:tr>
      <w:tr>
        <w:trPr/>
        <w:tc>
          <w:tcPr>
            <w:tcW w:w="109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Germany</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28,058</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25,833</w:t>
            </w:r>
          </w:p>
        </w:tc>
      </w:tr>
      <w:tr>
        <w:trPr/>
        <w:tc>
          <w:tcPr>
            <w:tcW w:w="10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China</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1,741</w:t>
            </w:r>
          </w:p>
        </w:tc>
      </w:tr>
      <w:tr>
        <w:trPr/>
        <w:tc>
          <w:tcPr>
            <w:tcW w:w="109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r>
      <w:tr>
        <w:trPr/>
        <w:tc>
          <w:tcPr>
            <w:tcW w:w="109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29,495</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28,034</w:t>
            </w:r>
          </w:p>
        </w:tc>
      </w:tr>
    </w:tbl>
    <w:p>
      <w:pPr>
        <w:pStyle w:val="TextBody"/>
        <w:bidi w:val="0"/>
        <w:spacing w:before="0" w:after="0"/>
        <w:ind w:left="200" w:right="200" w:hanging="0"/>
        <w:jc w:val="left"/>
        <w:rPr/>
      </w:pPr>
      <w:r>
        <w:rPr/>
        <w: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non-current assets include property, plant and equipment as well as intangible assets.</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bookmarkStart w:id="765" w:name="Tc_UUMfvHByokennXcYVx8DDw_6_0"/>
      <w:bookmarkStart w:id="766" w:name="Tc_51csQhdTN02VxajMHF8tjg_5_0"/>
      <w:bookmarkStart w:id="767" w:name="Tc_nLjSm8CofkWccjEDsqPhKg_4_0"/>
      <w:bookmarkStart w:id="768" w:name="Tc_3v77uDIg50mFezc2F6i3UQ_3_0"/>
      <w:bookmarkStart w:id="769" w:name="Tc_-GGYFPA6FUSuK0X0GA4kjA_2_0"/>
      <w:bookmarkStart w:id="770" w:name="Tc_94LxJ7JFaE2SrkF5Wl5TYA_1_6"/>
      <w:bookmarkStart w:id="771" w:name="Tc_3asQb1bKhk6X8sgogSiIyQ_1_4"/>
      <w:bookmarkStart w:id="772" w:name="Tc_z1rcTRbFckiM3KpRNCxGNg_1_2"/>
      <w:bookmarkStart w:id="773" w:name="Tc_qd4l239200GTK0mRHtgXcQ_1_0"/>
      <w:bookmarkStart w:id="774" w:name="_3a7a1c53_481a_474f_b6b7_44a00e02e2aa"/>
      <w:bookmarkStart w:id="775" w:name="a7REVENUEFROMCONTRACTSWITHCUSTOMERSANDCO"/>
      <w:bookmarkEnd w:id="765"/>
      <w:bookmarkEnd w:id="766"/>
      <w:bookmarkEnd w:id="767"/>
      <w:bookmarkEnd w:id="768"/>
      <w:bookmarkEnd w:id="769"/>
      <w:bookmarkEnd w:id="770"/>
      <w:bookmarkEnd w:id="771"/>
      <w:bookmarkEnd w:id="772"/>
      <w:bookmarkEnd w:id="773"/>
      <w:bookmarkEnd w:id="774"/>
      <w:bookmarkEnd w:id="775"/>
      <w:r>
        <w:rPr>
          <w:rFonts w:ascii="Times New Roman;Times;serif" w:hAnsi="Times New Roman;Times;serif"/>
          <w:b/>
          <w:i w:val="false"/>
          <w:caps w:val="false"/>
          <w:smallCaps w:val="false"/>
          <w:sz w:val="20"/>
        </w:rPr>
        <w:t>7.</w:t>
      </w:r>
      <w:r>
        <w:rPr>
          <w:rFonts w:ascii="Times New Roman;Times;serif" w:hAnsi="Times New Roman;Times;serif"/>
          <w:b/>
          <w:sz w:val="20"/>
        </w:rPr>
        <w:t>REVENUE FROM CONTRACTS WITH CUSTOMERS AND COST OF SALES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split of SCHMID revenues according to types of sales categories is as follows:</w:t>
      </w:r>
    </w:p>
    <w:p>
      <w:pPr>
        <w:pStyle w:val="TextBody"/>
        <w:bidi w:val="0"/>
        <w:spacing w:before="0" w:after="240"/>
        <w:ind w:left="200" w:right="200" w:hanging="0"/>
        <w:jc w:val="both"/>
        <w:rPr/>
      </w:pPr>
      <w:r>
        <w:rPr/>
        <w:t>​</w:t>
      </w:r>
    </w:p>
    <w:tbl>
      <w:tblPr>
        <w:tblW w:w="6337" w:type="dxa"/>
        <w:jc w:val="left"/>
        <w:tblInd w:w="200" w:type="dxa"/>
        <w:tblLayout w:type="fixed"/>
        <w:tblCellMar>
          <w:top w:w="0" w:type="dxa"/>
          <w:left w:w="0" w:type="dxa"/>
          <w:bottom w:w="0" w:type="dxa"/>
          <w:right w:w="0" w:type="dxa"/>
        </w:tblCellMar>
      </w:tblPr>
      <w:tblGrid>
        <w:gridCol w:w="3166"/>
        <w:gridCol w:w="346"/>
        <w:gridCol w:w="676"/>
        <w:gridCol w:w="346"/>
        <w:gridCol w:w="676"/>
        <w:gridCol w:w="346"/>
        <w:gridCol w:w="781"/>
      </w:tblGrid>
      <w:tr>
        <w:trPr/>
        <w:tc>
          <w:tcPr>
            <w:tcW w:w="3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ind w:left="0" w:right="0" w:hanging="0"/>
              <w:jc w:val="left"/>
              <w:rPr>
                <w:sz w:val="4"/>
                <w:szCs w:val="4"/>
              </w:rPr>
            </w:pPr>
            <w:r>
              <w:rPr>
                <w:sz w:val="4"/>
                <w:szCs w:val="4"/>
              </w:rPr>
            </w:r>
          </w:p>
        </w:tc>
      </w:tr>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10410" cy="175260"/>
                      <wp:effectExtent l="0" t="0" r="0" b="0"/>
                      <wp:wrapNone/>
                      <wp:docPr id="176" name="Frame174"/>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77"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29260" cy="175260"/>
                      <wp:effectExtent l="0" t="0" r="0" b="0"/>
                      <wp:wrapNone/>
                      <wp:docPr id="178" name="Frame17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79"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29260" cy="175260"/>
                      <wp:effectExtent l="0" t="0" r="0" b="0"/>
                      <wp:wrapNone/>
                      <wp:docPr id="180" name="Frame1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1"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95935" cy="175260"/>
                      <wp:effectExtent l="0" t="0" r="0" b="0"/>
                      <wp:wrapNone/>
                      <wp:docPr id="182" name="Frame1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1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Technical equipment and processes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54,446</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47,443</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77,554</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Spare Parts</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7,767</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8,976</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9,722</w:t>
            </w:r>
          </w:p>
        </w:tc>
      </w:tr>
      <w:tr>
        <w:trPr/>
        <w:tc>
          <w:tcPr>
            <w:tcW w:w="31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Service</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4,117</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3,971</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1,781</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1,189</w:t>
            </w:r>
          </w:p>
        </w:tc>
      </w:tr>
      <w:tr>
        <w:trPr/>
        <w:tc>
          <w:tcPr>
            <w:tcW w:w="316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66,945</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60,836</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90,246</w:t>
            </w:r>
          </w:p>
        </w:tc>
      </w:tr>
    </w:tbl>
    <w:tbl>
      <w:tblPr>
        <w:tblW w:w="9805" w:type="dxa"/>
        <w:jc w:val="left"/>
        <w:tblInd w:w="200" w:type="dxa"/>
        <w:tblLayout w:type="fixed"/>
        <w:tblCellMar>
          <w:top w:w="0" w:type="dxa"/>
          <w:left w:w="0" w:type="dxa"/>
          <w:bottom w:w="0" w:type="dxa"/>
          <w:right w:w="0" w:type="dxa"/>
        </w:tblCellMar>
      </w:tblPr>
      <w:tblGrid>
        <w:gridCol w:w="324"/>
        <w:gridCol w:w="9481"/>
      </w:tblGrid>
      <w:tr>
        <w:trPr/>
        <w:tc>
          <w:tcPr>
            <w:tcW w:w="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4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within the “Technical equipment and processes” category is revenue from the sale and installation of machines, long-term development and extended warranties.</w:t>
            </w:r>
          </w:p>
        </w:tc>
      </w:tr>
    </w:tbl>
    <w:tbl>
      <w:tblPr>
        <w:tblW w:w="9805" w:type="dxa"/>
        <w:jc w:val="left"/>
        <w:tblInd w:w="200" w:type="dxa"/>
        <w:tblLayout w:type="fixed"/>
        <w:tblCellMar>
          <w:top w:w="0" w:type="dxa"/>
          <w:left w:w="0" w:type="dxa"/>
          <w:bottom w:w="0" w:type="dxa"/>
          <w:right w:w="0" w:type="dxa"/>
        </w:tblCellMar>
      </w:tblPr>
      <w:tblGrid>
        <w:gridCol w:w="344"/>
        <w:gridCol w:w="9461"/>
      </w:tblGrid>
      <w:tr>
        <w:trPr/>
        <w:tc>
          <w:tcPr>
            <w:tcW w:w="3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within the “Services” category is revenue from repair services, installations of modifications and inspections.</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Revenue recognized at a point in time was €65,789 thousand, €51,232 thousand and €81,761 thousand for the fiscal years ended December 31, 2025, 2024 and 2023, respectively. Revenue recognized over time was €1,157 thousand, €9,603 thousand and €8,485 thousand for the fiscal years ended December 31, 2025, 2024 and 2023, respectively.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At the end of fiscal year 2025, SCHMID had contract liabilities in connection with the sale of machines, spare parts and installations resulting from prepayments made by customers of €13,555 (December 31, 2024: €11,284 thousand). The services provided by SCHMID and the timing of payments made by the customer during the contract term may differ. In those cases, the contract is recognized in the Consolidated Statements of Financial Position as either a contract asset or a contract liability. Apart from contract liabilities in connection with customer prepayments, SCHMID has in past period recognized long-term development contracts over time, which led to a recognition of contract assets. No contract assets existed as of December 31, 2025 and 2024.</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firstLine="360"/>
        <w:jc w:val="left"/>
        <w:rPr>
          <w:rFonts w:ascii="Times New Roman;Times;serif" w:hAnsi="Times New Roman;Times;serif"/>
          <w:sz w:val="20"/>
        </w:rPr>
      </w:pPr>
      <w:bookmarkStart w:id="776" w:name="Tc_X73itF3StUaMC-o-5vSw7A_6_0"/>
      <w:bookmarkStart w:id="777" w:name="Tc_rfR439SvI0eImk02pLt2pA_5_0"/>
      <w:bookmarkStart w:id="778" w:name="Tc_dQmsFvwm0ka8HdN-mgxn5A_4_0"/>
      <w:bookmarkStart w:id="779" w:name="Tc_gknYMiYPAUujbXnmhXbSJA_3_0"/>
      <w:bookmarkStart w:id="780" w:name="Tc_AzAfnJpYOUqJK_RmTyorMQ_2_0"/>
      <w:bookmarkStart w:id="781" w:name="Tc_GzgX0u2vXU2pWcFQzMFTHQ_1_6"/>
      <w:bookmarkStart w:id="782" w:name="Tc_8L5oiBe0Dke_NiUMuybOPw_1_4"/>
      <w:bookmarkStart w:id="783" w:name="Tc_3nut_dBOSkCiqmpXWOpmnA_1_2"/>
      <w:bookmarkStart w:id="784" w:name="Tc_dZCTAMlKW0iaLBepoo0Idg_1_0"/>
      <w:bookmarkStart w:id="785" w:name="Tc_Tp9Z15dPkEmjMfRGM3Fa4w_5_0"/>
      <w:bookmarkStart w:id="786" w:name="Tc_Lw6DGYsdJEGehh4oevLRmw_4_0"/>
      <w:bookmarkStart w:id="787" w:name="Tc_T7AEBJMdYUmWrHUIpmXIMA_3_0"/>
      <w:bookmarkStart w:id="788" w:name="Tc_aGfq5bGS40CVfA9EVNEIww_2_0"/>
      <w:bookmarkStart w:id="789" w:name="Tc_kBjaMIaP3UyiepgrTbvUUQ_1_4"/>
      <w:bookmarkStart w:id="790" w:name="Tc_PXHCSShp8kmOKh61mJSkoA_1_2"/>
      <w:bookmarkStart w:id="791" w:name="Tc_ysnYqFYCrkCUnmN-nV_X3g_1_0"/>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r>
        <w:rPr>
          <w:rFonts w:ascii="Times New Roman;Times;serif" w:hAnsi="Times New Roman;Times;serif"/>
          <w:sz w:val="20"/>
        </w:rPr>
        <w:t>Changes to contract liabilities for years ended December 31, 2025 and 2024 are as follows:</w:t>
      </w:r>
    </w:p>
    <w:p>
      <w:pPr>
        <w:pStyle w:val="TextBody"/>
        <w:bidi w:val="0"/>
        <w:spacing w:before="0" w:after="240"/>
        <w:ind w:left="200" w:right="200" w:hanging="0"/>
        <w:jc w:val="both"/>
        <w:rPr/>
      </w:pPr>
      <w:r>
        <w:rPr/>
        <w:t>​</w:t>
      </w:r>
    </w:p>
    <w:tbl>
      <w:tblPr>
        <w:tblW w:w="8855" w:type="dxa"/>
        <w:jc w:val="left"/>
        <w:tblInd w:w="200" w:type="dxa"/>
        <w:tblLayout w:type="fixed"/>
        <w:tblCellMar>
          <w:top w:w="0" w:type="dxa"/>
          <w:left w:w="0" w:type="dxa"/>
          <w:bottom w:w="0" w:type="dxa"/>
          <w:right w:w="0" w:type="dxa"/>
        </w:tblCellMar>
      </w:tblPr>
      <w:tblGrid>
        <w:gridCol w:w="6526"/>
        <w:gridCol w:w="346"/>
        <w:gridCol w:w="796"/>
        <w:gridCol w:w="346"/>
        <w:gridCol w:w="841"/>
      </w:tblGrid>
      <w:tr>
        <w:trPr/>
        <w:tc>
          <w:tcPr>
            <w:tcW w:w="65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ind w:left="0" w:right="0" w:hanging="0"/>
              <w:jc w:val="left"/>
              <w:rPr>
                <w:sz w:val="4"/>
                <w:szCs w:val="4"/>
              </w:rPr>
            </w:pPr>
            <w:r>
              <w:rPr>
                <w:sz w:val="4"/>
                <w:szCs w:val="4"/>
              </w:rPr>
            </w:r>
          </w:p>
        </w:tc>
      </w:tr>
      <w:tr>
        <w:trPr/>
        <w:tc>
          <w:tcPr>
            <w:tcW w:w="6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144010" cy="175260"/>
                      <wp:effectExtent l="0" t="0" r="0" b="0"/>
                      <wp:wrapNone/>
                      <wp:docPr id="183" name="Frame181"/>
                      <a:graphic xmlns:a="http://schemas.openxmlformats.org/drawingml/2006/main">
                        <a:graphicData uri="http://schemas.microsoft.com/office/word/2010/wordprocessingShape">
                          <wps:wsp>
                            <wps:cNvSpPr txBox="1"/>
                            <wps:spPr>
                              <a:xfrm>
                                <a:off x="0" y="0"/>
                                <a:ext cx="414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4"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05460" cy="175260"/>
                      <wp:effectExtent l="0" t="0" r="0" b="0"/>
                      <wp:wrapNone/>
                      <wp:docPr id="185" name="Frame18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86"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34035" cy="175260"/>
                      <wp:effectExtent l="0" t="0" r="0" b="0"/>
                      <wp:wrapNone/>
                      <wp:docPr id="187" name="Frame18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2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5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January 1</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11,284</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17,931</w:t>
            </w:r>
          </w:p>
        </w:tc>
      </w:tr>
      <w:tr>
        <w:trPr/>
        <w:tc>
          <w:tcPr>
            <w:tcW w:w="65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revenues included in contractual liabilities at the beginning of the period</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(11,153)</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(17,769)</w:t>
            </w:r>
          </w:p>
        </w:tc>
      </w:tr>
      <w:tr>
        <w:trPr/>
        <w:tc>
          <w:tcPr>
            <w:tcW w:w="65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due to customer payments received</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13,425</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11,121</w:t>
            </w:r>
          </w:p>
        </w:tc>
      </w:tr>
      <w:tr>
        <w:trPr/>
        <w:tc>
          <w:tcPr>
            <w:tcW w:w="652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31</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13,555</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11,284</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At the end of fiscal year 2025, the Order Backlog for the machine sales amounts to €50,886 thousand (December 31, 2024: €27,713 thousand,December 31, 2023: €48,651 thousand). All order backlog is expected to be realized within 12 months.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Order Backlog represents the goods or services contractually committed by customers but not delivered/provided as of the date of the statement of financial position.</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SCHMID’s cost of sales include the following cost types:</w:t>
      </w:r>
    </w:p>
    <w:p>
      <w:pPr>
        <w:pStyle w:val="TextBody"/>
        <w:bidi w:val="0"/>
        <w:spacing w:before="0" w:after="240"/>
        <w:ind w:left="200" w:right="200" w:hanging="0"/>
        <w:jc w:val="both"/>
        <w:rPr/>
      </w:pPr>
      <w:r>
        <w:rPr/>
        <w:t>​</w:t>
      </w:r>
    </w:p>
    <w:tbl>
      <w:tblPr>
        <w:tblW w:w="5737" w:type="dxa"/>
        <w:jc w:val="left"/>
        <w:tblInd w:w="200" w:type="dxa"/>
        <w:tblLayout w:type="fixed"/>
        <w:tblCellMar>
          <w:top w:w="0" w:type="dxa"/>
          <w:left w:w="0" w:type="dxa"/>
          <w:bottom w:w="0" w:type="dxa"/>
          <w:right w:w="0" w:type="dxa"/>
        </w:tblCellMar>
      </w:tblPr>
      <w:tblGrid>
        <w:gridCol w:w="2266"/>
        <w:gridCol w:w="346"/>
        <w:gridCol w:w="796"/>
        <w:gridCol w:w="346"/>
        <w:gridCol w:w="796"/>
        <w:gridCol w:w="346"/>
        <w:gridCol w:w="841"/>
      </w:tblGrid>
      <w:tr>
        <w:trPr/>
        <w:tc>
          <w:tcPr>
            <w:tcW w:w="22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ind w:left="0" w:right="0" w:hanging="0"/>
              <w:jc w:val="left"/>
              <w:rPr>
                <w:sz w:val="4"/>
                <w:szCs w:val="4"/>
              </w:rPr>
            </w:pPr>
            <w:r>
              <w:rPr>
                <w:sz w:val="4"/>
                <w:szCs w:val="4"/>
              </w:rPr>
            </w:r>
          </w:p>
        </w:tc>
      </w:tr>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438910" cy="175260"/>
                      <wp:effectExtent l="0" t="0" r="0" b="0"/>
                      <wp:wrapNone/>
                      <wp:docPr id="188" name="Frame186"/>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89"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05460" cy="175260"/>
                      <wp:effectExtent l="0" t="0" r="0" b="0"/>
                      <wp:wrapNone/>
                      <wp:docPr id="190" name="Frame18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1"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05460" cy="175260"/>
                      <wp:effectExtent l="0" t="0" r="0" b="0"/>
                      <wp:wrapNone/>
                      <wp:docPr id="192" name="Frame19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3"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34035" cy="175260"/>
                      <wp:effectExtent l="0" t="0" r="0" b="0"/>
                      <wp:wrapNone/>
                      <wp:docPr id="194" name="Frame19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2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Personnel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(17,983)</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(17,545)</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(16,690)</w:t>
            </w:r>
          </w:p>
        </w:tc>
      </w:tr>
      <w:tr>
        <w:trPr/>
        <w:tc>
          <w:tcPr>
            <w:tcW w:w="22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Material expenses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(24,911)</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(21,821)</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(35,767)</w:t>
            </w:r>
          </w:p>
        </w:tc>
      </w:tr>
      <w:tr>
        <w:trPr/>
        <w:tc>
          <w:tcPr>
            <w:tcW w:w="22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Depreciation/amortization</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(3,006)</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(5,209)</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(4,904)</w:t>
            </w:r>
          </w:p>
        </w:tc>
      </w:tr>
      <w:tr>
        <w:trPr/>
        <w:tc>
          <w:tcPr>
            <w:tcW w:w="22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(5,028)</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(4,217)</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(6,488)</w:t>
            </w:r>
          </w:p>
        </w:tc>
      </w:tr>
      <w:tr>
        <w:trPr/>
        <w:tc>
          <w:tcPr>
            <w:tcW w:w="226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cost of sales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(50,928)</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(48,791)</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(63,849)</w:t>
            </w:r>
          </w:p>
        </w:tc>
      </w:tr>
    </w:tbl>
    <w:p>
      <w:pPr>
        <w:pStyle w:val="TextBody"/>
        <w:pBdr/>
        <w:bidi w:val="0"/>
        <w:spacing w:before="0" w:after="0"/>
        <w:ind w:left="200" w:right="200" w:hanging="360"/>
        <w:jc w:val="both"/>
        <w:rPr/>
      </w:pPr>
      <w:r>
        <w:rPr/>
        <w: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Other expenses include a variety of positions such as cost for outward freight, production-related short-term leases and facility costs.</w:t>
      </w:r>
    </w:p>
    <w:p>
      <w:pPr>
        <w:pStyle w:val="TextBody"/>
        <w:bidi w:val="0"/>
        <w:spacing w:before="0" w:after="240"/>
        <w:ind w:left="200" w:right="200" w:hanging="0"/>
        <w:jc w:val="both"/>
        <w:rPr/>
      </w:pPr>
      <w:r>
        <w:rPr/>
        <w:t>​</w:t>
      </w:r>
    </w:p>
    <w:p>
      <w:pPr>
        <w:pStyle w:val="TextBody"/>
        <w:bidi w:val="0"/>
        <w:spacing w:before="0" w:after="240"/>
        <w:ind w:left="200" w:right="200" w:hanging="0"/>
        <w:jc w:val="left"/>
        <w:rPr>
          <w:rFonts w:ascii="Times New Roman;Times;serif" w:hAnsi="Times New Roman;Times;serif"/>
          <w:b/>
          <w:sz w:val="20"/>
        </w:rPr>
      </w:pPr>
      <w:bookmarkStart w:id="792" w:name="Tc_yMLzAWUrwU63RqdsZvs2ig_8_0"/>
      <w:bookmarkStart w:id="793" w:name="Tc_Qy8XiHKwlkOBMcKSzEcr_A_7_0"/>
      <w:bookmarkStart w:id="794" w:name="Tc_MckCoysUrUO3jsn6NO4kBg_6_0"/>
      <w:bookmarkStart w:id="795" w:name="Tc_WV5gKrcz1kuAwxdCQ4c8rQ_5_0"/>
      <w:bookmarkStart w:id="796" w:name="Tc_J3qWHXQB70mjZdUO8ct6KA_4_0"/>
      <w:bookmarkStart w:id="797" w:name="Tc_0IkGT8Dnp0GggR0S0bEDGQ_3_0"/>
      <w:bookmarkStart w:id="798" w:name="Tc_Ux5v6JTyI0SU4dfgfXcIEQ_2_0"/>
      <w:bookmarkStart w:id="799" w:name="Tc_2W6nxKXy3UGA24UJspg_cg_1_6"/>
      <w:bookmarkStart w:id="800" w:name="Tc_1W6kl_mn6kOtrR6qqRdRRQ_1_4"/>
      <w:bookmarkStart w:id="801" w:name="Tc_TgzDofuG-E2ghvsJZr0RoQ_1_2"/>
      <w:bookmarkStart w:id="802" w:name="Tc_QATrz0lXbUej_v77ToFe1A_1_0"/>
      <w:bookmarkStart w:id="803" w:name="a8SELLING_363373"/>
      <w:bookmarkEnd w:id="792"/>
      <w:bookmarkEnd w:id="793"/>
      <w:bookmarkEnd w:id="794"/>
      <w:bookmarkEnd w:id="795"/>
      <w:bookmarkEnd w:id="796"/>
      <w:bookmarkEnd w:id="797"/>
      <w:bookmarkEnd w:id="798"/>
      <w:bookmarkEnd w:id="799"/>
      <w:bookmarkEnd w:id="800"/>
      <w:bookmarkEnd w:id="801"/>
      <w:bookmarkEnd w:id="802"/>
      <w:bookmarkEnd w:id="803"/>
      <w:r>
        <w:rPr>
          <w:rFonts w:ascii="Times New Roman;Times;serif" w:hAnsi="Times New Roman;Times;serif"/>
          <w:b/>
          <w:i w:val="false"/>
          <w:caps w:val="false"/>
          <w:smallCaps w:val="false"/>
          <w:sz w:val="20"/>
        </w:rPr>
        <w:t>8.</w:t>
      </w:r>
      <w:r>
        <w:rPr>
          <w:rFonts w:ascii="Times New Roman;Times;serif" w:hAnsi="Times New Roman;Times;serif"/>
          <w:b/>
          <w:sz w:val="20"/>
        </w:rPr>
        <w:t>SELLING EXPENSES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Selling expenses consist of the following:</w:t>
      </w:r>
    </w:p>
    <w:p>
      <w:pPr>
        <w:pStyle w:val="TextBody"/>
        <w:bidi w:val="0"/>
        <w:spacing w:before="0" w:after="240"/>
        <w:ind w:left="200" w:right="200" w:hanging="0"/>
        <w:jc w:val="both"/>
        <w:rPr/>
      </w:pPr>
      <w:r>
        <w:rPr/>
        <w:t>​</w:t>
      </w:r>
    </w:p>
    <w:tbl>
      <w:tblPr>
        <w:tblW w:w="7117" w:type="dxa"/>
        <w:jc w:val="left"/>
        <w:tblInd w:w="200" w:type="dxa"/>
        <w:tblLayout w:type="fixed"/>
        <w:tblCellMar>
          <w:top w:w="0" w:type="dxa"/>
          <w:left w:w="0" w:type="dxa"/>
          <w:bottom w:w="0" w:type="dxa"/>
          <w:right w:w="0" w:type="dxa"/>
        </w:tblCellMar>
      </w:tblPr>
      <w:tblGrid>
        <w:gridCol w:w="3646"/>
        <w:gridCol w:w="346"/>
        <w:gridCol w:w="796"/>
        <w:gridCol w:w="346"/>
        <w:gridCol w:w="796"/>
        <w:gridCol w:w="346"/>
        <w:gridCol w:w="841"/>
      </w:tblGrid>
      <w:tr>
        <w:trPr/>
        <w:tc>
          <w:tcPr>
            <w:tcW w:w="36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ind w:left="0" w:right="0" w:hanging="0"/>
              <w:jc w:val="left"/>
              <w:rPr>
                <w:sz w:val="4"/>
                <w:szCs w:val="4"/>
              </w:rPr>
            </w:pPr>
            <w:r>
              <w:rPr>
                <w:sz w:val="4"/>
                <w:szCs w:val="4"/>
              </w:rPr>
            </w:r>
          </w:p>
        </w:tc>
      </w:tr>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315210" cy="175260"/>
                      <wp:effectExtent l="0" t="0" r="0" b="0"/>
                      <wp:wrapNone/>
                      <wp:docPr id="195" name="Frame193"/>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196"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05460" cy="175260"/>
                      <wp:effectExtent l="0" t="0" r="0" b="0"/>
                      <wp:wrapNone/>
                      <wp:docPr id="197" name="Frame19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198"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05460" cy="175260"/>
                      <wp:effectExtent l="0" t="0" r="0" b="0"/>
                      <wp:wrapNone/>
                      <wp:docPr id="199" name="Frame19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0"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34035" cy="175260"/>
                      <wp:effectExtent l="0" t="0" r="0" b="0"/>
                      <wp:wrapNone/>
                      <wp:docPr id="201" name="Frame19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(8,938)</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(8,720)</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(8,295)</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and consulting fees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Commission</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related external administration</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Advertisement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w:t>
            </w:r>
          </w:p>
        </w:tc>
      </w:tr>
      <w:tr>
        <w:trPr/>
        <w:tc>
          <w:tcPr>
            <w:tcW w:w="364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selling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(11,999)</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(12,895)</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(12,577)</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Distribution-related external administration comprises costs including utilities, insurance, travel expenses or expenses for short-term leases. Other expenses include mainly depreciation.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Sales Commission expenses in 2024 include €900 thousand compensation from a settlement agreement with a former sales agent.</w:t>
      </w:r>
    </w:p>
    <w:p>
      <w:pPr>
        <w:pStyle w:val="TextBody"/>
        <w:bidi w:val="0"/>
        <w:spacing w:before="0" w:after="240"/>
        <w:ind w:left="200" w:right="200" w:hanging="0"/>
        <w:jc w:val="left"/>
        <w:rPr>
          <w:rFonts w:ascii="Times New Roman;Times;serif" w:hAnsi="Times New Roman;Times;serif"/>
          <w:b/>
          <w:sz w:val="20"/>
        </w:rPr>
      </w:pPr>
      <w:bookmarkStart w:id="804" w:name="Tc_kHrhTnJLb0itsLsWqMjGwQ_6_0"/>
      <w:bookmarkStart w:id="805" w:name="Tc_8mvxmnW6SU2BmcoY8OffsA_5_0"/>
      <w:bookmarkStart w:id="806" w:name="Tc_W6U3RPYWFESr1M9defLpxQ_4_0"/>
      <w:bookmarkStart w:id="807" w:name="Tc_g-UZksUg_k-6ZKJ49Ei_Hg_3_0"/>
      <w:bookmarkStart w:id="808" w:name="Tc_RsnBHwDStEOg5RueF_SYtA_2_0"/>
      <w:bookmarkStart w:id="809" w:name="Tc_qOMu9TTGq0SeGyXsXdYjLg_1_6"/>
      <w:bookmarkStart w:id="810" w:name="Tc_Lyrk6JKVZk-jXj7WVFS-cQ_1_4"/>
      <w:bookmarkStart w:id="811" w:name="Tc_w_KU7WE0uUS1iG8_A7mcBA_1_2"/>
      <w:bookmarkStart w:id="812" w:name="Tc_V8XIaVJP50eHz7Vu-LKDUA_1_0"/>
      <w:bookmarkStart w:id="813" w:name="a9GENERALADMINISTRATION_706857"/>
      <w:bookmarkEnd w:id="804"/>
      <w:bookmarkEnd w:id="805"/>
      <w:bookmarkEnd w:id="806"/>
      <w:bookmarkEnd w:id="807"/>
      <w:bookmarkEnd w:id="808"/>
      <w:bookmarkEnd w:id="809"/>
      <w:bookmarkEnd w:id="810"/>
      <w:bookmarkEnd w:id="811"/>
      <w:bookmarkEnd w:id="812"/>
      <w:bookmarkEnd w:id="813"/>
      <w:r>
        <w:rPr>
          <w:rFonts w:ascii="Times New Roman;Times;serif" w:hAnsi="Times New Roman;Times;serif"/>
          <w:b/>
          <w:i w:val="false"/>
          <w:caps w:val="false"/>
          <w:smallCaps w:val="false"/>
          <w:sz w:val="20"/>
        </w:rPr>
        <w:t>9.</w:t>
      </w:r>
      <w:r>
        <w:rPr>
          <w:rFonts w:ascii="Times New Roman;Times;serif" w:hAnsi="Times New Roman;Times;serif"/>
          <w:b/>
          <w:sz w:val="20"/>
        </w:rPr>
        <w:t>GENERAL ADMINISTRATION EXPENSES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General administrative expenses consist of the following:</w:t>
      </w:r>
    </w:p>
    <w:p>
      <w:pPr>
        <w:pStyle w:val="TextBody"/>
        <w:bidi w:val="0"/>
        <w:spacing w:before="0" w:after="240"/>
        <w:ind w:left="200" w:right="200" w:hanging="0"/>
        <w:jc w:val="both"/>
        <w:rPr/>
      </w:pPr>
      <w:r>
        <w:rPr/>
        <w:t>​</w:t>
      </w:r>
    </w:p>
    <w:tbl>
      <w:tblPr>
        <w:tblW w:w="6277" w:type="dxa"/>
        <w:jc w:val="left"/>
        <w:tblInd w:w="200" w:type="dxa"/>
        <w:tblLayout w:type="fixed"/>
        <w:tblCellMar>
          <w:top w:w="0" w:type="dxa"/>
          <w:left w:w="0" w:type="dxa"/>
          <w:bottom w:w="0" w:type="dxa"/>
          <w:right w:w="0" w:type="dxa"/>
        </w:tblCellMar>
      </w:tblPr>
      <w:tblGrid>
        <w:gridCol w:w="2806"/>
        <w:gridCol w:w="346"/>
        <w:gridCol w:w="796"/>
        <w:gridCol w:w="346"/>
        <w:gridCol w:w="796"/>
        <w:gridCol w:w="346"/>
        <w:gridCol w:w="841"/>
      </w:tblGrid>
      <w:tr>
        <w:trPr/>
        <w:tc>
          <w:tcPr>
            <w:tcW w:w="28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ind w:left="0" w:right="0" w:hanging="0"/>
              <w:jc w:val="left"/>
              <w:rPr>
                <w:sz w:val="4"/>
                <w:szCs w:val="4"/>
              </w:rPr>
            </w:pPr>
            <w:r>
              <w:rPr>
                <w:sz w:val="4"/>
                <w:szCs w:val="4"/>
              </w:rPr>
            </w:r>
          </w:p>
        </w:tc>
      </w:tr>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781810" cy="175260"/>
                      <wp:effectExtent l="0" t="0" r="0" b="0"/>
                      <wp:wrapNone/>
                      <wp:docPr id="202" name="Frame200"/>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3"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05460" cy="175260"/>
                      <wp:effectExtent l="0" t="0" r="0" b="0"/>
                      <wp:wrapNone/>
                      <wp:docPr id="204" name="Frame20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5"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05460" cy="175260"/>
                      <wp:effectExtent l="0" t="0" r="0" b="0"/>
                      <wp:wrapNone/>
                      <wp:docPr id="206" name="Frame20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07"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34035" cy="175260"/>
                      <wp:effectExtent l="0" t="0" r="0" b="0"/>
                      <wp:wrapNone/>
                      <wp:docPr id="208" name="Frame20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(4,451)</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(4,344)</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(4,131)</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and consulting fees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(3,391)</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(4,567)</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(4,401)</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External administrative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(2,333)</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administrative expenses</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(1,229)</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(3,042)</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administrative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(11,404)</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(11,792)</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(12,538)</w:t>
            </w:r>
          </w:p>
        </w:tc>
      </w:tr>
    </w:tbl>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External administrative expenses include costs such as utilities, insurance, travel expenses, or expenses for short-term leases. Other administrative expenses in 2024 and 2023 mainly include other fees and expenses due to the Business Combination concluded in 2024. For the year 2025, the other administrative expenses include, among other items, board remuneration, miscellaneous fees and charges and fringe benefits.</w:t>
      </w:r>
    </w:p>
    <w:p>
      <w:pPr>
        <w:pStyle w:val="TextBody"/>
        <w:bidi w:val="0"/>
        <w:spacing w:before="0" w:after="240"/>
        <w:ind w:left="200" w:right="200" w:hanging="0"/>
        <w:jc w:val="both"/>
        <w:rPr/>
      </w:pPr>
      <w:r>
        <w:rPr/>
        <w:t>​</w:t>
      </w:r>
    </w:p>
    <w:p>
      <w:pPr>
        <w:pStyle w:val="TextBody"/>
        <w:bidi w:val="0"/>
        <w:spacing w:before="0" w:after="240"/>
        <w:ind w:left="200" w:right="200" w:hanging="0"/>
        <w:jc w:val="left"/>
        <w:rPr>
          <w:rFonts w:ascii="Times New Roman;Times;serif" w:hAnsi="Times New Roman;Times;serif"/>
          <w:b/>
          <w:sz w:val="20"/>
        </w:rPr>
      </w:pPr>
      <w:bookmarkStart w:id="814" w:name="Tc_Xzb61DMSV0yIrHMMuUJi7w_7_0"/>
      <w:bookmarkStart w:id="815" w:name="Tc_oKHGeEyUd0a6tydlJRO3Nw_6_0"/>
      <w:bookmarkStart w:id="816" w:name="Tc_gPVlVKCJQ0mZWa0Br4b1pg_5_0"/>
      <w:bookmarkStart w:id="817" w:name="Tc_VYb8txEE6UavwVABv6Dkcw_4_0"/>
      <w:bookmarkStart w:id="818" w:name="Tc_wXEhHcTkOU6wWS0l4WcQew_3_0"/>
      <w:bookmarkStart w:id="819" w:name="Tc_Pu_Uo_NE1kK8_kIoExPxMg_2_0"/>
      <w:bookmarkStart w:id="820" w:name="Tc_Op4Ch4PKS0uYpbnl8Xo9_Q_1_6"/>
      <w:bookmarkStart w:id="821" w:name="Tc_1eo_qoM4K0q7qlMRMCym5w_1_4"/>
      <w:bookmarkStart w:id="822" w:name="Tc_N29q2DybXU-rtursQ7KbAA_1_2"/>
      <w:bookmarkStart w:id="823" w:name="Tc_hgP3SuB9tkqXz0sLiX1-xg_1_0"/>
      <w:bookmarkStart w:id="824" w:name="a10RESEARCHANDDEVELOPMENTEXPENSES_635160"/>
      <w:bookmarkEnd w:id="814"/>
      <w:bookmarkEnd w:id="815"/>
      <w:bookmarkEnd w:id="816"/>
      <w:bookmarkEnd w:id="817"/>
      <w:bookmarkEnd w:id="818"/>
      <w:bookmarkEnd w:id="819"/>
      <w:bookmarkEnd w:id="820"/>
      <w:bookmarkEnd w:id="821"/>
      <w:bookmarkEnd w:id="822"/>
      <w:bookmarkEnd w:id="823"/>
      <w:bookmarkEnd w:id="824"/>
      <w:r>
        <w:rPr>
          <w:rFonts w:ascii="Times New Roman;Times;serif" w:hAnsi="Times New Roman;Times;serif"/>
          <w:b/>
          <w:i w:val="false"/>
          <w:caps w:val="false"/>
          <w:smallCaps w:val="false"/>
          <w:sz w:val="20"/>
        </w:rPr>
        <w:t>10.</w:t>
      </w:r>
      <w:r>
        <w:rPr>
          <w:rFonts w:ascii="Times New Roman;Times;serif" w:hAnsi="Times New Roman;Times;serif"/>
          <w:b/>
          <w:sz w:val="20"/>
        </w:rPr>
        <w:t>RESEARCH AND DEVELOPMENT EXPENSES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R&amp;D expenses that do not fulfill the recognition criteria according to IAS 38 consist of the following:</w:t>
      </w:r>
    </w:p>
    <w:p>
      <w:pPr>
        <w:pStyle w:val="TextBody"/>
        <w:bidi w:val="0"/>
        <w:spacing w:before="0" w:after="240"/>
        <w:ind w:left="200" w:right="200" w:hanging="0"/>
        <w:jc w:val="both"/>
        <w:rPr/>
      </w:pPr>
      <w:r>
        <w:rPr/>
        <w:t>​</w:t>
      </w:r>
    </w:p>
    <w:tbl>
      <w:tblPr>
        <w:tblW w:w="6787" w:type="dxa"/>
        <w:jc w:val="left"/>
        <w:tblInd w:w="200" w:type="dxa"/>
        <w:tblLayout w:type="fixed"/>
        <w:tblCellMar>
          <w:top w:w="0" w:type="dxa"/>
          <w:left w:w="0" w:type="dxa"/>
          <w:bottom w:w="0" w:type="dxa"/>
          <w:right w:w="0" w:type="dxa"/>
        </w:tblCellMar>
      </w:tblPr>
      <w:tblGrid>
        <w:gridCol w:w="3631"/>
        <w:gridCol w:w="346"/>
        <w:gridCol w:w="691"/>
        <w:gridCol w:w="346"/>
        <w:gridCol w:w="691"/>
        <w:gridCol w:w="346"/>
        <w:gridCol w:w="736"/>
      </w:tblGrid>
      <w:tr>
        <w:trPr/>
        <w:tc>
          <w:tcPr>
            <w:tcW w:w="36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r>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305685" cy="175260"/>
                      <wp:effectExtent l="0" t="0" r="0" b="0"/>
                      <wp:wrapNone/>
                      <wp:docPr id="209" name="Frame207"/>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0"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38785" cy="175260"/>
                      <wp:effectExtent l="0" t="0" r="0" b="0"/>
                      <wp:wrapNone/>
                      <wp:docPr id="211" name="Frame20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2"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38785" cy="175260"/>
                      <wp:effectExtent l="0" t="0" r="0" b="0"/>
                      <wp:wrapNone/>
                      <wp:docPr id="213" name="Frame21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4"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67360" cy="175260"/>
                      <wp:effectExtent l="0" t="0" r="0" b="0"/>
                      <wp:wrapNone/>
                      <wp:docPr id="215" name="Frame21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6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Personnel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(1,504)</w:t>
            </w:r>
          </w:p>
        </w:tc>
      </w:tr>
      <w:tr>
        <w:trPr/>
        <w:tc>
          <w:tcPr>
            <w:tcW w:w="36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Depreciation/amortization</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(1,423)</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w:t>
            </w:r>
          </w:p>
        </w:tc>
      </w:tr>
      <w:tr>
        <w:trPr/>
        <w:tc>
          <w:tcPr>
            <w:tcW w:w="36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Legal and consulting fees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w:t>
            </w:r>
          </w:p>
        </w:tc>
      </w:tr>
      <w:tr>
        <w:trPr/>
        <w:tc>
          <w:tcPr>
            <w:tcW w:w="36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R&amp;D related external administration</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w:t>
            </w:r>
          </w:p>
        </w:tc>
      </w:tr>
      <w:tr>
        <w:trPr/>
        <w:tc>
          <w:tcPr>
            <w:tcW w:w="36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research and development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r>
      <w:tr>
        <w:trPr/>
        <w:tc>
          <w:tcPr>
            <w:tcW w:w="363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research and development expenses</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(2,781)</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(3,974)</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(5,148)</w:t>
            </w:r>
          </w:p>
        </w:tc>
      </w:tr>
    </w:tbl>
    <w:p>
      <w:pPr>
        <w:pStyle w:val="TextBody"/>
        <w:bidi w:val="0"/>
        <w:spacing w:before="0" w:after="0"/>
        <w:ind w:left="200" w:right="200" w:hanging="0"/>
        <w:jc w:val="left"/>
        <w:rPr/>
      </w:pPr>
      <w:r>
        <w:rPr/>
        <w: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R&amp;D related external administration comprises allocated costs such as utilities, insurance, travel expenses or expenses for short-term leases.</w:t>
      </w:r>
    </w:p>
    <w:p>
      <w:pPr>
        <w:pStyle w:val="TextBody"/>
        <w:bidi w:val="0"/>
        <w:spacing w:before="0" w:after="240"/>
        <w:ind w:left="200" w:right="200" w:hanging="0"/>
        <w:jc w:val="both"/>
        <w:rPr/>
      </w:pPr>
      <w:r>
        <w:rPr/>
        <w:t>​</w:t>
      </w:r>
    </w:p>
    <w:p>
      <w:pPr>
        <w:pStyle w:val="TextBody"/>
        <w:bidi w:val="0"/>
        <w:spacing w:before="0" w:after="240"/>
        <w:ind w:left="200" w:right="200" w:hanging="0"/>
        <w:jc w:val="left"/>
        <w:rPr>
          <w:rFonts w:ascii="Times New Roman;Times;serif" w:hAnsi="Times New Roman;Times;serif"/>
          <w:b/>
          <w:sz w:val="20"/>
        </w:rPr>
      </w:pPr>
      <w:bookmarkStart w:id="825" w:name="Tc_Xw3Aq3qFiEayV32ecW2tfg_6_0"/>
      <w:bookmarkStart w:id="826" w:name="Tc_LyXnFJiitE6JS9y-5ul6tA_5_4"/>
      <w:bookmarkStart w:id="827" w:name="Tc_wRl8ttbiAkGvIFPzqWgTrw_5_2"/>
      <w:bookmarkStart w:id="828" w:name="Tc_0En4kvqkqEWwuOwh4VXbMQ_5_0"/>
      <w:bookmarkStart w:id="829" w:name="Tc_kLzyN_s0xkaiIyqHMleAiA_4_4"/>
      <w:bookmarkStart w:id="830" w:name="Tc_9RaAkFKml0a5VtpIFhqr8g_4_0"/>
      <w:bookmarkStart w:id="831" w:name="Tc_VPgua3neuEyn8YdmtXUaDg_3_0"/>
      <w:bookmarkStart w:id="832" w:name="Tc_92ehRdWktUqxVTLdtjIWMw_2_6"/>
      <w:bookmarkStart w:id="833" w:name="Tc_vqK-6a9FLUOpgwWLM6bkZw_2_2"/>
      <w:bookmarkStart w:id="834" w:name="Tc_Cs8BtLf7oUuNpx2mPU3bpw_2_0"/>
      <w:bookmarkStart w:id="835" w:name="Tc_DJLNny1PN0Kn-1Vo40ckpg_1_6"/>
      <w:bookmarkStart w:id="836" w:name="Tc_r15zjSOvGEq1H3cf4wD-Lg_1_4"/>
      <w:bookmarkStart w:id="837" w:name="Tc_nO4fim9IGUChl9cvuL7GaA_1_2"/>
      <w:bookmarkStart w:id="838" w:name="Tc_xrFaSak9g0G4O-6YkggGBQ_1_0"/>
      <w:bookmarkStart w:id="839" w:name="a11OTHERINCOME_743836"/>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r>
        <w:rPr>
          <w:rFonts w:ascii="Times New Roman;Times;serif" w:hAnsi="Times New Roman;Times;serif"/>
          <w:b/>
          <w:i w:val="false"/>
          <w:caps w:val="false"/>
          <w:smallCaps w:val="false"/>
          <w:sz w:val="20"/>
        </w:rPr>
        <w:t>11.</w:t>
      </w:r>
      <w:r>
        <w:rPr>
          <w:rFonts w:ascii="Times New Roman;Times;serif" w:hAnsi="Times New Roman;Times;serif"/>
          <w:b/>
          <w:sz w:val="20"/>
        </w:rPr>
        <w:t>OTHER INCOME</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Other income consists of the following:</w:t>
      </w:r>
    </w:p>
    <w:p>
      <w:pPr>
        <w:pStyle w:val="TextBody"/>
        <w:bidi w:val="0"/>
        <w:spacing w:before="0" w:after="240"/>
        <w:ind w:left="200" w:right="200" w:hanging="0"/>
        <w:jc w:val="both"/>
        <w:rPr/>
      </w:pPr>
      <w:r>
        <w:rPr/>
        <w:t>​</w:t>
      </w:r>
    </w:p>
    <w:tbl>
      <w:tblPr>
        <w:tblW w:w="5527" w:type="dxa"/>
        <w:jc w:val="left"/>
        <w:tblInd w:w="200" w:type="dxa"/>
        <w:tblLayout w:type="fixed"/>
        <w:tblCellMar>
          <w:top w:w="0" w:type="dxa"/>
          <w:left w:w="0" w:type="dxa"/>
          <w:bottom w:w="0" w:type="dxa"/>
          <w:right w:w="0" w:type="dxa"/>
        </w:tblCellMar>
      </w:tblPr>
      <w:tblGrid>
        <w:gridCol w:w="2461"/>
        <w:gridCol w:w="346"/>
        <w:gridCol w:w="676"/>
        <w:gridCol w:w="346"/>
        <w:gridCol w:w="571"/>
        <w:gridCol w:w="346"/>
        <w:gridCol w:w="781"/>
      </w:tblGrid>
      <w:tr>
        <w:trPr/>
        <w:tc>
          <w:tcPr>
            <w:tcW w:w="24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ind w:left="0" w:right="0" w:hanging="0"/>
              <w:jc w:val="left"/>
              <w:rPr>
                <w:sz w:val="4"/>
                <w:szCs w:val="4"/>
              </w:rPr>
            </w:pPr>
            <w:r>
              <w:rPr>
                <w:sz w:val="4"/>
                <w:szCs w:val="4"/>
              </w:rPr>
            </w:r>
          </w:p>
        </w:tc>
      </w:tr>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562735" cy="175260"/>
                      <wp:effectExtent l="0" t="0" r="0" b="0"/>
                      <wp:wrapNone/>
                      <wp:docPr id="216" name="Frame214"/>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17"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29260" cy="175260"/>
                      <wp:effectExtent l="0" t="0" r="0" b="0"/>
                      <wp:wrapNone/>
                      <wp:docPr id="218" name="Frame2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19"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362585" cy="175260"/>
                      <wp:effectExtent l="0" t="0" r="0" b="0"/>
                      <wp:wrapNone/>
                      <wp:docPr id="220" name="Frame21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1"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95935" cy="175260"/>
                      <wp:effectExtent l="0" t="0" r="0" b="0"/>
                      <wp:wrapNone/>
                      <wp:docPr id="222" name="Frame22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SES transaction</w:t>
            </w:r>
          </w:p>
        </w:tc>
        <w:tc>
          <w:tcPr>
            <w:tcW w:w="34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3,703</w:t>
            </w:r>
          </w:p>
        </w:tc>
        <w:tc>
          <w:tcPr>
            <w:tcW w:w="34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miscellaneous income</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5,923</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5,315</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3,815</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gains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2,969</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Bonus payments</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9,200</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income</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12,217</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9,018</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15,985</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Other miscellaneous income in 2025 includes government grants related to income in an amount of €381 thousand as well as income from the derecognition of €4,988 thousand liabilities that were waived by shareholders in 2025. For further detail refer to note 29. Non-current and current financial liabilities.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foreign currency gains for the financial year ended December 31, 2025 are mainly related to USD denominated liabilities.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of January 1, 2024, SCHMID acquired the remaining shares in the former at-equity participation SES. The majority of the shares have been transferred to a third-party investor in 2024 resulting in a gain of €3,703 thousand. For further detail refer to note 35. Equity method investments.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Other miscellaneous income for the financial year ended December 31, 2024 includes income of the derecognition of liabilities as they have expired due to the statute of limitations at the amount of €2,194 thousand, government grants related to income amounting to €550 thousand and research allowances under the Act on Tax Incentives for Research and Development (Research Allowance Act - FZulG) amounting to €319 thousand.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Other miscellaneous income in 2023 includes a gain resulting from a cancelled sale and leaseback agreement with a third party (€1,875 thousand for the fiscal year ended December 31, 2023) as well as government grants related to income in an amount of €356 thousand for the fiscal year ended December 31, 2023. The grants are received in cash to compensate for expenses incurred in relation to research projects. In addition, other miscellaneous income includes income from asset disposals, mainly from the sale and leaseback transaction (€508 thousand).</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One part of the bonus payments in 2023 is comprised of the Silicon exit bonus of €4,700 thousand. In March 2023, a Stock Purchase Agreement (hereinafter referred to as “SPA”) was entered into to sell Schmid Silicon Technology Holding GmbH and subsidiaries (hereinafter referred to as “the Silicon Group”) to the Group14. Prior to the closing of the SPA on June 29, 2023, the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Silicon Group was a related party of SCHMID and controlled by Christian Schmid (hereinafter referred to as “CS”), one of the owners of SCHMID. The proceeds from the sale of the Silicon Group were, among other things, used to repay the shareholder loan between CS and SCHMID. The proceeds from the shareholder loan were used to repay certain borrowings of SCHMID.</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Additionally, receivables from the Silicon Group which had been impaired in 2017 by SCHMID became recoverable as a result of the SPA resulting in an impairment reversal of </w:t>
            </w:r>
            <w:r>
              <w:rPr>
                <w:caps w:val="false"/>
                <w:smallCaps w:val="false"/>
              </w:rPr>
              <w:t>€</w:t>
            </w:r>
            <w:r>
              <w:rPr>
                <w:rFonts w:ascii="Times New Roman;Times;serif" w:hAnsi="Times New Roman;Times;serif"/>
                <w:b w:val="false"/>
                <w:i w:val="false"/>
                <w:caps w:val="false"/>
                <w:smallCaps w:val="false"/>
                <w:sz w:val="20"/>
              </w:rPr>
              <w:t>21,375</w:t>
            </w:r>
            <w:r>
              <w:rPr>
                <w:caps w:val="false"/>
                <w:smallCaps w:val="false"/>
              </w:rPr>
              <w:t xml:space="preserve"> </w:t>
            </w:r>
            <w:r>
              <w:rPr>
                <w:rFonts w:ascii="Times New Roman;Times;serif" w:hAnsi="Times New Roman;Times;serif"/>
                <w:b w:val="false"/>
                <w:i w:val="false"/>
                <w:caps w:val="false"/>
                <w:smallCaps w:val="false"/>
                <w:sz w:val="20"/>
              </w:rPr>
              <w:t>thousand.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Also, as part of the SPA, certain liabilities of the Silicon Group due to SCHMID were settled with the transfer of shares of Group14 to SCHMID valued at </w:t>
            </w:r>
            <w:r>
              <w:rPr>
                <w:caps w:val="false"/>
                <w:smallCaps w:val="false"/>
              </w:rPr>
              <w:t>€</w:t>
            </w:r>
            <w:r>
              <w:rPr>
                <w:rFonts w:ascii="Times New Roman;Times;serif" w:hAnsi="Times New Roman;Times;serif"/>
                <w:b w:val="false"/>
                <w:i w:val="false"/>
                <w:caps w:val="false"/>
                <w:smallCaps w:val="false"/>
                <w:sz w:val="20"/>
              </w:rPr>
              <w:t>17,664</w:t>
            </w:r>
            <w:r>
              <w:rPr>
                <w:caps w:val="false"/>
                <w:smallCaps w:val="false"/>
              </w:rPr>
              <w:t xml:space="preserve"> </w:t>
            </w:r>
            <w:r>
              <w:rPr>
                <w:rFonts w:ascii="Times New Roman;Times;serif" w:hAnsi="Times New Roman;Times;serif"/>
                <w:b w:val="false"/>
                <w:i w:val="false"/>
                <w:caps w:val="false"/>
                <w:smallCaps w:val="false"/>
                <w:sz w:val="20"/>
              </w:rPr>
              <w:t>thousand.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Based on an agreement reached between CS, the Silicon Group and SCHMID in 2021, SCHMID was granted a bonus payment (hereinafter referred to as “Silicon exit bonus”) to be paid upon a successful sale of the Silicon Group to a third party. The Silicon exit bonus of </w:t>
            </w:r>
            <w:r>
              <w:rPr>
                <w:caps w:val="false"/>
                <w:smallCaps w:val="false"/>
              </w:rPr>
              <w:t>€</w:t>
            </w:r>
            <w:r>
              <w:rPr>
                <w:rFonts w:ascii="Times New Roman;Times;serif" w:hAnsi="Times New Roman;Times;serif"/>
                <w:b w:val="false"/>
                <w:i w:val="false"/>
                <w:caps w:val="false"/>
                <w:smallCaps w:val="false"/>
                <w:sz w:val="20"/>
              </w:rPr>
              <w:t>4,700</w:t>
            </w:r>
            <w:r>
              <w:rPr>
                <w:caps w:val="false"/>
                <w:smallCaps w:val="false"/>
              </w:rPr>
              <w:t xml:space="preserve"> </w:t>
            </w:r>
            <w:r>
              <w:rPr>
                <w:rFonts w:ascii="Times New Roman;Times;serif" w:hAnsi="Times New Roman;Times;serif"/>
                <w:b w:val="false"/>
                <w:i w:val="false"/>
                <w:caps w:val="false"/>
                <w:smallCaps w:val="false"/>
                <w:sz w:val="20"/>
              </w:rPr>
              <w:t>thousand was determined based on 5% of the net proceeds (after repayment of third-party debt) received from a sale.</w:t>
            </w:r>
          </w:p>
        </w:tc>
      </w:tr>
    </w:tbl>
    <w:tbl>
      <w:tblPr>
        <w:tblW w:w="8991" w:type="dxa"/>
        <w:jc w:val="left"/>
        <w:tblInd w:w="200" w:type="dxa"/>
        <w:tblLayout w:type="fixed"/>
        <w:tblCellMar>
          <w:top w:w="28" w:type="dxa"/>
          <w:left w:w="28" w:type="dxa"/>
          <w:bottom w:w="28" w:type="dxa"/>
          <w:right w:w="28" w:type="dxa"/>
        </w:tblCellMar>
      </w:tblPr>
      <w:tblGrid>
        <w:gridCol w:w="124"/>
        <w:gridCol w:w="256"/>
        <w:gridCol w:w="8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1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In June 2023, CS repaid the shareholder loan to SCHMID with a total cash amount of </w:t>
            </w:r>
            <w:r>
              <w:rPr>
                <w:caps w:val="false"/>
                <w:smallCaps w:val="false"/>
              </w:rPr>
              <w:t>€</w:t>
            </w:r>
            <w:r>
              <w:rPr>
                <w:rFonts w:ascii="Times New Roman;Times;serif" w:hAnsi="Times New Roman;Times;serif"/>
                <w:b w:val="false"/>
                <w:i w:val="false"/>
                <w:caps w:val="false"/>
                <w:smallCaps w:val="false"/>
                <w:sz w:val="20"/>
              </w:rPr>
              <w:t>70,000</w:t>
            </w:r>
            <w:r>
              <w:rPr>
                <w:caps w:val="false"/>
                <w:smallCaps w:val="false"/>
              </w:rPr>
              <w:t xml:space="preserve"> </w:t>
            </w:r>
            <w:r>
              <w:rPr>
                <w:rFonts w:ascii="Times New Roman;Times;serif" w:hAnsi="Times New Roman;Times;serif"/>
                <w:b w:val="false"/>
                <w:i w:val="false"/>
                <w:caps w:val="false"/>
                <w:smallCaps w:val="false"/>
                <w:sz w:val="20"/>
              </w:rPr>
              <w:t>thousand.</w:t>
            </w:r>
          </w:p>
        </w:tc>
      </w:tr>
    </w:tbl>
    <w:tbl>
      <w:tblPr>
        <w:tblW w:w="6021" w:type="dxa"/>
        <w:jc w:val="left"/>
        <w:tblInd w:w="200" w:type="dxa"/>
        <w:tblLayout w:type="fixed"/>
        <w:tblCellMar>
          <w:top w:w="28" w:type="dxa"/>
          <w:left w:w="28" w:type="dxa"/>
          <w:bottom w:w="28" w:type="dxa"/>
          <w:right w:w="28" w:type="dxa"/>
        </w:tblCellMar>
      </w:tblPr>
      <w:tblGrid>
        <w:gridCol w:w="124"/>
        <w:gridCol w:w="256"/>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4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expected credit loss of </w:t>
            </w:r>
            <w:r>
              <w:rPr>
                <w:caps w:val="false"/>
                <w:smallCaps w:val="false"/>
              </w:rPr>
              <w:t>€</w:t>
            </w:r>
            <w:r>
              <w:rPr>
                <w:rFonts w:ascii="Times New Roman;Times;serif" w:hAnsi="Times New Roman;Times;serif"/>
                <w:b w:val="false"/>
                <w:i w:val="false"/>
                <w:caps w:val="false"/>
                <w:smallCaps w:val="false"/>
                <w:sz w:val="20"/>
              </w:rPr>
              <w:t>1,418</w:t>
            </w:r>
            <w:r>
              <w:rPr>
                <w:caps w:val="false"/>
                <w:smallCaps w:val="false"/>
              </w:rPr>
              <w:t xml:space="preserve"> </w:t>
            </w:r>
            <w:r>
              <w:rPr>
                <w:rFonts w:ascii="Times New Roman;Times;serif" w:hAnsi="Times New Roman;Times;serif"/>
                <w:b w:val="false"/>
                <w:i w:val="false"/>
                <w:caps w:val="false"/>
                <w:smallCaps w:val="false"/>
                <w:sz w:val="20"/>
              </w:rPr>
              <w:t>thousand was therefore reversed.</w:t>
            </w:r>
          </w:p>
        </w:tc>
      </w:tr>
    </w:tbl>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other part is an exit bonus related to Montratec. In 2018, the Company sold one of its subsidiaries, Montratec GmbH, to Montratec Sarl. The underlying stock purchase agreement included a clause on potential exit events, which requires Montratec Sarl to pay SCHMID up to €4,500 thousand (hereinafter referred to as “Montratec exit bonus”) upon a future exit of Montratec Sarl from Montratec GmbH. Additionally, SCHMID entered into a guarantee agreement with Schmid Grundstücke GmbH&amp; Co. KG (referred to as “SGG”), an entity jointly controlled by shareholders of SCHMID, wherein SGG would reimburse the difference between the exit sale consideration actually received from Montratec Sarl and €4,500 thousand (hereinafter referred to as “Montratec guarantee”) in the event that the exit sale consideration is below €4,500 thousand. As a remuneration for this guarantee, SCHMID was required to pay SGG an amount equal to 1.5% p.a. of the €4,500 thousand per year until an exit event would occur. SCHMID was informed in April 2023 about this exit event, i.e. that Montratec GmbH was sold by Montratec Sarl in April 2023 which resulted in an exit bonus of €3,954 thousand being owed by Montratec Sarl to SCHMID and €546 thousand being owed by SGG. The bonus from Montratec has been received in cash during 2023, the payment from SGG has been netted with payables of SCHMID against SGG.</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bookmarkStart w:id="840" w:name="Tc_iFYb0NlAZEqAP9zkulXlBw_6_0"/>
      <w:bookmarkStart w:id="841" w:name="Tc_DxlsGU3_90WCZ9Wb1NF3Vg_5_0"/>
      <w:bookmarkStart w:id="842" w:name="Tc_P-_QemQbA0qQ7K-TLux4rQ_4_6"/>
      <w:bookmarkStart w:id="843" w:name="Tc_JRUi9K0Hr0a0WU_Y58-Zvw_4_4"/>
      <w:bookmarkStart w:id="844" w:name="Tc_jPRg0heI10e82T1q7NgU2Q_4_0"/>
      <w:bookmarkStart w:id="845" w:name="Tc_Y37oB3Y3nES8O-NtBsY9Gg_3_0"/>
      <w:bookmarkStart w:id="846" w:name="Tc_fDHv03tQeE6XjhZsHOBKGg_2_0"/>
      <w:bookmarkStart w:id="847" w:name="Tc_G3ja04ciJUK2PlGUjzHJNQ_1_6"/>
      <w:bookmarkStart w:id="848" w:name="Tc_w3l4HVH1XEW_aslPx7wPSQ_1_4"/>
      <w:bookmarkStart w:id="849" w:name="Tc_gz9l8bRljEyT2AQdUa1ZgQ_1_2"/>
      <w:bookmarkStart w:id="850" w:name="Tc_IVIKQMHmJkS-RMaLFWGbYg_1_0"/>
      <w:bookmarkStart w:id="851" w:name="a12OTHEREXPENSES_44701"/>
      <w:bookmarkEnd w:id="840"/>
      <w:bookmarkEnd w:id="841"/>
      <w:bookmarkEnd w:id="842"/>
      <w:bookmarkEnd w:id="843"/>
      <w:bookmarkEnd w:id="844"/>
      <w:bookmarkEnd w:id="845"/>
      <w:bookmarkEnd w:id="846"/>
      <w:bookmarkEnd w:id="847"/>
      <w:bookmarkEnd w:id="848"/>
      <w:bookmarkEnd w:id="849"/>
      <w:bookmarkEnd w:id="850"/>
      <w:bookmarkEnd w:id="851"/>
      <w:r>
        <w:rPr>
          <w:rFonts w:ascii="Times New Roman;Times;serif" w:hAnsi="Times New Roman;Times;serif"/>
          <w:b/>
          <w:i w:val="false"/>
          <w:caps w:val="false"/>
          <w:smallCaps w:val="false"/>
          <w:sz w:val="20"/>
        </w:rPr>
        <w:t>12.</w:t>
      </w:r>
      <w:r>
        <w:rPr>
          <w:rFonts w:ascii="Times New Roman;Times;serif" w:hAnsi="Times New Roman;Times;serif"/>
          <w:b/>
          <w:sz w:val="20"/>
        </w:rPr>
        <w:t>OTHER EXPENSES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Other expenses consist of the following:</w:t>
      </w:r>
    </w:p>
    <w:p>
      <w:pPr>
        <w:pStyle w:val="TextBody"/>
        <w:bidi w:val="0"/>
        <w:spacing w:before="0" w:after="240"/>
        <w:ind w:left="200" w:right="200" w:hanging="0"/>
        <w:jc w:val="both"/>
        <w:rPr/>
      </w:pPr>
      <w:r>
        <w:rPr/>
        <w:t>​</w:t>
      </w:r>
    </w:p>
    <w:tbl>
      <w:tblPr>
        <w:tblW w:w="5257" w:type="dxa"/>
        <w:jc w:val="left"/>
        <w:tblInd w:w="200" w:type="dxa"/>
        <w:tblLayout w:type="fixed"/>
        <w:tblCellMar>
          <w:top w:w="0" w:type="dxa"/>
          <w:left w:w="0" w:type="dxa"/>
          <w:bottom w:w="0" w:type="dxa"/>
          <w:right w:w="0" w:type="dxa"/>
        </w:tblCellMar>
      </w:tblPr>
      <w:tblGrid>
        <w:gridCol w:w="2251"/>
        <w:gridCol w:w="346"/>
        <w:gridCol w:w="541"/>
        <w:gridCol w:w="346"/>
        <w:gridCol w:w="691"/>
        <w:gridCol w:w="346"/>
        <w:gridCol w:w="736"/>
      </w:tblGrid>
      <w:tr>
        <w:trPr/>
        <w:tc>
          <w:tcPr>
            <w:tcW w:w="22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r>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429385" cy="175260"/>
                      <wp:effectExtent l="0" t="0" r="0" b="0"/>
                      <wp:wrapNone/>
                      <wp:docPr id="223" name="Frame221"/>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4"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343535" cy="175260"/>
                      <wp:effectExtent l="0" t="0" r="0" b="0"/>
                      <wp:wrapNone/>
                      <wp:docPr id="225" name="Frame22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26"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38785" cy="175260"/>
                      <wp:effectExtent l="0" t="0" r="0" b="0"/>
                      <wp:wrapNone/>
                      <wp:docPr id="227" name="Frame22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28"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67360" cy="175260"/>
                      <wp:effectExtent l="0" t="0" r="0" b="0"/>
                      <wp:wrapNone/>
                      <wp:docPr id="229" name="Frame22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1"/>
              <w:ind w:left="0" w:right="0" w:hanging="0"/>
              <w:jc w:val="center"/>
              <w:rPr/>
            </w:pPr>
            <w:r>
              <w:rPr/>
              <w:t>  ​ ​ ​</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losses</w:t>
            </w:r>
          </w:p>
        </w:tc>
        <w:tc>
          <w:tcPr>
            <w:tcW w:w="346" w:type="dxa"/>
            <w:tcBorders/>
            <w:shd w:fill="CCEEFF" w:val="clear"/>
            <w:vAlign w:val="center"/>
          </w:tcPr>
          <w:p>
            <w:pPr>
              <w:pStyle w:val="TableContents"/>
              <w:bidi w:val="0"/>
              <w:spacing w:before="0" w:after="1"/>
              <w:ind w:left="0" w:right="0" w:hanging="0"/>
              <w:jc w:val="left"/>
              <w:rPr/>
            </w:pPr>
            <w:r>
              <w:rPr/>
              <w:t> </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(2,347)</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(2,388)</w:t>
            </w:r>
          </w:p>
        </w:tc>
      </w:tr>
      <w:tr>
        <w:trPr/>
        <w:tc>
          <w:tcPr>
            <w:tcW w:w="2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taxes</w:t>
            </w:r>
          </w:p>
        </w:tc>
        <w:tc>
          <w:tcPr>
            <w:tcW w:w="346"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disposal of assets</w:t>
            </w:r>
          </w:p>
        </w:tc>
        <w:tc>
          <w:tcPr>
            <w:tcW w:w="346" w:type="dxa"/>
            <w:tcBorders/>
            <w:shd w:fill="CCEEFF" w:val="clear"/>
            <w:vAlign w:val="center"/>
          </w:tcPr>
          <w:p>
            <w:pPr>
              <w:pStyle w:val="TableContents"/>
              <w:bidi w:val="0"/>
              <w:spacing w:before="0" w:after="1"/>
              <w:ind w:left="0" w:right="0" w:hanging="0"/>
              <w:jc w:val="left"/>
              <w:rPr/>
            </w:pPr>
            <w:r>
              <w:rPr/>
              <w:t> </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2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Miscellaneous other items</w:t>
            </w:r>
          </w:p>
        </w:tc>
        <w:tc>
          <w:tcPr>
            <w:tcW w:w="346" w:type="dxa"/>
            <w:tcBorders/>
            <w:vAlign w:val="center"/>
          </w:tcPr>
          <w:p>
            <w:pPr>
              <w:pStyle w:val="TableContents"/>
              <w:bidi w:val="0"/>
              <w:spacing w:before="0" w:after="1"/>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other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(607)</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(2,564)</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(2,620)</w:t>
            </w:r>
          </w:p>
        </w:tc>
      </w:tr>
    </w:tbl>
    <w:p>
      <w:pPr>
        <w:pStyle w:val="TextBody"/>
        <w:bidi w:val="0"/>
        <w:spacing w:before="0" w:after="240"/>
        <w:ind w:left="200" w:right="200" w:hanging="0"/>
        <w:jc w:val="both"/>
        <w:rPr/>
      </w:pPr>
      <w:r>
        <w:rPr/>
        <w:t>​</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sz w:val="20"/>
        </w:rPr>
      </w:pPr>
      <w:bookmarkStart w:id="852" w:name="a13SHARELISTINGEXPENSE_220357"/>
      <w:bookmarkEnd w:id="852"/>
      <w:r>
        <w:rPr>
          <w:rFonts w:ascii="Times New Roman;Times;serif" w:hAnsi="Times New Roman;Times;serif"/>
          <w:b/>
          <w:i w:val="false"/>
          <w:caps w:val="false"/>
          <w:smallCaps w:val="false"/>
          <w:sz w:val="20"/>
        </w:rPr>
        <w:t>13.</w:t>
      </w:r>
      <w:r>
        <w:rPr>
          <w:rFonts w:ascii="Times New Roman;Times;serif" w:hAnsi="Times New Roman;Times;serif"/>
          <w:b/>
          <w:sz w:val="20"/>
        </w:rPr>
        <w:t>SHARE LISTING EXPENSE</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In 2024, the Pegasus Merger led to a Share listing expense. SCHMID Group N.V. issued shares with a fair value of €68 million to Pegasus shareholders, comprised of the fair value of SCHMID Group N.V. shares, that were issued to Pegasus shareholders of €9.61 ($10.30) per share (Pegasus closing price as of April 30, 2024). In exchange, SCHMID Group N.V received the identifiable net assets held by Pegasus, which had a fair value upon closing of minus €3.5 million, comprising of investments held in Pegasus trust account partly offset by current liabilities by Pegasus in the amount of €9.3 million, deferred underwriting commissions and financial liabilities in the amount of €7.5 million and liabilities of €5.3 million for the 21 million Pegasus Warrants considering a fair value of the warrants of €0.2519 per warrant (price of Pegasus Warrants at Closing of the Pegasus Merger in EUR; closing price in USD as the denominated currency was $0.27). The excess of the fair value of the equity instruments issued over the fair value of the identified net assets contributed, represents a non-cash expense in accordance with IFRS 2. This one-time expense as a result of the Pegasus Merger,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bookmarkStart w:id="853" w:name="Tc_ojLW71eeKU-VT-LQUlBIkg_6_0"/>
      <w:bookmarkStart w:id="854" w:name="Tc_yYwCR9QHYkm4S7F0wvOtEg_5_2"/>
      <w:bookmarkStart w:id="855" w:name="Tc_wM0FHVMxvkupRpHJnkj-jg_5_0"/>
      <w:bookmarkStart w:id="856" w:name="Tc_tU1OYNSG5kGP4ncDxm0yqA_4_2"/>
      <w:bookmarkStart w:id="857" w:name="Tc_Irm7dZLIvkOiHJcTJM4l0g_4_0"/>
      <w:bookmarkStart w:id="858" w:name="Tc_GL7AXl38ukaZW57lKdyPDg_3_2"/>
      <w:bookmarkStart w:id="859" w:name="Tc_Rm29NbLqj0WRHUqp-XLxrA_3_0"/>
      <w:bookmarkStart w:id="860" w:name="Tc_fuywSh068UawBd1juU3Zhw_2_2"/>
      <w:bookmarkStart w:id="861" w:name="Tc_rERSBo-OPEmKmFsTF6I-KQ_2_0"/>
      <w:bookmarkStart w:id="862" w:name="Tc_Y3v4eiEwFUSoFiPlkvCtxg_1_4"/>
      <w:bookmarkStart w:id="863" w:name="Tc_GTgkH7vd9k2oJNQQu6OyoA_1_0"/>
      <w:bookmarkEnd w:id="853"/>
      <w:bookmarkEnd w:id="854"/>
      <w:bookmarkEnd w:id="855"/>
      <w:bookmarkEnd w:id="856"/>
      <w:bookmarkEnd w:id="857"/>
      <w:bookmarkEnd w:id="858"/>
      <w:bookmarkEnd w:id="859"/>
      <w:bookmarkEnd w:id="860"/>
      <w:bookmarkEnd w:id="861"/>
      <w:bookmarkEnd w:id="862"/>
      <w:bookmarkEnd w:id="863"/>
      <w:r>
        <w:rPr>
          <w:rFonts w:ascii="Times New Roman;Times;serif" w:hAnsi="Times New Roman;Times;serif"/>
          <w:sz w:val="20"/>
        </w:rPr>
        <w:t>in the amount of €71.6 million, is recognized as Share listing expense within the Consolidated Statement of Profit or Loss. Details of the calculation of the Share listing expense are as follows:</w:t>
      </w:r>
    </w:p>
    <w:p>
      <w:pPr>
        <w:pStyle w:val="TextBody"/>
        <w:bidi w:val="0"/>
        <w:spacing w:before="0" w:after="0"/>
        <w:ind w:left="200" w:right="200" w:hanging="0"/>
        <w:jc w:val="left"/>
        <w:rPr/>
      </w:pPr>
      <w:r>
        <w:rPr/>
        <w:t>​</w:t>
      </w:r>
    </w:p>
    <w:tbl>
      <w:tblPr>
        <w:tblW w:w="7985" w:type="dxa"/>
        <w:jc w:val="left"/>
        <w:tblInd w:w="200" w:type="dxa"/>
        <w:tblLayout w:type="fixed"/>
        <w:tblCellMar>
          <w:top w:w="0" w:type="dxa"/>
          <w:left w:w="0" w:type="dxa"/>
          <w:bottom w:w="0" w:type="dxa"/>
          <w:right w:w="0" w:type="dxa"/>
        </w:tblCellMar>
      </w:tblPr>
      <w:tblGrid>
        <w:gridCol w:w="6166"/>
        <w:gridCol w:w="346"/>
        <w:gridCol w:w="346"/>
        <w:gridCol w:w="346"/>
        <w:gridCol w:w="781"/>
      </w:tblGrid>
      <w:tr>
        <w:trPr/>
        <w:tc>
          <w:tcPr>
            <w:tcW w:w="6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ind w:left="0" w:right="0" w:hanging="0"/>
              <w:jc w:val="left"/>
              <w:rPr>
                <w:sz w:val="4"/>
                <w:szCs w:val="4"/>
              </w:rPr>
            </w:pPr>
            <w:r>
              <w:rPr>
                <w:sz w:val="4"/>
                <w:szCs w:val="4"/>
              </w:rPr>
            </w:r>
          </w:p>
        </w:tc>
      </w:tr>
      <w:tr>
        <w:trPr/>
        <w:tc>
          <w:tcPr>
            <w:tcW w:w="6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3915410" cy="175260"/>
                      <wp:effectExtent l="0" t="0" r="0" b="0"/>
                      <wp:wrapNone/>
                      <wp:docPr id="230" name="Frame228"/>
                      <a:graphic xmlns:a="http://schemas.openxmlformats.org/drawingml/2006/main">
                        <a:graphicData uri="http://schemas.microsoft.com/office/word/2010/wordprocessingShape">
                          <wps:wsp>
                            <wps:cNvSpPr txBox="1"/>
                            <wps:spPr>
                              <a:xfrm>
                                <a:off x="0" y="0"/>
                                <a:ext cx="391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1"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2"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3"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95935" cy="175260"/>
                      <wp:effectExtent l="0" t="0" r="0" b="0"/>
                      <wp:wrapNone/>
                      <wp:docPr id="234" name="Frame2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16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Shares to be issued by TopCo to Pegasus</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7,087</w:t>
            </w:r>
          </w:p>
        </w:tc>
      </w:tr>
      <w:tr>
        <w:trPr/>
        <w:tc>
          <w:tcPr>
            <w:tcW w:w="616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Pegasus closing price as of April 30, 2024</w:t>
            </w:r>
          </w:p>
        </w:tc>
        <w:tc>
          <w:tcPr>
            <w:tcW w:w="34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B</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w:t>
            </w:r>
          </w:p>
        </w:tc>
      </w:tr>
      <w:tr>
        <w:trPr/>
        <w:tc>
          <w:tcPr>
            <w:tcW w:w="616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Fair value of shares deemed issued (AxB)</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68.106</w:t>
            </w:r>
          </w:p>
        </w:tc>
      </w:tr>
      <w:tr>
        <w:trPr/>
        <w:tc>
          <w:tcPr>
            <w:tcW w:w="616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Pegasus net assets</w:t>
            </w:r>
          </w:p>
        </w:tc>
        <w:tc>
          <w:tcPr>
            <w:tcW w:w="34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(3,529)</w:t>
            </w:r>
          </w:p>
        </w:tc>
      </w:tr>
      <w:tr>
        <w:trPr/>
        <w:tc>
          <w:tcPr>
            <w:tcW w:w="616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b/>
                <w:sz w:val="20"/>
              </w:rPr>
              <w:t xml:space="preserve">Excess of Fair value of shares over Pegasus’s net assets acquired (C </w:t>
            </w:r>
            <w:r>
              <w:rPr>
                <w:rFonts w:ascii="Times New Roman;Times;serif" w:hAnsi="Times New Roman;Times;serif"/>
                <w:spacing w:val="-4"/>
                <w:sz w:val="20"/>
                <w:shd w:fill="CCEEFF" w:val="clear"/>
              </w:rPr>
              <w:t>–</w:t>
            </w:r>
            <w:r>
              <w:rPr>
                <w:rFonts w:ascii="Times New Roman;Times;serif" w:hAnsi="Times New Roman;Times;serif"/>
                <w:sz w:val="20"/>
              </w:rPr>
              <w:t xml:space="preserve"> </w:t>
            </w:r>
            <w:r>
              <w:rPr>
                <w:rFonts w:ascii="Times New Roman;Times;serif" w:hAnsi="Times New Roman;Times;serif"/>
                <w:b/>
                <w:sz w:val="20"/>
              </w:rPr>
              <w:t>D)</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71,630</w:t>
            </w:r>
          </w:p>
        </w:tc>
      </w:tr>
    </w:tbl>
    <w:p>
      <w:pPr>
        <w:pStyle w:val="TextBody"/>
        <w:bidi w:val="0"/>
        <w:spacing w:before="0" w:after="240"/>
        <w:ind w:left="200" w:right="200" w:hanging="0"/>
        <w:jc w:val="both"/>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Upon closing of the Pegasus Merger, Pegasus Warrants were converted into SCHMID Group N.V. Warrants. The financial liability for the SCHMID Group N.V. Warrants is accounted for at fair value through profit and loss. The fair value of warrants decreased from €0.25 per warrant as of April 30, 2024 to €0.24 per warrant as of December 31, 2024. The result is a decrease in fair value of warrant liabilities of €0.2 million for 2024. As of December 31, 2025 the fair value of the warrant liabilities is €26.1 million (€1.24 per warrant).</w:t>
      </w:r>
    </w:p>
    <w:p>
      <w:pPr>
        <w:pStyle w:val="TextBody"/>
        <w:bidi w:val="0"/>
        <w:spacing w:before="0" w:after="240"/>
        <w:ind w:left="200" w:right="200" w:hanging="0"/>
        <w:jc w:val="left"/>
        <w:rPr>
          <w:rFonts w:ascii="Times New Roman;Times;serif" w:hAnsi="Times New Roman;Times;serif"/>
          <w:b/>
          <w:sz w:val="20"/>
        </w:rPr>
      </w:pPr>
      <w:bookmarkStart w:id="864" w:name="Tc_lE7hvwfRSk6bgk9ugmKEPw_5_2"/>
      <w:bookmarkStart w:id="865" w:name="Tc_AOS5b1I_VU6f9hB1vUCb4Q_5_0"/>
      <w:bookmarkStart w:id="866" w:name="Tc_EN_LOhNBS0qUZ3Owqs_EiQ_4_2"/>
      <w:bookmarkStart w:id="867" w:name="Tc_0242XmSJgU6TYslYg-5L0g_4_0"/>
      <w:bookmarkStart w:id="868" w:name="Tc_hX_SqO2qXEqF4nvOlfIRbA_3_4"/>
      <w:bookmarkStart w:id="869" w:name="Tc_askYjWeHdEiKCFe4ECGK2w_3_2"/>
      <w:bookmarkStart w:id="870" w:name="Tc_e25zQIOV-UWlNGWIc-6P5g_3_0"/>
      <w:bookmarkStart w:id="871" w:name="Tc_b6P-_L-jGUWiacs-W5tR0A_2_4"/>
      <w:bookmarkStart w:id="872" w:name="Tc_M_Isxa0_iUuUEkCWTDS0gw_2_2"/>
      <w:bookmarkStart w:id="873" w:name="Tc_tSo7Xb5RmEmoSXceiBmulw_2_0"/>
      <w:bookmarkStart w:id="874" w:name="Tc_wCoup_vJ90mn4iL4YWDK6Q_1_6"/>
      <w:bookmarkStart w:id="875" w:name="Tc_aKWI_L0_j062f7KOETPVrg_1_4"/>
      <w:bookmarkStart w:id="876" w:name="Tc_5LYz6bQewEi9_LIU8UpUOA_1_2"/>
      <w:bookmarkStart w:id="877" w:name="Tc_Z28xkjOgjEy-AVHYUhLPXg_1_0"/>
      <w:bookmarkStart w:id="878" w:name="a13REVERSALOFIMPAIRMENTOFFINANCIALASSETS"/>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r>
        <w:rPr>
          <w:rFonts w:ascii="Times New Roman;Times;serif" w:hAnsi="Times New Roman;Times;serif"/>
          <w:b/>
          <w:i w:val="false"/>
          <w:caps w:val="false"/>
          <w:smallCaps w:val="false"/>
          <w:sz w:val="20"/>
        </w:rPr>
        <w:t>14.</w:t>
      </w:r>
      <w:r>
        <w:rPr>
          <w:rFonts w:ascii="Times New Roman;Times;serif" w:hAnsi="Times New Roman;Times;serif"/>
          <w:b/>
          <w:sz w:val="20"/>
        </w:rPr>
        <w:t>IMPAIRMENT REVERSAL OF FINANCIAL ASSETS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Reversals of impairments of financial assets includes the following amounts:</w:t>
      </w:r>
    </w:p>
    <w:p>
      <w:pPr>
        <w:pStyle w:val="TextBody"/>
        <w:bidi w:val="0"/>
        <w:spacing w:before="0" w:after="240"/>
        <w:ind w:left="200" w:right="200" w:hanging="0"/>
        <w:jc w:val="both"/>
        <w:rPr/>
      </w:pPr>
      <w:r>
        <w:rPr/>
        <w:t>​</w:t>
      </w:r>
    </w:p>
    <w:tbl>
      <w:tblPr>
        <w:tblW w:w="9682" w:type="dxa"/>
        <w:jc w:val="left"/>
        <w:tblInd w:w="200" w:type="dxa"/>
        <w:tblLayout w:type="fixed"/>
        <w:tblCellMar>
          <w:top w:w="0" w:type="dxa"/>
          <w:left w:w="0" w:type="dxa"/>
          <w:bottom w:w="0" w:type="dxa"/>
          <w:right w:w="0" w:type="dxa"/>
        </w:tblCellMar>
      </w:tblPr>
      <w:tblGrid>
        <w:gridCol w:w="6931"/>
        <w:gridCol w:w="346"/>
        <w:gridCol w:w="466"/>
        <w:gridCol w:w="346"/>
        <w:gridCol w:w="466"/>
        <w:gridCol w:w="346"/>
        <w:gridCol w:w="781"/>
      </w:tblGrid>
      <w:tr>
        <w:trPr/>
        <w:tc>
          <w:tcPr>
            <w:tcW w:w="6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ind w:left="0" w:right="0" w:hanging="0"/>
              <w:jc w:val="left"/>
              <w:rPr>
                <w:sz w:val="4"/>
                <w:szCs w:val="4"/>
              </w:rPr>
            </w:pPr>
            <w:r>
              <w:rPr>
                <w:sz w:val="4"/>
                <w:szCs w:val="4"/>
              </w:rPr>
            </w:r>
          </w:p>
        </w:tc>
      </w:tr>
      <w:tr>
        <w:trPr/>
        <w:tc>
          <w:tcPr>
            <w:tcW w:w="6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401185" cy="175260"/>
                      <wp:effectExtent l="0" t="0" r="0" b="0"/>
                      <wp:wrapNone/>
                      <wp:docPr id="235" name="Frame233"/>
                      <a:graphic xmlns:a="http://schemas.openxmlformats.org/drawingml/2006/main">
                        <a:graphicData uri="http://schemas.microsoft.com/office/word/2010/wordprocessingShape">
                          <wps:wsp>
                            <wps:cNvSpPr txBox="1"/>
                            <wps:spPr>
                              <a:xfrm>
                                <a:off x="0" y="0"/>
                                <a:ext cx="440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36"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95910" cy="175260"/>
                      <wp:effectExtent l="0" t="0" r="0" b="0"/>
                      <wp:wrapNone/>
                      <wp:docPr id="237" name="Frame23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38"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95910" cy="175260"/>
                      <wp:effectExtent l="0" t="0" r="0" b="0"/>
                      <wp:wrapNone/>
                      <wp:docPr id="239" name="Frame23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0"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95935" cy="175260"/>
                      <wp:effectExtent l="0" t="0" r="0" b="0"/>
                      <wp:wrapNone/>
                      <wp:docPr id="241" name="Frame2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Reversal of receivables from the Silicon Group</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21,375</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Reversal of impairment of shareholder loan (included in trade and other receivables)</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1,418</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22,696</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March 2023, a Stock Purchase Agreement (hereinafter referred to as “SPA”) was entered into to sell SCHMID Silicon Technology Holding GmbH and subsidiaries (hereinafter referred to as “the Silicon Group”) to Group14. Receivables from the Silicon Group which had been impaired in 2017 became recoverable as a result of the SPA resulting in an impairment reversal of €21,375 thousand. For further information on the Silicon Group impairment reversal refer to note 11. Other income.</w:t>
      </w:r>
    </w:p>
    <w:p>
      <w:pPr>
        <w:pStyle w:val="TextBody"/>
        <w:bidi w:val="0"/>
        <w:spacing w:before="0" w:after="240"/>
        <w:ind w:left="200" w:right="200" w:hanging="0"/>
        <w:jc w:val="left"/>
        <w:rPr>
          <w:rFonts w:ascii="Times New Roman;Times;serif" w:hAnsi="Times New Roman;Times;serif"/>
          <w:b/>
          <w:sz w:val="20"/>
        </w:rPr>
      </w:pPr>
      <w:bookmarkStart w:id="879" w:name="Tc_B1JiUfEaK0m8MROVgnauQg_12_0"/>
      <w:bookmarkStart w:id="880" w:name="Tc_fLZnXq7YlkGnvG9szWJbYg_11_0"/>
      <w:bookmarkStart w:id="881" w:name="Tc_O4fkwmxB2k-1CT7ZSNRVJQ_10_0"/>
      <w:bookmarkStart w:id="882" w:name="Tc_76ccSXEYeEqF1mXIrOpxjA_9_0"/>
      <w:bookmarkStart w:id="883" w:name="Tc_0lbb567fdkGfs65nSX9Aww_8_6"/>
      <w:bookmarkStart w:id="884" w:name="Tc_6wc813jaV0KQLqAgx53Eyw_8_4"/>
      <w:bookmarkStart w:id="885" w:name="Tc_nxY7kfh28EubGdxs-jV8-g_8_0"/>
      <w:bookmarkStart w:id="886" w:name="Tc_rvEOyu3Wm0udQXRBYEdulw_7_6"/>
      <w:bookmarkStart w:id="887" w:name="Tc_DMPnDMrd0EmUTo5diXv2_w_7_4"/>
      <w:bookmarkStart w:id="888" w:name="Tc_qsWRQTtWSEOmhV-QFbhpSw_7_0"/>
      <w:bookmarkStart w:id="889" w:name="Tc_doKgKTx6-0uU_tjeMsYAEg_6_0"/>
      <w:bookmarkStart w:id="890" w:name="Tc_5cuKAwaeDESze2ESePzMgg_5_4"/>
      <w:bookmarkStart w:id="891" w:name="Tc_HoD5CDoSPUapBoAvMZV1Iw_5_2"/>
      <w:bookmarkStart w:id="892" w:name="Tc_wGtH_RBTcEio1JoJmqKA1w_5_0"/>
      <w:bookmarkStart w:id="893" w:name="Tc_vmkpAVh5NU24akePFmYKWw_4_0"/>
      <w:bookmarkStart w:id="894" w:name="Tc_nnqviXgzXUqQxrowOYvFDQ_3_6"/>
      <w:bookmarkStart w:id="895" w:name="Tc_-O0J77B4q0i5ggtNBBc39w_3_2"/>
      <w:bookmarkStart w:id="896" w:name="Tc_6R-JXRA1ZE6Yj16fG8dCgw_3_0"/>
      <w:bookmarkStart w:id="897" w:name="Tc_m0nxqsDeDUi9HH9UM6QXIg_2_0"/>
      <w:bookmarkStart w:id="898" w:name="Tc_sHGzwadsQkCwT1ItiJJ4bg_1_6"/>
      <w:bookmarkStart w:id="899" w:name="Tc_JW05F5La50-6Y3GT5169ig_1_4"/>
      <w:bookmarkStart w:id="900" w:name="Tc_I1lh2nSO6UOyj_fGRpNgvg_1_2"/>
      <w:bookmarkStart w:id="901" w:name="Tc_t7cBAfc4KUypelsq_Hf04g_1_0"/>
      <w:bookmarkStart w:id="902" w:name="a14FINANCIALRESULT_9816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r>
        <w:rPr>
          <w:rFonts w:ascii="Times New Roman;Times;serif" w:hAnsi="Times New Roman;Times;serif"/>
          <w:b/>
          <w:i w:val="false"/>
          <w:caps w:val="false"/>
          <w:smallCaps w:val="false"/>
          <w:sz w:val="20"/>
        </w:rPr>
        <w:t>15.</w:t>
      </w:r>
      <w:r>
        <w:rPr>
          <w:rFonts w:ascii="Times New Roman;Times;serif" w:hAnsi="Times New Roman;Times;serif"/>
          <w:b/>
          <w:sz w:val="20"/>
        </w:rPr>
        <w:t>FINANCIAL RESULT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Financial result includes the following:</w:t>
      </w:r>
    </w:p>
    <w:p>
      <w:pPr>
        <w:pStyle w:val="TextBody"/>
        <w:bidi w:val="0"/>
        <w:spacing w:before="0" w:after="240"/>
        <w:ind w:left="200" w:right="200" w:hanging="0"/>
        <w:jc w:val="both"/>
        <w:rPr/>
      </w:pPr>
      <w:r>
        <w:rPr/>
        <w:t>​</w:t>
      </w:r>
    </w:p>
    <w:tbl>
      <w:tblPr>
        <w:tblW w:w="7942" w:type="dxa"/>
        <w:jc w:val="left"/>
        <w:tblInd w:w="200" w:type="dxa"/>
        <w:tblLayout w:type="fixed"/>
        <w:tblCellMar>
          <w:top w:w="0" w:type="dxa"/>
          <w:left w:w="0" w:type="dxa"/>
          <w:bottom w:w="0" w:type="dxa"/>
          <w:right w:w="0" w:type="dxa"/>
        </w:tblCellMar>
      </w:tblPr>
      <w:tblGrid>
        <w:gridCol w:w="4576"/>
        <w:gridCol w:w="346"/>
        <w:gridCol w:w="796"/>
        <w:gridCol w:w="346"/>
        <w:gridCol w:w="691"/>
        <w:gridCol w:w="346"/>
        <w:gridCol w:w="841"/>
      </w:tblGrid>
      <w:tr>
        <w:trPr/>
        <w:tc>
          <w:tcPr>
            <w:tcW w:w="45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ind w:left="0" w:right="0" w:hanging="0"/>
              <w:jc w:val="left"/>
              <w:rPr>
                <w:sz w:val="4"/>
                <w:szCs w:val="4"/>
              </w:rPr>
            </w:pPr>
            <w:r>
              <w:rPr>
                <w:sz w:val="4"/>
                <w:szCs w:val="4"/>
              </w:rPr>
            </w:r>
          </w:p>
        </w:tc>
      </w:tr>
      <w:tr>
        <w:trPr/>
        <w:tc>
          <w:tcPr>
            <w:tcW w:w="4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905760" cy="175260"/>
                      <wp:effectExtent l="0" t="0" r="0" b="0"/>
                      <wp:wrapNone/>
                      <wp:docPr id="242" name="Frame240"/>
                      <a:graphic xmlns:a="http://schemas.openxmlformats.org/drawingml/2006/main">
                        <a:graphicData uri="http://schemas.microsoft.com/office/word/2010/wordprocessingShape">
                          <wps:wsp>
                            <wps:cNvSpPr txBox="1"/>
                            <wps:spPr>
                              <a:xfrm>
                                <a:off x="0" y="0"/>
                                <a:ext cx="2905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3"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05460" cy="175260"/>
                      <wp:effectExtent l="0" t="0" r="0" b="0"/>
                      <wp:wrapNone/>
                      <wp:docPr id="244" name="Frame24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5"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38785" cy="175260"/>
                      <wp:effectExtent l="0" t="0" r="0" b="0"/>
                      <wp:wrapNone/>
                      <wp:docPr id="246" name="Frame24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47"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34035" cy="175260"/>
                      <wp:effectExtent l="0" t="0" r="0" b="0"/>
                      <wp:wrapNone/>
                      <wp:docPr id="248" name="Frame24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5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Finance income</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1,888</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19,685</w:t>
            </w:r>
          </w:p>
        </w:tc>
      </w:tr>
      <w:tr>
        <w:trPr/>
        <w:tc>
          <w:tcPr>
            <w:tcW w:w="4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thereof fair value changes of warrants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r>
      <w:tr>
        <w:trPr/>
        <w:tc>
          <w:tcPr>
            <w:tcW w:w="4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thereof interest income and similar proceeds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3,883</w:t>
            </w:r>
          </w:p>
        </w:tc>
      </w:tr>
      <w:tr>
        <w:trPr/>
        <w:tc>
          <w:tcPr>
            <w:tcW w:w="4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thereof gain from loan extinguishment</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15,802</w:t>
            </w:r>
          </w:p>
        </w:tc>
      </w:tr>
      <w:tr>
        <w:trPr/>
        <w:tc>
          <w:tcPr>
            <w:tcW w:w="45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(72,244)</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(5,712)</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(10,091)</w:t>
            </w:r>
          </w:p>
        </w:tc>
      </w:tr>
      <w:tr>
        <w:trPr/>
        <w:tc>
          <w:tcPr>
            <w:tcW w:w="4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thereof fair value changes of warrants and derivatives</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(25,920)</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4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thereof modification loss XJ Harbour Set-off agreement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(34,337)</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thereof change in estimate XJ host liability</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(8,451)</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4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thereof interest portion of lease payments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4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thereof interest expense</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(2,951)</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(5,071)</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(9,988)</w:t>
            </w:r>
          </w:p>
        </w:tc>
      </w:tr>
      <w:tr>
        <w:trPr/>
        <w:tc>
          <w:tcPr>
            <w:tcW w:w="45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result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(72,178)</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(3,824)</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9,594</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fair value changes of warrants in 2025 and 2024 result from the change of the warrant liability that was part of the Business combination in 2024 and fair value changes of embedded derivatives in several debt agreements (see note 29. Non-current and current financial liabilities).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For the modification loss XJ Harbour Set-off agreement see note 29. Non-current and current financial liabilities.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Interest income includes in 2023 the interest received on loans, mainly the shareholder loan. For further information on the extinguishment, see note 29. Non-current and current financial liabilities. </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Interest expenses are mainly resulting from financial liabilities and are recognized based on the effective interest method and the additional payment for the debt fund during 2023.</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bookmarkStart w:id="903" w:name="a15SHAREOFPROFITLOSSINJOINTVENTURES_8136"/>
      <w:bookmarkEnd w:id="903"/>
      <w:r>
        <w:rPr>
          <w:rFonts w:ascii="Times New Roman;Times;serif" w:hAnsi="Times New Roman;Times;serif"/>
          <w:b/>
          <w:i w:val="false"/>
          <w:caps w:val="false"/>
          <w:smallCaps w:val="false"/>
          <w:sz w:val="20"/>
        </w:rPr>
        <w:t>16.</w:t>
      </w:r>
      <w:r>
        <w:rPr>
          <w:rFonts w:ascii="Times New Roman;Times;serif" w:hAnsi="Times New Roman;Times;serif"/>
          <w:b/>
          <w:sz w:val="20"/>
        </w:rPr>
        <w:t>PROFIT (LOSS) IN EQUITY METHOD INVESTMENTS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loss in 2025 result from the share of loss from the equity method investee located in Germany.</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loss in 2023 resulted from a capital contribution in the Company’s former equity method investee located in Saudi Arabia. The capital contribution was immediately expensed due to the existence of accumulated losses incurred by the investee which had not been previously recorded in the consolidated financial statements.</w:t>
      </w:r>
    </w:p>
    <w:p>
      <w:pPr>
        <w:pStyle w:val="TextBody"/>
        <w:bidi w:val="0"/>
        <w:spacing w:before="0" w:after="240"/>
        <w:ind w:left="200" w:right="200" w:hanging="0"/>
        <w:jc w:val="both"/>
        <w:rPr/>
      </w:pPr>
      <w:r>
        <w:rPr/>
        <w:t>​</w:t>
      </w:r>
    </w:p>
    <w:p>
      <w:pPr>
        <w:pStyle w:val="TextBody"/>
        <w:bidi w:val="0"/>
        <w:spacing w:before="0" w:after="240"/>
        <w:ind w:left="200" w:right="200" w:hanging="0"/>
        <w:jc w:val="left"/>
        <w:rPr>
          <w:rFonts w:ascii="Times New Roman;Times;serif" w:hAnsi="Times New Roman;Times;serif"/>
          <w:b/>
          <w:sz w:val="20"/>
        </w:rPr>
      </w:pPr>
      <w:bookmarkStart w:id="904" w:name="Tc_g5t7irtHkUmyJNjeD9nHEA_12_7"/>
      <w:bookmarkStart w:id="905" w:name="Tc_V6qIW6UzKkCtIZfEFwvgsg_12_5"/>
      <w:bookmarkStart w:id="906" w:name="Tc_T0oTGHHPe0yOBimhpOp9Pg_12_3"/>
      <w:bookmarkStart w:id="907" w:name="Tc__vsfF0RMV0SJaTWmCvwfQw_12_0"/>
      <w:bookmarkStart w:id="908" w:name="Tc_Ob34SSL_HUK4xiSJ0gfv4A_11_0"/>
      <w:bookmarkStart w:id="909" w:name="Tc_LbKfZj76xkirPOe0bxCdMg_10_0"/>
      <w:bookmarkStart w:id="910" w:name="Tc_DtuNs0qsEE-v3FDFTMJnEQ_9_0"/>
      <w:bookmarkStart w:id="911" w:name="Tc_KU0KRu_NU0eIUVw1o-szVg_8_0"/>
      <w:bookmarkStart w:id="912" w:name="Tc_VvVWTIQEjkeMBAFNaVmqKQ_7_0"/>
      <w:bookmarkStart w:id="913" w:name="Tc_ZXxyxNOjiUivNQ1kEFsiuA_6_0"/>
      <w:bookmarkStart w:id="914" w:name="Tc__LXEh_F5WUiBvtcbOrN8bQ_5_0"/>
      <w:bookmarkStart w:id="915" w:name="Tc_zahw8fGmcEOz3SX5gzMKxg_4_0"/>
      <w:bookmarkStart w:id="916" w:name="Tc_Day42v0SkkewWP2Z4mVJYg_3_7"/>
      <w:bookmarkStart w:id="917" w:name="Tc_0loF8_teFUizZHwTFoSlYQ_3_5"/>
      <w:bookmarkStart w:id="918" w:name="Tc_hFgNDRph40qUyErwDokgPQ_3_3"/>
      <w:bookmarkStart w:id="919" w:name="Tc_oZQsDYJxv0i6cTavBNCC3w_3_0"/>
      <w:bookmarkStart w:id="920" w:name="Tc_oDzLGQZr4UyDAyYw9DfONg_2_0"/>
      <w:bookmarkStart w:id="921" w:name="Tc_yUqZe5Redk65zSH36SHKkA_1_6"/>
      <w:bookmarkStart w:id="922" w:name="Tc_k9bwuxFLM02eN0eUDvZaAg_1_4"/>
      <w:bookmarkStart w:id="923" w:name="Tc_6f1ZRssCY02HmjyNoJYTaQ_1_2"/>
      <w:bookmarkStart w:id="924" w:name="Tc_WQPlA39hP0Os0LBJLkelfA_1_0"/>
      <w:bookmarkStart w:id="925" w:name="Tc_jUGICquOQE-ctIcxGJMHKA_7_0"/>
      <w:bookmarkStart w:id="926" w:name="Tc_UXAY3GhMP0qbPz4q6uAehA_6_0"/>
      <w:bookmarkStart w:id="927" w:name="Tc_4eYuTYDqT0-TYdXStcK94w_5_0"/>
      <w:bookmarkStart w:id="928" w:name="Tc_e1TUzCywnkqj7nnl4WNaPg_4_0"/>
      <w:bookmarkStart w:id="929" w:name="Tc_YIcuWKJl4k2HAQrB5aljGA_3_0"/>
      <w:bookmarkStart w:id="930" w:name="Tc__gVZlKHhpEaU8YVN-VvuLQ_2_0"/>
      <w:bookmarkStart w:id="931" w:name="Tc_jVYjgw0ynUKTk8Gu3D28Ow_1_6"/>
      <w:bookmarkStart w:id="932" w:name="Tc_xcva0vWNAU6zhrUJCg8uEw_1_4"/>
      <w:bookmarkStart w:id="933" w:name="Tc_urMDdcxRtEaFeid0tLnSdQ_1_2"/>
      <w:bookmarkStart w:id="934" w:name="Tc_ZdJ1szsBIEaBAr0R2Ij6Tw_1_0"/>
      <w:bookmarkStart w:id="935" w:name="a16INCOMETAXES_786977"/>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r>
        <w:rPr>
          <w:rFonts w:ascii="Times New Roman;Times;serif" w:hAnsi="Times New Roman;Times;serif"/>
          <w:b/>
          <w:i w:val="false"/>
          <w:caps w:val="false"/>
          <w:smallCaps w:val="false"/>
          <w:sz w:val="20"/>
        </w:rPr>
        <w:t>17.</w:t>
      </w:r>
      <w:r>
        <w:rPr>
          <w:rFonts w:ascii="Times New Roman;Times;serif" w:hAnsi="Times New Roman;Times;serif"/>
          <w:b/>
          <w:sz w:val="20"/>
        </w:rPr>
        <w:t>INCOME TAXES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Income taxes recognized in the Consolidated Statement of Profit or Loss and Other Comprehensive Income are as follows:</w:t>
      </w:r>
    </w:p>
    <w:p>
      <w:pPr>
        <w:pStyle w:val="TextBody"/>
        <w:bidi w:val="0"/>
        <w:spacing w:before="0" w:after="240"/>
        <w:ind w:left="200" w:right="200" w:hanging="0"/>
        <w:jc w:val="both"/>
        <w:rPr/>
      </w:pPr>
      <w:r>
        <w:rPr/>
        <w:t>​</w:t>
      </w:r>
    </w:p>
    <w:tbl>
      <w:tblPr>
        <w:tblW w:w="6472" w:type="dxa"/>
        <w:jc w:val="left"/>
        <w:tblInd w:w="200" w:type="dxa"/>
        <w:tblLayout w:type="fixed"/>
        <w:tblCellMar>
          <w:top w:w="0" w:type="dxa"/>
          <w:left w:w="0" w:type="dxa"/>
          <w:bottom w:w="0" w:type="dxa"/>
          <w:right w:w="0" w:type="dxa"/>
        </w:tblCellMar>
      </w:tblPr>
      <w:tblGrid>
        <w:gridCol w:w="3436"/>
        <w:gridCol w:w="346"/>
        <w:gridCol w:w="691"/>
        <w:gridCol w:w="346"/>
        <w:gridCol w:w="571"/>
        <w:gridCol w:w="346"/>
        <w:gridCol w:w="736"/>
      </w:tblGrid>
      <w:tr>
        <w:trPr/>
        <w:tc>
          <w:tcPr>
            <w:tcW w:w="34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r>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81860" cy="175260"/>
                      <wp:effectExtent l="0" t="0" r="0" b="0"/>
                      <wp:wrapNone/>
                      <wp:docPr id="249" name="Frame247"/>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0"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438785" cy="175260"/>
                      <wp:effectExtent l="0" t="0" r="0" b="0"/>
                      <wp:wrapNone/>
                      <wp:docPr id="251" name="Frame24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2"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362585" cy="175260"/>
                      <wp:effectExtent l="0" t="0" r="0" b="0"/>
                      <wp:wrapNone/>
                      <wp:docPr id="253" name="Frame25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4"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467360" cy="175260"/>
                      <wp:effectExtent l="0" t="0" r="0" b="0"/>
                      <wp:wrapNone/>
                      <wp:docPr id="255" name="Frame25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income tax (expense) / income</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416</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(372)</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(1,044)</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thereof prior years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income tax (expense) / income</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(375)</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1,864</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(1,735)</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thereof from temporary differences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5,008</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thereof from tax loss carryforwards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3,144</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income tax (expense) / income</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1,492</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(2,778)</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SCHMID’s statutory income tax rate in Germany for the years ended December 31, 2025, 2024 and 2023 was 29.125%. This income tax rate comprises a corporate income tax rate of 15%, a solidarity surcharge of 0.825%, and a trade tax rate of 13.3%. At non-German SCHMID companies, the respective country-specific income tax rates were used for the calculation of current and deferred taxes.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following table presents the reconciliation of expected income taxes and reported effective income taxes. Expected income taxes were determined by multiplying consolidated profit before tax by SCHMID’s applicable income tax rate:</w:t>
      </w:r>
    </w:p>
    <w:p>
      <w:pPr>
        <w:pStyle w:val="TextBody"/>
        <w:bidi w:val="0"/>
        <w:spacing w:before="0" w:after="240"/>
        <w:ind w:left="200" w:right="200" w:hanging="0"/>
        <w:jc w:val="both"/>
        <w:rPr/>
      </w:pPr>
      <w:r>
        <w:rPr/>
        <w:t>​</w:t>
      </w:r>
    </w:p>
    <w:tbl>
      <w:tblPr>
        <w:tblW w:w="9805" w:type="dxa"/>
        <w:jc w:val="left"/>
        <w:tblInd w:w="200" w:type="dxa"/>
        <w:tblLayout w:type="fixed"/>
        <w:tblCellMar>
          <w:top w:w="0" w:type="dxa"/>
          <w:left w:w="0" w:type="dxa"/>
          <w:bottom w:w="0" w:type="dxa"/>
          <w:right w:w="0" w:type="dxa"/>
        </w:tblCellMar>
      </w:tblPr>
      <w:tblGrid>
        <w:gridCol w:w="6064"/>
        <w:gridCol w:w="346"/>
        <w:gridCol w:w="785"/>
        <w:gridCol w:w="361"/>
        <w:gridCol w:w="785"/>
        <w:gridCol w:w="361"/>
        <w:gridCol w:w="785"/>
        <w:gridCol w:w="318"/>
      </w:tblGrid>
      <w:tr>
        <w:trPr/>
        <w:tc>
          <w:tcPr>
            <w:tcW w:w="606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ind w:left="0" w:right="0" w:hanging="0"/>
              <w:jc w:val="left"/>
              <w:rPr>
                <w:sz w:val="4"/>
                <w:szCs w:val="4"/>
              </w:rPr>
            </w:pPr>
            <w:r>
              <w:rPr>
                <w:sz w:val="4"/>
                <w:szCs w:val="4"/>
              </w:rPr>
            </w:r>
          </w:p>
        </w:tc>
      </w:tr>
      <w:tr>
        <w:trPr/>
        <w:tc>
          <w:tcPr>
            <w:tcW w:w="6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850640" cy="175260"/>
                      <wp:effectExtent l="0" t="0" r="0" b="0"/>
                      <wp:wrapNone/>
                      <wp:docPr id="256" name="Frame254"/>
                      <a:graphic xmlns:a="http://schemas.openxmlformats.org/drawingml/2006/main">
                        <a:graphicData uri="http://schemas.microsoft.com/office/word/2010/wordprocessingShape">
                          <wps:wsp>
                            <wps:cNvSpPr txBox="1"/>
                            <wps:spPr>
                              <a:xfrm>
                                <a:off x="0" y="0"/>
                                <a:ext cx="3850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57"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98475" cy="175260"/>
                      <wp:effectExtent l="0" t="0" r="0" b="0"/>
                      <wp:wrapNone/>
                      <wp:docPr id="258" name="Frame256"/>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29235" cy="175260"/>
                      <wp:effectExtent l="0" t="0" r="0" b="0"/>
                      <wp:wrapNone/>
                      <wp:docPr id="259" name="Frame25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98475" cy="175260"/>
                      <wp:effectExtent l="0" t="0" r="0" b="0"/>
                      <wp:wrapNone/>
                      <wp:docPr id="260" name="Frame258"/>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29235" cy="175260"/>
                      <wp:effectExtent l="0" t="0" r="0" b="0"/>
                      <wp:wrapNone/>
                      <wp:docPr id="261" name="Frame25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498475" cy="175260"/>
                      <wp:effectExtent l="0" t="0" r="0" b="0"/>
                      <wp:wrapNone/>
                      <wp:docPr id="262" name="Frame260"/>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1930" cy="175260"/>
                      <wp:effectExtent l="0" t="0" r="0" b="0"/>
                      <wp:wrapNone/>
                      <wp:docPr id="263" name="Frame261"/>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64"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left"/>
              <w:rPr/>
            </w:pPr>
            <w:r>
              <w:rPr/>
              <w:t>  ​ ​ ​</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 ​ ​</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 ​ ​</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8" w:type="dxa"/>
            <w:tcBorders/>
            <w:vAlign w:val="center"/>
          </w:tcPr>
          <w:p>
            <w:pPr>
              <w:pStyle w:val="TableContents"/>
              <w:bidi w:val="0"/>
              <w:spacing w:before="0" w:after="0"/>
              <w:ind w:left="0" w:right="0" w:hanging="0"/>
              <w:jc w:val="center"/>
              <w:rPr/>
            </w:pPr>
            <w:r>
              <w:rPr/>
              <w:t> </w:t>
            </w:r>
          </w:p>
        </w:tc>
      </w:tr>
      <w:tr>
        <w:trPr/>
        <w:tc>
          <w:tcPr>
            <w:tcW w:w="606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income taxes</w:t>
            </w:r>
          </w:p>
        </w:tc>
        <w:tc>
          <w:tcPr>
            <w:tcW w:w="346" w:type="dxa"/>
            <w:tcBorders/>
            <w:shd w:fill="CCEEFF" w:val="clear"/>
            <w:vAlign w:val="center"/>
          </w:tcPr>
          <w:p>
            <w:pPr>
              <w:pStyle w:val="TableContents"/>
              <w:bidi w:val="0"/>
              <w:spacing w:before="0" w:after="0"/>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(72,994)</w:t>
            </w:r>
          </w:p>
        </w:tc>
        <w:tc>
          <w:tcPr>
            <w:tcW w:w="36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(85,596)</w:t>
            </w:r>
          </w:p>
        </w:tc>
        <w:tc>
          <w:tcPr>
            <w:tcW w:w="361" w:type="dxa"/>
            <w:tcBorders/>
            <w:shd w:fill="CCEEFF" w:val="clear"/>
            <w:vAlign w:val="center"/>
          </w:tcPr>
          <w:p>
            <w:pPr>
              <w:pStyle w:val="TableContents"/>
              <w:bidi w:val="0"/>
              <w:spacing w:before="0" w:after="0"/>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40,732</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606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Applicable income tax rate</w:t>
            </w:r>
          </w:p>
        </w:tc>
        <w:tc>
          <w:tcPr>
            <w:tcW w:w="346"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29.125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29.125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29.125</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06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Expected income tax (expense) / income</w:t>
            </w:r>
          </w:p>
        </w:tc>
        <w:tc>
          <w:tcPr>
            <w:tcW w:w="346" w:type="dxa"/>
            <w:tcBorders/>
            <w:shd w:fill="CCEEFF" w:val="clear"/>
            <w:vAlign w:val="center"/>
          </w:tcPr>
          <w:p>
            <w:pPr>
              <w:pStyle w:val="TableContents"/>
              <w:bidi w:val="0"/>
              <w:spacing w:before="0" w:after="0"/>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21,260</w:t>
            </w:r>
          </w:p>
        </w:tc>
        <w:tc>
          <w:tcPr>
            <w:tcW w:w="36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24,930</w:t>
            </w:r>
          </w:p>
        </w:tc>
        <w:tc>
          <w:tcPr>
            <w:tcW w:w="361" w:type="dxa"/>
            <w:tcBorders/>
            <w:shd w:fill="CCEEFF" w:val="clear"/>
            <w:vAlign w:val="center"/>
          </w:tcPr>
          <w:p>
            <w:pPr>
              <w:pStyle w:val="TableContents"/>
              <w:bidi w:val="0"/>
              <w:spacing w:before="0" w:after="0"/>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(11,863)</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606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tax rate differential</w:t>
            </w:r>
          </w:p>
        </w:tc>
        <w:tc>
          <w:tcPr>
            <w:tcW w:w="346"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6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61"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w:t>
            </w:r>
          </w:p>
        </w:tc>
        <w:tc>
          <w:tcPr>
            <w:tcW w:w="318" w:type="dxa"/>
            <w:tcBorders/>
            <w:vAlign w:val="center"/>
          </w:tcPr>
          <w:p>
            <w:pPr>
              <w:pStyle w:val="TableContents"/>
              <w:bidi w:val="0"/>
              <w:spacing w:before="0" w:after="0"/>
              <w:ind w:left="0" w:right="0" w:hanging="0"/>
              <w:jc w:val="left"/>
              <w:rPr/>
            </w:pPr>
            <w:r>
              <w:rPr/>
              <w:t>​</w:t>
            </w:r>
          </w:p>
        </w:tc>
      </w:tr>
      <w:tr>
        <w:trPr/>
        <w:tc>
          <w:tcPr>
            <w:tcW w:w="60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Non-deductible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(14,173)</w:t>
            </w:r>
          </w:p>
        </w:tc>
        <w:tc>
          <w:tcPr>
            <w:tcW w:w="36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(19,503)</w:t>
            </w:r>
          </w:p>
        </w:tc>
        <w:tc>
          <w:tcPr>
            <w:tcW w:w="361" w:type="dxa"/>
            <w:tcBorders/>
            <w:shd w:fill="CCEEFF" w:val="clear"/>
            <w:vAlign w:val="center"/>
          </w:tcPr>
          <w:p>
            <w:pPr>
              <w:pStyle w:val="TableContents"/>
              <w:bidi w:val="0"/>
              <w:spacing w:before="0" w:after="0"/>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(2,833)</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606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Tax-free income</w:t>
            </w:r>
          </w:p>
        </w:tc>
        <w:tc>
          <w:tcPr>
            <w:tcW w:w="346"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6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c>
          <w:tcPr>
            <w:tcW w:w="361"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w:t>
            </w:r>
          </w:p>
        </w:tc>
        <w:tc>
          <w:tcPr>
            <w:tcW w:w="318" w:type="dxa"/>
            <w:tcBorders/>
            <w:vAlign w:val="center"/>
          </w:tcPr>
          <w:p>
            <w:pPr>
              <w:pStyle w:val="TableContents"/>
              <w:bidi w:val="0"/>
              <w:spacing w:before="0" w:after="0"/>
              <w:ind w:left="0" w:right="0" w:hanging="0"/>
              <w:jc w:val="left"/>
              <w:rPr/>
            </w:pPr>
            <w:r>
              <w:rPr/>
              <w:t>​</w:t>
            </w:r>
          </w:p>
        </w:tc>
      </w:tr>
      <w:tr>
        <w:trPr/>
        <w:tc>
          <w:tcPr>
            <w:tcW w:w="60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valuation allowance from temporary differences and tax loss carryforwards</w:t>
            </w:r>
          </w:p>
        </w:tc>
        <w:tc>
          <w:tcPr>
            <w:tcW w:w="346" w:type="dxa"/>
            <w:tcBorders/>
            <w:shd w:fill="CCEEFF" w:val="clear"/>
            <w:vAlign w:val="center"/>
          </w:tcPr>
          <w:p>
            <w:pPr>
              <w:pStyle w:val="TableContents"/>
              <w:bidi w:val="0"/>
              <w:spacing w:before="0" w:after="0"/>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(7,621)</w:t>
            </w:r>
          </w:p>
        </w:tc>
        <w:tc>
          <w:tcPr>
            <w:tcW w:w="36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(4,032)</w:t>
            </w:r>
          </w:p>
        </w:tc>
        <w:tc>
          <w:tcPr>
            <w:tcW w:w="361" w:type="dxa"/>
            <w:tcBorders/>
            <w:shd w:fill="CCEEFF" w:val="clear"/>
            <w:vAlign w:val="center"/>
          </w:tcPr>
          <w:p>
            <w:pPr>
              <w:pStyle w:val="TableContents"/>
              <w:bidi w:val="0"/>
              <w:spacing w:before="0" w:after="0"/>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3,598</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606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Non-recognition or utilization of unrecognized interest carryforwards</w:t>
            </w:r>
          </w:p>
        </w:tc>
        <w:tc>
          <w:tcPr>
            <w:tcW w:w="346"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w:t>
            </w:r>
          </w:p>
        </w:tc>
        <w:tc>
          <w:tcPr>
            <w:tcW w:w="36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361"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318" w:type="dxa"/>
            <w:tcBorders/>
            <w:vAlign w:val="center"/>
          </w:tcPr>
          <w:p>
            <w:pPr>
              <w:pStyle w:val="TableContents"/>
              <w:bidi w:val="0"/>
              <w:spacing w:before="0" w:after="0"/>
              <w:ind w:left="0" w:right="0" w:hanging="0"/>
              <w:jc w:val="left"/>
              <w:rPr/>
            </w:pPr>
            <w:r>
              <w:rPr/>
              <w:t>​</w:t>
            </w:r>
          </w:p>
        </w:tc>
      </w:tr>
      <w:tr>
        <w:trPr/>
        <w:tc>
          <w:tcPr>
            <w:tcW w:w="60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reconciling items</w:t>
            </w:r>
          </w:p>
        </w:tc>
        <w:tc>
          <w:tcPr>
            <w:tcW w:w="346" w:type="dxa"/>
            <w:tcBorders/>
            <w:shd w:fill="CCEEFF" w:val="clear"/>
            <w:vAlign w:val="center"/>
          </w:tcPr>
          <w:p>
            <w:pPr>
              <w:pStyle w:val="TableContents"/>
              <w:bidi w:val="0"/>
              <w:spacing w:before="0" w:after="0"/>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w:t>
            </w:r>
          </w:p>
        </w:tc>
        <w:tc>
          <w:tcPr>
            <w:tcW w:w="361" w:type="dxa"/>
            <w:tcBorders/>
            <w:shd w:fill="CCEEFF" w:val="clear"/>
            <w:vAlign w:val="center"/>
          </w:tcPr>
          <w:p>
            <w:pPr>
              <w:pStyle w:val="TableContents"/>
              <w:bidi w:val="0"/>
              <w:spacing w:before="0" w:after="0"/>
              <w:ind w:left="0" w:right="0" w:hanging="0"/>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c>
          <w:tcPr>
            <w:tcW w:w="361" w:type="dxa"/>
            <w:tcBorders/>
            <w:shd w:fill="CCEEFF" w:val="clear"/>
            <w:vAlign w:val="center"/>
          </w:tcPr>
          <w:p>
            <w:pPr>
              <w:pStyle w:val="TableContents"/>
              <w:bidi w:val="0"/>
              <w:spacing w:before="0" w:after="0"/>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606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Effective income tax (expense) / benefit</w:t>
            </w:r>
          </w:p>
        </w:tc>
        <w:tc>
          <w:tcPr>
            <w:tcW w:w="346" w:type="dxa"/>
            <w:tcBorders/>
            <w:vAlign w:val="center"/>
          </w:tcPr>
          <w:p>
            <w:pPr>
              <w:pStyle w:val="TableContents"/>
              <w:bidi w:val="0"/>
              <w:spacing w:before="0" w:after="0"/>
              <w:ind w:left="0" w:right="0" w:hanging="0"/>
              <w:jc w:val="left"/>
              <w:rPr/>
            </w:pPr>
            <w:r>
              <w:rPr/>
              <w:t> </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w:t>
            </w:r>
          </w:p>
        </w:tc>
        <w:tc>
          <w:tcPr>
            <w:tcW w:w="361" w:type="dxa"/>
            <w:tcBorders/>
            <w:vAlign w:val="center"/>
          </w:tcPr>
          <w:p>
            <w:pPr>
              <w:pStyle w:val="TableContents"/>
              <w:bidi w:val="0"/>
              <w:spacing w:before="0" w:after="0"/>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1,492</w:t>
            </w:r>
          </w:p>
        </w:tc>
        <w:tc>
          <w:tcPr>
            <w:tcW w:w="361" w:type="dxa"/>
            <w:tcBorders/>
            <w:vAlign w:val="center"/>
          </w:tcPr>
          <w:p>
            <w:pPr>
              <w:pStyle w:val="TableContents"/>
              <w:bidi w:val="0"/>
              <w:spacing w:before="0" w:after="0"/>
              <w:ind w:left="0" w:right="0" w:hanging="0"/>
              <w:jc w:val="left"/>
              <w:rPr/>
            </w:pPr>
            <w:r>
              <w:rPr/>
              <w:t> </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(2,778)</w:t>
            </w:r>
          </w:p>
        </w:tc>
        <w:tc>
          <w:tcPr>
            <w:tcW w:w="318" w:type="dxa"/>
            <w:tcBorders/>
            <w:vAlign w:val="center"/>
          </w:tcPr>
          <w:p>
            <w:pPr>
              <w:pStyle w:val="TableContents"/>
              <w:bidi w:val="0"/>
              <w:spacing w:before="0" w:after="0"/>
              <w:ind w:left="0" w:right="0" w:hanging="0"/>
              <w:jc w:val="left"/>
              <w:rPr/>
            </w:pPr>
            <w:r>
              <w:rPr/>
              <w:t>​</w:t>
            </w:r>
          </w:p>
        </w:tc>
      </w:tr>
      <w:tr>
        <w:trPr/>
        <w:tc>
          <w:tcPr>
            <w:tcW w:w="60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 in %</w:t>
            </w:r>
          </w:p>
        </w:tc>
        <w:tc>
          <w:tcPr>
            <w:tcW w:w="346" w:type="dxa"/>
            <w:tcBorders/>
            <w:shd w:fill="CCEEFF" w:val="clear"/>
            <w:vAlign w:val="center"/>
          </w:tcPr>
          <w:p>
            <w:pPr>
              <w:pStyle w:val="TableContents"/>
              <w:bidi w:val="0"/>
              <w:spacing w:before="0" w:after="0"/>
              <w:ind w:left="0" w:right="0" w:hanging="0"/>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200" w:right="200" w:hanging="0"/>
        <w:jc w:val="left"/>
        <w:rPr/>
      </w:pPr>
      <w:r>
        <w:rPr/>
        <w: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effect resulting from the tax rate change is related to the corporate income tax rate reduction in Germany.</w:t>
      </w:r>
    </w:p>
    <w:p>
      <w:pPr>
        <w:pStyle w:val="TextBody"/>
        <w:bidi w:val="0"/>
        <w:spacing w:before="0" w:after="240"/>
        <w:ind w:left="200" w:right="200" w:hanging="0"/>
        <w:jc w:val="both"/>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firstLine="360"/>
        <w:jc w:val="left"/>
        <w:rPr>
          <w:rFonts w:ascii="Times New Roman;Times;serif" w:hAnsi="Times New Roman;Times;serif"/>
          <w:sz w:val="20"/>
        </w:rPr>
      </w:pPr>
      <w:bookmarkStart w:id="936" w:name="Tc_sUGlIOG7lEegZV5Zk6eQ6Q_12_0"/>
      <w:bookmarkStart w:id="937" w:name="Tc_Pbuss5d_hEe1hI9qyezrnQ_11_0"/>
      <w:bookmarkStart w:id="938" w:name="Tc_UpitFpDei0W6Er-yYjIYDw_10_0"/>
      <w:bookmarkStart w:id="939" w:name="Tc_W5cw17Txj0maL3yfVYtqqw_9_0"/>
      <w:bookmarkStart w:id="940" w:name="Tc_0Hncr3KSOUeCoG7e7g2IXA_8_0"/>
      <w:bookmarkStart w:id="941" w:name="Tc_mU2wFZ9WMkOhr9G4BMAdUA_7_0"/>
      <w:bookmarkStart w:id="942" w:name="Tc_G6PMem5PuEeQ5nzBg4l2ow_6_0"/>
      <w:bookmarkStart w:id="943" w:name="Tc_EKjO0vxylEOXs6JHCaq49A_5_0"/>
      <w:bookmarkStart w:id="944" w:name="Tc_lS1UxB0vdkuad7w7u0dC3Q_4_0"/>
      <w:bookmarkStart w:id="945" w:name="Tc_RCUNZXhrdkO4IYIVNKTk2A_3_0"/>
      <w:bookmarkStart w:id="946" w:name="Tc_qDeNyelzXEiFFSS9MncYaA_2_0"/>
      <w:bookmarkStart w:id="947" w:name="Tc_j18DchqN_0-qEwV4WrG0Dg_1_2"/>
      <w:bookmarkStart w:id="948" w:name="Tc_vAagZXoSpkKbWPxVtt6Eqw_1_0"/>
      <w:bookmarkStart w:id="949" w:name="Tc_elwQBJPItEaChMq4gzM7Lg_32_0"/>
      <w:bookmarkStart w:id="950" w:name="Tc_E3psehGLbkG-bXmSN5CDrA_31_0"/>
      <w:bookmarkStart w:id="951" w:name="Tc_pyrKKCm230ucmmz80uPfGw_30_0"/>
      <w:bookmarkStart w:id="952" w:name="Tc_SV2Ovu_WNkqJRTfzEul2WQ_29_8"/>
      <w:bookmarkStart w:id="953" w:name="Tc_aQYyeK_VKUGk_zFn2LgxBg_29_4"/>
      <w:bookmarkStart w:id="954" w:name="Tc_5uaS9Qq0EEC-zIYAW3Accg_29_0"/>
      <w:bookmarkStart w:id="955" w:name="Tc_Ru1b45FHY0iw2R5i-PxqJw_28_8"/>
      <w:bookmarkStart w:id="956" w:name="Tc_33gbTDDiDE2pWi8CPwTStw_28_4"/>
      <w:bookmarkStart w:id="957" w:name="Tc_NoiUCu6bO0W7VBHJRlPTYg_28_0"/>
      <w:bookmarkStart w:id="958" w:name="Tc_yHzK30R71Uis4K5UwZj6Yw_27_8"/>
      <w:bookmarkStart w:id="959" w:name="Tc_GTtEBDXOw0CgqsrtHEvpZQ_27_4"/>
      <w:bookmarkStart w:id="960" w:name="Tc_clYhgi8OB0eMuPv9YJKXrQ_27_0"/>
      <w:bookmarkStart w:id="961" w:name="Tc_wOxslybFmkSUgp-_hRk9ug_26_0"/>
      <w:bookmarkStart w:id="962" w:name="Tc_knB6GTc5iEqlY2ZlJ2PHGw_25_6"/>
      <w:bookmarkStart w:id="963" w:name="Tc_tllX4zTORkuIGk8w3Ahacw_25_0"/>
      <w:bookmarkStart w:id="964" w:name="Tc_zPa_nMzrEEeDmTEWNTkGKg_24_8"/>
      <w:bookmarkStart w:id="965" w:name="Tc_xRxhNkQoqUqQRMBbnvXzFg_24_4"/>
      <w:bookmarkStart w:id="966" w:name="Tc_HrV8nX1P8kOETeD0oeopwg_24_0"/>
      <w:bookmarkStart w:id="967" w:name="Tc_cFe4HZWJQUes-dLaidrBfw_23_8"/>
      <w:bookmarkStart w:id="968" w:name="Tc_mLdDcE-MDkyQqzuepdjzvQ_23_0"/>
      <w:bookmarkStart w:id="969" w:name="Tc_mVZIrBVNkkyesCfkb9cPEw_22_0"/>
      <w:bookmarkStart w:id="970" w:name="Tc_uvqqFqwdb0KkuURSGT1Hvg_21_0"/>
      <w:bookmarkStart w:id="971" w:name="Tc_qC5sqtyKF0mcHcbttT6poA_20_8"/>
      <w:bookmarkStart w:id="972" w:name="Tc_DY53QyGyhUuL55oIqrbj-g_20_4"/>
      <w:bookmarkStart w:id="973" w:name="Tc_KGvEIT24GEWb-e1jPJSaAw_20_0"/>
      <w:bookmarkStart w:id="974" w:name="Tc_5DvUZkd2iESWmoPicdGB4w_19_0"/>
      <w:bookmarkStart w:id="975" w:name="Tc_WyVoBzmwXkySxP3HdgsztA_18_2"/>
      <w:bookmarkStart w:id="976" w:name="Tc_0MKzPYc1XEOrfVR5FtY4zg_18_0"/>
      <w:bookmarkStart w:id="977" w:name="Tc_A1UkS19RbkOVI_UJPfbY0g_17_8"/>
      <w:bookmarkStart w:id="978" w:name="Tc_Daa7s1KyREmS0b5HqUqHWg_17_4"/>
      <w:bookmarkStart w:id="979" w:name="Tc_S_e52vJUH0GMCO1zME3rBg_17_0"/>
      <w:bookmarkStart w:id="980" w:name="Tc_4I6ZmHj0Q0CtxLyTqdGI_Q_16_6"/>
      <w:bookmarkStart w:id="981" w:name="Tc_7QAoANwSmEe-WVs34lO6EQ_16_2"/>
      <w:bookmarkStart w:id="982" w:name="Tc__7ZeCt5KfkGytjDe-P4IlA_16_0"/>
      <w:bookmarkStart w:id="983" w:name="Tc_tZGIjn6NxkaJQPDSnpix9g_15_8"/>
      <w:bookmarkStart w:id="984" w:name="Tc_OSCFt1pi0UWKWSPWpYTs8Q_15_4"/>
      <w:bookmarkStart w:id="985" w:name="Tc_XLFBMVuCd0KrgvtnS0qAuQ_15_0"/>
      <w:bookmarkStart w:id="986" w:name="Tc_9tWyDzWXs0G85bNtIztOjQ_14_6"/>
      <w:bookmarkStart w:id="987" w:name="Tc_5jjn20A0vkCLCT34J32n1Q_14_4"/>
      <w:bookmarkStart w:id="988" w:name="Tc_s_gc_9nKn0-O71gG-YltlQ_14_2"/>
      <w:bookmarkStart w:id="989" w:name="Tc_CrQ8CEPnMEG1_PSriaSdXA_14_0"/>
      <w:bookmarkStart w:id="990" w:name="Tc_HEm8u_thpkKEOBosfZM9hA_13_0"/>
      <w:bookmarkStart w:id="991" w:name="Tc_kIlmiCe_BU6IUxOJw48hwQ_12_6"/>
      <w:bookmarkStart w:id="992" w:name="Tc_tOBkgxrmyUCKde06avAGOQ_12_2"/>
      <w:bookmarkStart w:id="993" w:name="Tc_cAvrqFnKSkGADah8g3Ir0A_12_0"/>
      <w:bookmarkStart w:id="994" w:name="Tc_CR3XN8506UeevpVlcyVooA_11_6"/>
      <w:bookmarkStart w:id="995" w:name="Tc_Ml7iwGJWhEiSSi9lmBBW2A_11_4"/>
      <w:bookmarkStart w:id="996" w:name="Tc_Zn0qKY_980qq2mAtAgdFHw_11_2"/>
      <w:bookmarkStart w:id="997" w:name="Tc_7IYee5x2jkqGcZ4eHYBayA_11_0"/>
      <w:bookmarkStart w:id="998" w:name="Tc_A3hruquGp0uytISLanorEw_10_8"/>
      <w:bookmarkStart w:id="999" w:name="Tc_bEMP8Ha4EUiCtKHDmp4Tiw_10_4"/>
      <w:bookmarkStart w:id="1000" w:name="Tc_sOyFWiAuJEidHE5mltknYQ_10_0"/>
      <w:bookmarkStart w:id="1001" w:name="Tc_fJb-h6nsxECEyDn2MDE-3g_9_0"/>
      <w:bookmarkStart w:id="1002" w:name="Tc_sgkmcZUUYk-SKnxG-FQ7FA_8_8"/>
      <w:bookmarkStart w:id="1003" w:name="Tc_V17qZY2bIECu4rpF4P7qNQ_8_0"/>
      <w:bookmarkStart w:id="1004" w:name="Tc_yffruyRh_EyGE9bq9raz2Q_7_0"/>
      <w:bookmarkStart w:id="1005" w:name="Tc_Shh7Y0LSTkaYsHtl1Ab6vA_6_8"/>
      <w:bookmarkStart w:id="1006" w:name="Tc_ESdGm-j3akKgxL34zIMFkQ_6_2"/>
      <w:bookmarkStart w:id="1007" w:name="Tc_uvxXdcK1uUy436dtMN5ldw_6_0"/>
      <w:bookmarkStart w:id="1008" w:name="Tc_E5e-6DGh0kClujXljqzNeA_5_6"/>
      <w:bookmarkStart w:id="1009" w:name="Tc_3BFzN5e5NUCl6PrMElU8Fg_5_2"/>
      <w:bookmarkStart w:id="1010" w:name="Tc_OumPgP9BbEmTmKW4bSgW6Q_5_0"/>
      <w:bookmarkStart w:id="1011" w:name="Tc_pn_AnapYb02fYvKTirW0Yg_4_0"/>
      <w:bookmarkStart w:id="1012" w:name="Tc_Yf-qh5YOkUmFTQRBgJZIPw_3_0"/>
      <w:bookmarkStart w:id="1013" w:name="Tc_ziILFTRuYEi1s8tmfIIW3g_2_8"/>
      <w:bookmarkStart w:id="1014" w:name="Tc_UZE50-8bakKZo2neVhqemQ_2_6"/>
      <w:bookmarkStart w:id="1015" w:name="Tc_fXx-hgNAAEq1UsR2LxzfmQ_2_4"/>
      <w:bookmarkStart w:id="1016" w:name="Tc_Atjzxygx9kShg_IoigDw5Q_2_2"/>
      <w:bookmarkStart w:id="1017" w:name="Tc_pVWOT0VvIECPPqFr5FlU8g_2_0"/>
      <w:bookmarkStart w:id="1018" w:name="Tc_-Amxa2DtS0y5kfnY4y34aw_1_6"/>
      <w:bookmarkStart w:id="1019" w:name="Tc_BFpqqvJ17kWP7r5649Jr7Q_1_2"/>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r>
        <w:rPr>
          <w:rFonts w:ascii="Times New Roman;Times;serif" w:hAnsi="Times New Roman;Times;serif"/>
          <w:sz w:val="20"/>
        </w:rPr>
        <w:t>The deferred tax assets (“DTA”) and deferred tax liabilities (“DTL”) relate to the following line items of the Consolidated Statement of Financial Position are summarized below:</w:t>
      </w:r>
    </w:p>
    <w:p>
      <w:pPr>
        <w:pStyle w:val="TextBody"/>
        <w:bidi w:val="0"/>
        <w:spacing w:before="0" w:after="240"/>
        <w:ind w:left="200" w:right="200" w:hanging="0"/>
        <w:jc w:val="both"/>
        <w:rPr/>
      </w:pPr>
      <w:r>
        <w:rPr/>
        <w:t>​</w:t>
      </w:r>
    </w:p>
    <w:tbl>
      <w:tblPr>
        <w:tblW w:w="8454" w:type="dxa"/>
        <w:jc w:val="left"/>
        <w:tblInd w:w="200" w:type="dxa"/>
        <w:tblLayout w:type="fixed"/>
        <w:tblCellMar>
          <w:top w:w="0" w:type="dxa"/>
          <w:left w:w="0" w:type="dxa"/>
          <w:bottom w:w="0" w:type="dxa"/>
          <w:right w:w="0" w:type="dxa"/>
        </w:tblCellMar>
      </w:tblPr>
      <w:tblGrid>
        <w:gridCol w:w="4231"/>
        <w:gridCol w:w="346"/>
        <w:gridCol w:w="631"/>
        <w:gridCol w:w="346"/>
        <w:gridCol w:w="721"/>
        <w:gridCol w:w="346"/>
        <w:gridCol w:w="721"/>
        <w:gridCol w:w="346"/>
        <w:gridCol w:w="766"/>
      </w:tblGrid>
      <w:tr>
        <w:trPr/>
        <w:tc>
          <w:tcPr>
            <w:tcW w:w="42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ind w:left="0" w:right="0" w:hanging="0"/>
              <w:jc w:val="left"/>
              <w:rPr>
                <w:sz w:val="4"/>
                <w:szCs w:val="4"/>
              </w:rPr>
            </w:pPr>
            <w:r>
              <w:rPr>
                <w:sz w:val="4"/>
                <w:szCs w:val="4"/>
              </w:rPr>
            </w:r>
          </w:p>
        </w:tc>
      </w:tr>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686685" cy="175260"/>
                      <wp:effectExtent l="0" t="0" r="0" b="0"/>
                      <wp:wrapNone/>
                      <wp:docPr id="264" name="Frame262"/>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5"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00685" cy="175260"/>
                      <wp:effectExtent l="0" t="0" r="0" b="0"/>
                      <wp:wrapNone/>
                      <wp:docPr id="266" name="Frame26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67"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57835" cy="175260"/>
                      <wp:effectExtent l="0" t="0" r="0" b="0"/>
                      <wp:wrapNone/>
                      <wp:docPr id="268" name="Frame26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69"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57835" cy="175260"/>
                      <wp:effectExtent l="0" t="0" r="0" b="0"/>
                      <wp:wrapNone/>
                      <wp:docPr id="270" name="Frame26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1"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86410" cy="175260"/>
                      <wp:effectExtent l="0" t="0" r="0" b="0"/>
                      <wp:wrapNone/>
                      <wp:docPr id="272" name="Frame27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83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  ​ ​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DTA</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DTL</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DTA</w:t>
            </w:r>
          </w:p>
        </w:tc>
        <w:tc>
          <w:tcPr>
            <w:tcW w:w="346" w:type="dxa"/>
            <w:tcBorders/>
            <w:vAlign w:val="center"/>
          </w:tcPr>
          <w:p>
            <w:pPr>
              <w:pStyle w:val="TableContents"/>
              <w:bidi w:val="0"/>
              <w:spacing w:before="0" w:after="0"/>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DTL</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 assets</w:t>
            </w:r>
          </w:p>
        </w:tc>
        <w:tc>
          <w:tcPr>
            <w:tcW w:w="34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1,538</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(4,711)</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1,775</w:t>
            </w:r>
          </w:p>
        </w:tc>
        <w:tc>
          <w:tcPr>
            <w:tcW w:w="346" w:type="dxa"/>
            <w:tcBorders/>
            <w:shd w:fill="CCEEFF" w:val="clear"/>
            <w:vAlign w:val="center"/>
          </w:tcPr>
          <w:p>
            <w:pPr>
              <w:pStyle w:val="TableContents"/>
              <w:bidi w:val="0"/>
              <w:spacing w:before="0" w:after="0"/>
              <w:ind w:left="0" w:right="0" w:hanging="0"/>
              <w:jc w:val="center"/>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(4,181)</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plant and equipment including right-of-use assets</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(1,728)</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(2,279)</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Financial assets</w:t>
            </w:r>
          </w:p>
        </w:tc>
        <w:tc>
          <w:tcPr>
            <w:tcW w:w="34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Others</w:t>
            </w:r>
          </w:p>
        </w:tc>
        <w:tc>
          <w:tcPr>
            <w:tcW w:w="346" w:type="dxa"/>
            <w:tcBorders/>
            <w:vAlign w:val="center"/>
          </w:tcPr>
          <w:p>
            <w:pPr>
              <w:pStyle w:val="TableContents"/>
              <w:bidi w:val="0"/>
              <w:spacing w:before="0" w:after="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w:t>
            </w:r>
          </w:p>
        </w:tc>
        <w:tc>
          <w:tcPr>
            <w:tcW w:w="34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w:t>
            </w:r>
          </w:p>
        </w:tc>
        <w:tc>
          <w:tcPr>
            <w:tcW w:w="346" w:type="dxa"/>
            <w:tcBorders/>
            <w:vAlign w:val="center"/>
          </w:tcPr>
          <w:p>
            <w:pPr>
              <w:pStyle w:val="TableContents"/>
              <w:bidi w:val="0"/>
              <w:spacing w:before="0" w:after="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1,558</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(7,045)</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1,893</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(6,477)</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1,853</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2,492</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Trade receivables and other receivables</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(464)</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current assets</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current financial assets</w:t>
            </w:r>
          </w:p>
        </w:tc>
        <w:tc>
          <w:tcPr>
            <w:tcW w:w="346" w:type="dxa"/>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2,129</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(712)</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2,660</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(669)</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Non-current financial liabilities</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Provisions for pensions</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Non-current provisions</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Non-current 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1,892</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2,326</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Others</w:t>
            </w:r>
          </w:p>
        </w:tc>
        <w:tc>
          <w:tcPr>
            <w:tcW w:w="346" w:type="dxa"/>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1,947</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(233)</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2,411</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(292)</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financial liabilities</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983</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contract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(2,586)</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(2,293)</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Trade payables and other liabilities</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1,136</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1,551</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1,244</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lease liabilities</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provisions</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(839)</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(1,909)</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46" w:type="dxa"/>
            <w:tcBorders/>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2,977</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(3,919)</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2,836</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(4,224)</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 loss carryforwards (CIT)</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2,139</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1,857</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 loss carryforwards (Trade tax)</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1,511</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1,168</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 loss carryforwards (Other income tax)</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Deferred taxes (before offsetting)</w:t>
            </w:r>
          </w:p>
        </w:tc>
        <w:tc>
          <w:tcPr>
            <w:tcW w:w="346" w:type="dxa"/>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12,262</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(11,910)</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12,828</w:t>
            </w:r>
          </w:p>
        </w:tc>
        <w:tc>
          <w:tcPr>
            <w:tcW w:w="34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(11,662)</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Offsetting</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(9,945)</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9,945</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(10,144)</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10,144</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Deferred taxes (after offsetting)</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2,317</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(1,965)</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2,684</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(1,518)</w:t>
            </w:r>
          </w:p>
        </w:tc>
      </w:tr>
    </w:tbl>
    <w:p>
      <w:pPr>
        <w:pStyle w:val="TextBody"/>
        <w:bidi w:val="0"/>
        <w:spacing w:before="0" w:after="0"/>
        <w:ind w:left="200" w:right="200" w:hanging="0"/>
        <w:jc w:val="left"/>
        <w:rPr/>
      </w:pPr>
      <w:r>
        <w:rPr/>
        <w: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Reconciliation of deferred taxes:</w:t>
      </w:r>
    </w:p>
    <w:p>
      <w:pPr>
        <w:pStyle w:val="TextBody"/>
        <w:bidi w:val="0"/>
        <w:spacing w:before="0" w:after="0"/>
        <w:ind w:left="200" w:right="200" w:hanging="0"/>
        <w:jc w:val="left"/>
        <w:rPr/>
      </w:pPr>
      <w:r>
        <w:rPr/>
        <w:t>​</w:t>
      </w:r>
    </w:p>
    <w:tbl>
      <w:tblPr>
        <w:tblW w:w="5073" w:type="dxa"/>
        <w:jc w:val="left"/>
        <w:tblInd w:w="200" w:type="dxa"/>
        <w:tblLayout w:type="fixed"/>
        <w:tblCellMar>
          <w:top w:w="0" w:type="dxa"/>
          <w:left w:w="0" w:type="dxa"/>
          <w:bottom w:w="0" w:type="dxa"/>
          <w:right w:w="0" w:type="dxa"/>
        </w:tblCellMar>
      </w:tblPr>
      <w:tblGrid>
        <w:gridCol w:w="3991"/>
        <w:gridCol w:w="346"/>
        <w:gridCol w:w="736"/>
      </w:tblGrid>
      <w:tr>
        <w:trPr/>
        <w:tc>
          <w:tcPr>
            <w:tcW w:w="39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r>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534285" cy="175260"/>
                      <wp:effectExtent l="0" t="0" r="0" b="0"/>
                      <wp:wrapNone/>
                      <wp:docPr id="273" name="Frame271"/>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4"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67360" cy="175260"/>
                      <wp:effectExtent l="0" t="0" r="0" b="0"/>
                      <wp:wrapNone/>
                      <wp:docPr id="275" name="Frame27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  ​ ​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2023</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(1,846)</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Recognized in P/L</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1,864</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Recognized in OCI</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Recognized in Equity</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Recognized in currency translation adjustments</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2024</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1,166</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Recognized in P/L</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Recognized in OCI</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Recognized in Equity</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Recognized in currency translation adjustments</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352</w:t>
            </w:r>
          </w:p>
        </w:tc>
      </w:tr>
    </w:tbl>
    <w:p>
      <w:pPr>
        <w:pStyle w:val="TextBody"/>
        <w:bidi w:val="0"/>
        <w:spacing w:before="0" w:after="0"/>
        <w:ind w:left="200" w:right="200" w:hanging="0"/>
        <w:jc w:val="left"/>
        <w:rPr/>
      </w:pPr>
      <w:r>
        <w:rPr/>
        <w: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OCI movement of deferred taxes is entirely attributed to “Provisions for pensions” and the equity movement is mainly attributed to transaction costs (IAS 32.35).</w:t>
      </w:r>
    </w:p>
    <w:p>
      <w:pPr>
        <w:pStyle w:val="TextBody"/>
        <w:bidi w:val="0"/>
        <w:spacing w:before="0" w:after="240"/>
        <w:ind w:left="200" w:right="200" w:hanging="0"/>
        <w:jc w:val="both"/>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firstLine="360"/>
        <w:jc w:val="left"/>
        <w:rPr>
          <w:rFonts w:ascii="Times New Roman;Times;serif" w:hAnsi="Times New Roman;Times;serif"/>
          <w:sz w:val="20"/>
        </w:rPr>
      </w:pPr>
      <w:bookmarkStart w:id="1020" w:name="Tc_XBD2MUxVu0aLNn9PLgwUgA_6_0"/>
      <w:bookmarkStart w:id="1021" w:name="Tc_jMVbmPtNNkGQa1SVo4Oepg_5_0"/>
      <w:bookmarkStart w:id="1022" w:name="Tc_PJCrzVQD-k-33wJh8ZHtpw_4_0"/>
      <w:bookmarkStart w:id="1023" w:name="Tc_9SFG1CsmkUm6cBzahE5msw_3_0"/>
      <w:bookmarkStart w:id="1024" w:name="Tc_TWFlReU_Xki54TeSqjQq3Q_2_6"/>
      <w:bookmarkStart w:id="1025" w:name="Tc_Kqd0Hu-hoEq6iTCFJa8-OA_2_4"/>
      <w:bookmarkStart w:id="1026" w:name="Tc_7sKOk7mC0U65dSididhoBw_2_2"/>
      <w:bookmarkStart w:id="1027" w:name="Tc_8KBxrOCmd02tfxtoQmLUqQ_2_0"/>
      <w:bookmarkStart w:id="1028" w:name="Tc_eEA1bflsgkSqBeY_DVYFjQ_1_6"/>
      <w:bookmarkStart w:id="1029" w:name="Tc_Pmi4nQ_GNk6oLZ2ohfN8Dg_1_4"/>
      <w:bookmarkStart w:id="1030" w:name="Tc_c2MhIBKsnEyWBxKIYVJAqQ_1_2"/>
      <w:bookmarkStart w:id="1031" w:name="Tc_hHLZcrO7dECpgi_m8xLA8g_6_0"/>
      <w:bookmarkStart w:id="1032" w:name="Tc_vUG0Z6e2W0OTiqMsBnqjlA_5_0"/>
      <w:bookmarkStart w:id="1033" w:name="Tc_gJS9UiaMfEu2TYO2dI9HLw_4_0"/>
      <w:bookmarkStart w:id="1034" w:name="Tc_MQg136HGvkiwHTUYXBsKJA_3_0"/>
      <w:bookmarkStart w:id="1035" w:name="Tc_KLcMdf2Px0GxwC7c_KiQ7A_2_6"/>
      <w:bookmarkStart w:id="1036" w:name="Tc_l_V_gewXYUOkih5rmex4AA_2_4"/>
      <w:bookmarkStart w:id="1037" w:name="Tc_SKVKmBtRI0ybB3ab-MDpkA_2_2"/>
      <w:bookmarkStart w:id="1038" w:name="Tc_HPYdxmMMw0e5zq3uVSDrkw_2_0"/>
      <w:bookmarkStart w:id="1039" w:name="Tc_AutDtnljF0qHxX9qV12VnA_1_6"/>
      <w:bookmarkStart w:id="1040" w:name="Tc_a97SfUqj6kCGDwouWr99GA_1_4"/>
      <w:bookmarkStart w:id="1041" w:name="Tc_Dyj0g6FMpESywSAQ-P86Ag_1_2"/>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r>
        <w:rPr>
          <w:rFonts w:ascii="Times New Roman;Times;serif" w:hAnsi="Times New Roman;Times;serif"/>
          <w:sz w:val="20"/>
        </w:rPr>
        <w:t>No deferred tax assets were recognized for the following tax attributes (gross):</w:t>
      </w:r>
    </w:p>
    <w:p>
      <w:pPr>
        <w:pStyle w:val="TextBody"/>
        <w:bidi w:val="0"/>
        <w:spacing w:before="0" w:after="240"/>
        <w:ind w:left="200" w:right="200" w:hanging="0"/>
        <w:jc w:val="both"/>
        <w:rPr/>
      </w:pPr>
      <w:r>
        <w:rPr/>
        <w:t>​</w:t>
      </w:r>
    </w:p>
    <w:tbl>
      <w:tblPr>
        <w:tblW w:w="6277" w:type="dxa"/>
        <w:jc w:val="left"/>
        <w:tblInd w:w="200" w:type="dxa"/>
        <w:tblLayout w:type="fixed"/>
        <w:tblCellMar>
          <w:top w:w="0" w:type="dxa"/>
          <w:left w:w="0" w:type="dxa"/>
          <w:bottom w:w="0" w:type="dxa"/>
          <w:right w:w="0" w:type="dxa"/>
        </w:tblCellMar>
      </w:tblPr>
      <w:tblGrid>
        <w:gridCol w:w="2866"/>
        <w:gridCol w:w="346"/>
        <w:gridCol w:w="781"/>
        <w:gridCol w:w="346"/>
        <w:gridCol w:w="781"/>
        <w:gridCol w:w="346"/>
        <w:gridCol w:w="811"/>
      </w:tblGrid>
      <w:tr>
        <w:trPr/>
        <w:tc>
          <w:tcPr>
            <w:tcW w:w="28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ind w:left="0" w:right="0" w:hanging="0"/>
              <w:jc w:val="left"/>
              <w:rPr>
                <w:sz w:val="4"/>
                <w:szCs w:val="4"/>
              </w:rPr>
            </w:pPr>
            <w:r>
              <w:rPr>
                <w:sz w:val="4"/>
                <w:szCs w:val="4"/>
              </w:rPr>
            </w:r>
          </w:p>
        </w:tc>
      </w:tr>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819910" cy="175260"/>
                      <wp:effectExtent l="0" t="0" r="0" b="0"/>
                      <wp:wrapNone/>
                      <wp:docPr id="276" name="Frame274"/>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77"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95935" cy="175260"/>
                      <wp:effectExtent l="0" t="0" r="0" b="0"/>
                      <wp:wrapNone/>
                      <wp:docPr id="278" name="Frame27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79"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95935" cy="175260"/>
                      <wp:effectExtent l="0" t="0" r="0" b="0"/>
                      <wp:wrapNone/>
                      <wp:docPr id="280" name="Frame2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1"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14985" cy="175260"/>
                      <wp:effectExtent l="0" t="0" r="0" b="0"/>
                      <wp:wrapNone/>
                      <wp:docPr id="282" name="Frame28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86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Base</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Base</w:t>
            </w:r>
          </w:p>
        </w:tc>
        <w:tc>
          <w:tcPr>
            <w:tcW w:w="346" w:type="dxa"/>
            <w:tcBorders/>
            <w:vAlign w:val="center"/>
          </w:tcPr>
          <w:p>
            <w:pPr>
              <w:pStyle w:val="TableContents"/>
              <w:bidi w:val="0"/>
              <w:spacing w:before="0" w:after="0"/>
              <w:ind w:left="0" w:right="0" w:hanging="0"/>
              <w:jc w:val="center"/>
              <w:rPr/>
            </w:pPr>
            <w:r>
              <w:rPr/>
              <w:t>  ​ ​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Base</w:t>
            </w:r>
          </w:p>
        </w:tc>
      </w:tr>
      <w:tr>
        <w:trPr/>
        <w:tc>
          <w:tcPr>
            <w:tcW w:w="28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Deductible temporary differences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52,560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22,730</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41,498</w:t>
            </w:r>
          </w:p>
        </w:tc>
      </w:tr>
      <w:tr>
        <w:trPr/>
        <w:tc>
          <w:tcPr>
            <w:tcW w:w="28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loss carryforwards (CIT)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125,687</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124,018</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91,405</w:t>
            </w:r>
          </w:p>
        </w:tc>
      </w:tr>
      <w:tr>
        <w:trPr/>
        <w:tc>
          <w:tcPr>
            <w:tcW w:w="28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loss carryforwards (Trade tax)</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89,051</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88,897</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49,147</w:t>
            </w:r>
          </w:p>
        </w:tc>
      </w:tr>
      <w:tr>
        <w:trPr/>
        <w:tc>
          <w:tcPr>
            <w:tcW w:w="28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carryforwards</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38,814</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36,927</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35,229</w:t>
            </w:r>
          </w:p>
        </w:tc>
      </w:tr>
    </w:tbl>
    <w:p>
      <w:pPr>
        <w:pStyle w:val="TextBody"/>
        <w:bidi w:val="0"/>
        <w:spacing w:before="0" w:after="0"/>
        <w:ind w:left="200" w:right="200" w:hanging="0"/>
        <w:jc w:val="left"/>
        <w:rPr/>
      </w:pPr>
      <w:r>
        <w:rPr/>
        <w: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maturities of the tax loss carryforwards for which no deferred tax assets were recognized are as follows:</w:t>
      </w:r>
    </w:p>
    <w:p>
      <w:pPr>
        <w:pStyle w:val="TextBody"/>
        <w:bidi w:val="0"/>
        <w:spacing w:before="0" w:after="240"/>
        <w:ind w:left="200" w:right="200" w:hanging="0"/>
        <w:jc w:val="both"/>
        <w:rPr/>
      </w:pPr>
      <w:r>
        <w:rPr/>
        <w:t>​</w:t>
      </w:r>
    </w:p>
    <w:tbl>
      <w:tblPr>
        <w:tblW w:w="4540" w:type="dxa"/>
        <w:jc w:val="left"/>
        <w:tblInd w:w="200" w:type="dxa"/>
        <w:tblLayout w:type="fixed"/>
        <w:tblCellMar>
          <w:top w:w="0" w:type="dxa"/>
          <w:left w:w="0" w:type="dxa"/>
          <w:bottom w:w="0" w:type="dxa"/>
          <w:right w:w="0" w:type="dxa"/>
        </w:tblCellMar>
      </w:tblPr>
      <w:tblGrid>
        <w:gridCol w:w="1291"/>
        <w:gridCol w:w="346"/>
        <w:gridCol w:w="781"/>
        <w:gridCol w:w="109"/>
        <w:gridCol w:w="781"/>
        <w:gridCol w:w="346"/>
        <w:gridCol w:w="886"/>
      </w:tblGrid>
      <w:tr>
        <w:trPr/>
        <w:tc>
          <w:tcPr>
            <w:tcW w:w="12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ind w:left="0" w:right="0" w:hanging="0"/>
              <w:jc w:val="left"/>
              <w:rPr>
                <w:sz w:val="4"/>
                <w:szCs w:val="4"/>
              </w:rPr>
            </w:pPr>
            <w:r>
              <w:rPr>
                <w:sz w:val="4"/>
                <w:szCs w:val="4"/>
              </w:rPr>
            </w:r>
          </w:p>
        </w:tc>
      </w:tr>
      <w:tr>
        <w:trPr/>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819785" cy="175260"/>
                      <wp:effectExtent l="0" t="0" r="0" b="0"/>
                      <wp:wrapNone/>
                      <wp:docPr id="283" name="Frame281"/>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4"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95935" cy="175260"/>
                      <wp:effectExtent l="0" t="0" r="0" b="0"/>
                      <wp:wrapNone/>
                      <wp:docPr id="285" name="Frame2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9215" cy="175260"/>
                      <wp:effectExtent l="0" t="0" r="0" b="0"/>
                      <wp:wrapNone/>
                      <wp:docPr id="286" name="Frame2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95935" cy="175260"/>
                      <wp:effectExtent l="0" t="0" r="0" b="0"/>
                      <wp:wrapNone/>
                      <wp:docPr id="287" name="Frame28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88"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562610" cy="175260"/>
                      <wp:effectExtent l="0" t="0" r="0" b="0"/>
                      <wp:wrapNone/>
                      <wp:docPr id="289" name="Frame28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2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Base</w:t>
            </w:r>
          </w:p>
        </w:tc>
        <w:tc>
          <w:tcPr>
            <w:tcW w:w="109"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Base</w:t>
            </w:r>
          </w:p>
        </w:tc>
        <w:tc>
          <w:tcPr>
            <w:tcW w:w="34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Base</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5 years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3,646</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10 years</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2,122</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4,688</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15 years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2,348</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4,508</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Unlimited</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248,181</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239,160</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131,586</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reported tax loss and interest carryforwards mainly relate to the German SCHMID entities and can be carried forward indefinitely (German minimum taxation rules and interest stripping rules apply), however, they may be subject to restrictions of the German change in ownership rules (Sec. 8c Körperschaftsteuergesetz) going forward.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Most of SCHMID’s non-German entities neither have any taxable temporary difference exceeding deductible temporary differences, nor a positive profit-forecast and nor any tax planning opportunities and documentation available that could partly support the recognition of these tax attributes as deferred tax assets. On this basis, SCHMID has determined that it cannot recognize deferred tax assets on the majority of tax attributes carried forward.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Taxable temporary differences associated with investments in entities, branches and associates and interests in joint arrangements in the amount of €615 thousand as of December 31, 2025 (December 31, 2024: €483 thousand, December 31, 2023: €935 thousand) have not been recognized.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Deferred tax assets exceeding deferred tax liabilities in the amount of €2,317 thousand as of December 31, 2025 (December 31, 2024: €2,684 thousand, December 31, 2023: €522 thousand) for companies that generated a loss in the current or previous period were recognized as these are considered to be recoverable based on the positive profit for financial year 2026.</w:t>
      </w:r>
    </w:p>
    <w:p>
      <w:pPr>
        <w:pStyle w:val="TextBody"/>
        <w:bidi w:val="0"/>
        <w:spacing w:before="0" w:after="240"/>
        <w:ind w:left="200" w:right="200" w:hanging="0"/>
        <w:jc w:val="left"/>
        <w:rPr>
          <w:rFonts w:ascii="Times New Roman;Times;serif" w:hAnsi="Times New Roman;Times;serif"/>
          <w:b/>
          <w:sz w:val="20"/>
        </w:rPr>
      </w:pPr>
      <w:bookmarkStart w:id="1042" w:name="Tc_tsDhV4lLY02GmS5f2GtGoA_3_0"/>
      <w:bookmarkStart w:id="1043" w:name="Tc_0-CqGklXtUmls7SngOWmmw_2_6"/>
      <w:bookmarkStart w:id="1044" w:name="Tc_jpM9t_y9oUC8TvvgTumJVg_2_4"/>
      <w:bookmarkStart w:id="1045" w:name="Tc_5tca9EUGFE2Ind0djSDWpQ_2_2"/>
      <w:bookmarkStart w:id="1046" w:name="Tc_5HWTkC0Fi0C63u0-K-W7mA_1_6"/>
      <w:bookmarkStart w:id="1047" w:name="Tc_-17jshpycUunrHNBhTiLiw_1_4"/>
      <w:bookmarkStart w:id="1048" w:name="Tc_Ua1GcHR5AECVyOLBZZstSA_1_2"/>
      <w:bookmarkStart w:id="1049" w:name="_09dd492a_1e45_4059_996a_5ecdc5f7d5b1"/>
      <w:bookmarkStart w:id="1050" w:name="_f3ff4e58_3d19_45e1_a574_5e8d76756234"/>
      <w:bookmarkStart w:id="1051" w:name="a17EARNINGSPERSHARE_413509"/>
      <w:bookmarkEnd w:id="1042"/>
      <w:bookmarkEnd w:id="1043"/>
      <w:bookmarkEnd w:id="1044"/>
      <w:bookmarkEnd w:id="1045"/>
      <w:bookmarkEnd w:id="1046"/>
      <w:bookmarkEnd w:id="1047"/>
      <w:bookmarkEnd w:id="1048"/>
      <w:bookmarkEnd w:id="1049"/>
      <w:bookmarkEnd w:id="1050"/>
      <w:bookmarkEnd w:id="1051"/>
      <w:r>
        <w:rPr>
          <w:rFonts w:ascii="Times New Roman;Times;serif" w:hAnsi="Times New Roman;Times;serif"/>
          <w:b/>
          <w:i w:val="false"/>
          <w:caps w:val="false"/>
          <w:smallCaps w:val="false"/>
          <w:sz w:val="20"/>
        </w:rPr>
        <w:t>18.</w:t>
      </w:r>
      <w:r>
        <w:rPr>
          <w:rFonts w:ascii="Times New Roman;Times;serif" w:hAnsi="Times New Roman;Times;serif"/>
          <w:b/>
          <w:sz w:val="20"/>
        </w:rPr>
        <w:t>EARNINGS PER SHARE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Basic earnings per share is calculated by dividing the profit or loss for the period attributable to equity holders of the Company by the weighted average number of ordinary shares in issue during the year.</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Diluted earnings per share is calculated by adjusting the profit or loss attributable to ordinary equity holders of the Company and the weighted average number of shares in issue during the year for the effects of all dilutive potential ordinary shares.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reflects the net income (loss) and share data used in the basic and diluted EPS calculations:</w:t>
      </w:r>
    </w:p>
    <w:p>
      <w:pPr>
        <w:pStyle w:val="TextBody"/>
        <w:bidi w:val="0"/>
        <w:spacing w:before="0" w:after="240"/>
        <w:ind w:left="200" w:right="200" w:hanging="0"/>
        <w:jc w:val="both"/>
        <w:rPr>
          <w:rFonts w:ascii="Times New Roman;Times;serif" w:hAnsi="Times New Roman;Times;serif"/>
          <w:b/>
          <w:sz w:val="20"/>
        </w:rPr>
      </w:pPr>
      <w:r>
        <w:rPr>
          <w:rFonts w:ascii="Times New Roman;Times;serif" w:hAnsi="Times New Roman;Times;serif"/>
          <w:b/>
          <w:sz w:val="20"/>
        </w:rPr>
        <w:t>Basic and diluted earnings per share</w:t>
      </w:r>
    </w:p>
    <w:tbl>
      <w:tblPr>
        <w:tblW w:w="9805" w:type="dxa"/>
        <w:jc w:val="left"/>
        <w:tblInd w:w="200" w:type="dxa"/>
        <w:tblLayout w:type="fixed"/>
        <w:tblCellMar>
          <w:top w:w="0" w:type="dxa"/>
          <w:left w:w="0" w:type="dxa"/>
          <w:bottom w:w="0" w:type="dxa"/>
          <w:right w:w="0" w:type="dxa"/>
        </w:tblCellMar>
      </w:tblPr>
      <w:tblGrid>
        <w:gridCol w:w="7049"/>
        <w:gridCol w:w="346"/>
        <w:gridCol w:w="573"/>
        <w:gridCol w:w="346"/>
        <w:gridCol w:w="573"/>
        <w:gridCol w:w="346"/>
        <w:gridCol w:w="572"/>
      </w:tblGrid>
      <w:tr>
        <w:trPr/>
        <w:tc>
          <w:tcPr>
            <w:tcW w:w="704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ind w:left="0" w:right="0" w:hanging="0"/>
              <w:jc w:val="left"/>
              <w:rPr>
                <w:sz w:val="4"/>
                <w:szCs w:val="4"/>
              </w:rPr>
            </w:pPr>
            <w:r>
              <w:rPr>
                <w:sz w:val="4"/>
                <w:szCs w:val="4"/>
              </w:rPr>
            </w:r>
          </w:p>
        </w:tc>
      </w:tr>
      <w:tr>
        <w:trPr/>
        <w:tc>
          <w:tcPr>
            <w:tcW w:w="70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476115" cy="175260"/>
                      <wp:effectExtent l="0" t="0" r="0" b="0"/>
                      <wp:wrapNone/>
                      <wp:docPr id="290" name="Frame288"/>
                      <a:graphic xmlns:a="http://schemas.openxmlformats.org/drawingml/2006/main">
                        <a:graphicData uri="http://schemas.microsoft.com/office/word/2010/wordprocessingShape">
                          <wps:wsp>
                            <wps:cNvSpPr txBox="1"/>
                            <wps:spPr>
                              <a:xfrm>
                                <a:off x="0" y="0"/>
                                <a:ext cx="4476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1"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363855" cy="175260"/>
                      <wp:effectExtent l="0" t="0" r="0" b="0"/>
                      <wp:wrapNone/>
                      <wp:docPr id="292" name="Frame290"/>
                      <a:graphic xmlns:a="http://schemas.openxmlformats.org/drawingml/2006/main">
                        <a:graphicData uri="http://schemas.microsoft.com/office/word/2010/wordprocessingShape">
                          <wps:wsp>
                            <wps:cNvSpPr txBox="1"/>
                            <wps:spPr>
                              <a:xfrm>
                                <a:off x="0" y="0"/>
                                <a:ext cx="363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3"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363855" cy="175260"/>
                      <wp:effectExtent l="0" t="0" r="0" b="0"/>
                      <wp:wrapNone/>
                      <wp:docPr id="294" name="Frame292"/>
                      <a:graphic xmlns:a="http://schemas.openxmlformats.org/drawingml/2006/main">
                        <a:graphicData uri="http://schemas.microsoft.com/office/word/2010/wordprocessingShape">
                          <wps:wsp>
                            <wps:cNvSpPr txBox="1"/>
                            <wps:spPr>
                              <a:xfrm>
                                <a:off x="0" y="0"/>
                                <a:ext cx="363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95"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363220" cy="175260"/>
                      <wp:effectExtent l="0" t="0" r="0" b="0"/>
                      <wp:wrapNone/>
                      <wp:docPr id="296" name="Frame294"/>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5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57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0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73" w:type="dxa"/>
            <w:tcBorders>
              <w:top w:val="single" w:sz="2" w:space="0" w:color="000000"/>
            </w:tcBorders>
            <w:tcMar>
              <w:top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w:t>
            </w:r>
          </w:p>
        </w:tc>
        <w:tc>
          <w:tcPr>
            <w:tcW w:w="346" w:type="dxa"/>
            <w:tcBorders/>
            <w:vAlign w:val="center"/>
          </w:tcPr>
          <w:p>
            <w:pPr>
              <w:pStyle w:val="TableContents"/>
              <w:bidi w:val="0"/>
              <w:spacing w:before="0" w:after="1"/>
              <w:ind w:left="0" w:right="0" w:hanging="0"/>
              <w:jc w:val="center"/>
              <w:rPr/>
            </w:pPr>
            <w:r>
              <w:rPr/>
              <w:t>​</w:t>
            </w:r>
          </w:p>
        </w:tc>
        <w:tc>
          <w:tcPr>
            <w:tcW w:w="573" w:type="dxa"/>
            <w:tcBorders>
              <w:top w:val="single" w:sz="2" w:space="0" w:color="000000"/>
            </w:tcBorders>
            <w:tcMar>
              <w:top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w:t>
            </w:r>
          </w:p>
        </w:tc>
        <w:tc>
          <w:tcPr>
            <w:tcW w:w="346" w:type="dxa"/>
            <w:tcBorders/>
            <w:vAlign w:val="center"/>
          </w:tcPr>
          <w:p>
            <w:pPr>
              <w:pStyle w:val="TableContents"/>
              <w:bidi w:val="0"/>
              <w:spacing w:before="0" w:after="1"/>
              <w:ind w:left="0" w:right="0" w:hanging="0"/>
              <w:jc w:val="center"/>
              <w:rPr/>
            </w:pPr>
            <w:r>
              <w:rPr/>
              <w:t>  ​ ​ ​</w:t>
            </w:r>
          </w:p>
        </w:tc>
        <w:tc>
          <w:tcPr>
            <w:tcW w:w="572" w:type="dxa"/>
            <w:tcBorders>
              <w:top w:val="single" w:sz="2" w:space="0" w:color="000000"/>
            </w:tcBorders>
            <w:tcMar>
              <w:top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w:t>
            </w:r>
          </w:p>
        </w:tc>
      </w:tr>
      <w:tr>
        <w:trPr/>
        <w:tc>
          <w:tcPr>
            <w:tcW w:w="704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basic and diluted earnings per share attributable to the ordinary equity holders of the company</w:t>
            </w:r>
          </w:p>
        </w:tc>
        <w:tc>
          <w:tcPr>
            <w:tcW w:w="346" w:type="dxa"/>
            <w:tcBorders/>
            <w:shd w:fill="CCEEFF" w:val="clear"/>
            <w:vAlign w:val="center"/>
          </w:tcPr>
          <w:p>
            <w:pPr>
              <w:pStyle w:val="TableContents"/>
              <w:bidi w:val="0"/>
              <w:spacing w:before="0" w:after="1"/>
              <w:ind w:left="0" w:right="0" w:hanging="0"/>
              <w:jc w:val="left"/>
              <w:rPr/>
            </w:pPr>
            <w:r>
              <w:rPr/>
              <w:t> </w:t>
            </w:r>
          </w:p>
        </w:tc>
        <w:tc>
          <w:tcPr>
            <w:tcW w:w="5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(1.87)</w:t>
            </w:r>
          </w:p>
        </w:tc>
        <w:tc>
          <w:tcPr>
            <w:tcW w:w="346" w:type="dxa"/>
            <w:tcBorders/>
            <w:shd w:fill="CCEEFF" w:val="clear"/>
            <w:vAlign w:val="center"/>
          </w:tcPr>
          <w:p>
            <w:pPr>
              <w:pStyle w:val="TableContents"/>
              <w:bidi w:val="0"/>
              <w:spacing w:before="0" w:after="1"/>
              <w:ind w:left="0" w:right="0" w:hanging="0"/>
              <w:jc w:val="lef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(2.41)</w:t>
            </w:r>
          </w:p>
        </w:tc>
        <w:tc>
          <w:tcPr>
            <w:tcW w:w="346" w:type="dxa"/>
            <w:tcBorders/>
            <w:shd w:fill="CCEEFF" w:val="clear"/>
            <w:vAlign w:val="center"/>
          </w:tcPr>
          <w:p>
            <w:pPr>
              <w:pStyle w:val="TableContents"/>
              <w:bidi w:val="0"/>
              <w:spacing w:before="0" w:after="1"/>
              <w:ind w:left="0" w:right="0" w:hanging="0"/>
              <w:jc w:val="right"/>
              <w:rPr/>
            </w:pPr>
            <w:r>
              <w:rPr/>
              <w:t> </w:t>
            </w:r>
          </w:p>
        </w:tc>
        <w:tc>
          <w:tcPr>
            <w:tcW w:w="572"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1.28</w:t>
            </w:r>
          </w:p>
        </w:tc>
      </w:tr>
    </w:tbl>
    <w:p>
      <w:pPr>
        <w:pStyle w:val="TextBody"/>
        <w:bidi w:val="0"/>
        <w:spacing w:before="0" w:after="240"/>
        <w:ind w:left="200" w:right="200" w:hanging="0"/>
        <w:jc w:val="both"/>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both"/>
        <w:rPr>
          <w:rFonts w:ascii="Times New Roman;Times;serif" w:hAnsi="Times New Roman;Times;serif"/>
          <w:b/>
          <w:sz w:val="20"/>
        </w:rPr>
      </w:pPr>
      <w:bookmarkStart w:id="1052" w:name="Tc_aOgx9lZWV0ioLr1uXJF_5g_2_0"/>
      <w:bookmarkStart w:id="1053" w:name="Tc_8GdrqXLdxkGiIGqsvrducA_1_6"/>
      <w:bookmarkStart w:id="1054" w:name="Tc__KcopHsXq0-Zk31lx5cjKQ_1_4"/>
      <w:bookmarkStart w:id="1055" w:name="Tc_LowP8W4KUECcYy0ftmRPHQ_1_2"/>
      <w:bookmarkStart w:id="1056" w:name="_cc84abf3_202f_4315_97f3_1e19959a50cc"/>
      <w:bookmarkStart w:id="1057" w:name="Tc_cu7NntgVF0W0zCFRhqihzw_2_0"/>
      <w:bookmarkStart w:id="1058" w:name="Tc_5rINEwTzEkSdYSX6L0nXmQ_1_6"/>
      <w:bookmarkStart w:id="1059" w:name="Tc_gCngzmlpt0igzK-023DBpg_1_4"/>
      <w:bookmarkStart w:id="1060" w:name="Tc_t0ZE6BVE2keIJ0J6w9BYDQ_1_2"/>
      <w:bookmarkStart w:id="1061" w:name="Tc_h4gaOnTwn0OY2EWi5-Ordg_1_0"/>
      <w:bookmarkStart w:id="1062" w:name="_890068ca_ce25_44f2_9a41_88e11848eccf"/>
      <w:bookmarkEnd w:id="1052"/>
      <w:bookmarkEnd w:id="1053"/>
      <w:bookmarkEnd w:id="1054"/>
      <w:bookmarkEnd w:id="1055"/>
      <w:bookmarkEnd w:id="1056"/>
      <w:bookmarkEnd w:id="1057"/>
      <w:bookmarkEnd w:id="1058"/>
      <w:bookmarkEnd w:id="1059"/>
      <w:bookmarkEnd w:id="1060"/>
      <w:bookmarkEnd w:id="1061"/>
      <w:bookmarkEnd w:id="1062"/>
      <w:r>
        <w:rPr>
          <w:rFonts w:ascii="Times New Roman;Times;serif" w:hAnsi="Times New Roman;Times;serif"/>
          <w:b/>
          <w:sz w:val="20"/>
        </w:rPr>
        <w:t>Reconciliations of earnings used in calculating earnings per share</w:t>
      </w:r>
    </w:p>
    <w:tbl>
      <w:tblPr>
        <w:tblW w:w="9805" w:type="dxa"/>
        <w:jc w:val="left"/>
        <w:tblInd w:w="200" w:type="dxa"/>
        <w:tblLayout w:type="fixed"/>
        <w:tblCellMar>
          <w:top w:w="0" w:type="dxa"/>
          <w:left w:w="0" w:type="dxa"/>
          <w:bottom w:w="0" w:type="dxa"/>
          <w:right w:w="0" w:type="dxa"/>
        </w:tblCellMar>
      </w:tblPr>
      <w:tblGrid>
        <w:gridCol w:w="6408"/>
        <w:gridCol w:w="346"/>
        <w:gridCol w:w="788"/>
        <w:gridCol w:w="346"/>
        <w:gridCol w:w="788"/>
        <w:gridCol w:w="346"/>
        <w:gridCol w:w="783"/>
      </w:tblGrid>
      <w:tr>
        <w:trPr/>
        <w:tc>
          <w:tcPr>
            <w:tcW w:w="64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ind w:left="0" w:right="0" w:hanging="0"/>
              <w:jc w:val="left"/>
              <w:rPr>
                <w:sz w:val="4"/>
                <w:szCs w:val="4"/>
              </w:rPr>
            </w:pPr>
            <w:r>
              <w:rPr>
                <w:sz w:val="4"/>
                <w:szCs w:val="4"/>
              </w:rPr>
            </w:r>
          </w:p>
        </w:tc>
      </w:tr>
      <w:tr>
        <w:trPr/>
        <w:tc>
          <w:tcPr>
            <w:tcW w:w="6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069080" cy="175260"/>
                      <wp:effectExtent l="0" t="0" r="0" b="0"/>
                      <wp:wrapNone/>
                      <wp:docPr id="297" name="Frame295"/>
                      <a:graphic xmlns:a="http://schemas.openxmlformats.org/drawingml/2006/main">
                        <a:graphicData uri="http://schemas.microsoft.com/office/word/2010/wordprocessingShape">
                          <wps:wsp>
                            <wps:cNvSpPr txBox="1"/>
                            <wps:spPr>
                              <a:xfrm>
                                <a:off x="0" y="0"/>
                                <a:ext cx="4069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298"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500380" cy="175260"/>
                      <wp:effectExtent l="0" t="0" r="0" b="0"/>
                      <wp:wrapNone/>
                      <wp:docPr id="299" name="Frame297"/>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0"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00380" cy="175260"/>
                      <wp:effectExtent l="0" t="0" r="0" b="0"/>
                      <wp:wrapNone/>
                      <wp:docPr id="301" name="Frame299"/>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2"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97205" cy="175260"/>
                      <wp:effectExtent l="0" t="0" r="0" b="0"/>
                      <wp:wrapNone/>
                      <wp:docPr id="303" name="Frame301"/>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408"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 thousands</w:t>
            </w:r>
          </w:p>
        </w:tc>
        <w:tc>
          <w:tcPr>
            <w:tcW w:w="346" w:type="dxa"/>
            <w:tcBorders/>
            <w:vAlign w:val="center"/>
          </w:tcPr>
          <w:p>
            <w:pPr>
              <w:pStyle w:val="TableContents"/>
              <w:bidi w:val="0"/>
              <w:spacing w:before="0" w:after="1"/>
              <w:ind w:left="0" w:right="0" w:hanging="0"/>
              <w:jc w:val="center"/>
              <w:rPr/>
            </w:pPr>
            <w:r>
              <w:rPr/>
              <w:t>  ​ ​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408" w:type="dxa"/>
            <w:tcBorders>
              <w:top w:val="single" w:sz="2" w:space="0" w:color="000000"/>
            </w:tcBorders>
            <w:shd w:fill="CCEEFF" w:val="clear"/>
            <w:tcMar>
              <w:top w:w="28" w:type="dxa"/>
            </w:tcM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Profit / (Loss) from continuing operations as presented in the statement of profit or loss</w:t>
            </w:r>
          </w:p>
        </w:tc>
        <w:tc>
          <w:tcPr>
            <w:tcW w:w="346" w:type="dxa"/>
            <w:tcBorders/>
            <w:shd w:fill="CCEEFF" w:val="clear"/>
            <w:vAlign w:val="center"/>
          </w:tcPr>
          <w:p>
            <w:pPr>
              <w:pStyle w:val="TableContents"/>
              <w:bidi w:val="0"/>
              <w:spacing w:before="0" w:after="1"/>
              <w:ind w:left="0" w:right="0" w:hanging="0"/>
              <w:jc w:val="center"/>
              <w:rPr/>
            </w:pPr>
            <w:r>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(71,042)</w:t>
            </w:r>
          </w:p>
        </w:tc>
        <w:tc>
          <w:tcPr>
            <w:tcW w:w="346" w:type="dxa"/>
            <w:tcBorders/>
            <w:shd w:fill="CCEEFF" w:val="clear"/>
            <w:vAlign w:val="center"/>
          </w:tcPr>
          <w:p>
            <w:pPr>
              <w:pStyle w:val="TableContents"/>
              <w:bidi w:val="0"/>
              <w:spacing w:before="0" w:after="1"/>
              <w:ind w:left="0" w:right="0" w:hanging="0"/>
              <w:jc w:val="center"/>
              <w:rPr/>
            </w:pPr>
            <w:r>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(84,111)</w:t>
            </w:r>
          </w:p>
        </w:tc>
        <w:tc>
          <w:tcPr>
            <w:tcW w:w="346" w:type="dxa"/>
            <w:tcBorders/>
            <w:shd w:fill="CCEEFF" w:val="clear"/>
            <w:vAlign w:val="center"/>
          </w:tcPr>
          <w:p>
            <w:pPr>
              <w:pStyle w:val="TableContents"/>
              <w:bidi w:val="0"/>
              <w:spacing w:before="0" w:after="1"/>
              <w:ind w:left="0" w:right="0" w:hanging="0"/>
              <w:jc w:val="right"/>
              <w:rPr/>
            </w:pPr>
            <w:r>
              <w:rPr/>
              <w:t>​</w:t>
            </w:r>
          </w:p>
        </w:tc>
        <w:tc>
          <w:tcPr>
            <w:tcW w:w="783"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36,868</w:t>
            </w:r>
          </w:p>
        </w:tc>
      </w:tr>
    </w:tbl>
    <w:p>
      <w:pPr>
        <w:pStyle w:val="TextBody"/>
        <w:bidi w:val="0"/>
        <w:spacing w:before="0" w:after="240"/>
        <w:ind w:left="200" w:right="200" w:hanging="0"/>
        <w:jc w:val="both"/>
        <w:rPr/>
      </w:pPr>
      <w:r>
        <w:rPr/>
        <w:t>​</w:t>
      </w:r>
    </w:p>
    <w:p>
      <w:pPr>
        <w:pStyle w:val="TextBody"/>
        <w:bidi w:val="0"/>
        <w:spacing w:before="0" w:after="240"/>
        <w:ind w:left="200" w:right="200" w:hanging="0"/>
        <w:jc w:val="both"/>
        <w:rPr>
          <w:rFonts w:ascii="Times New Roman;Times;serif" w:hAnsi="Times New Roman;Times;serif"/>
          <w:b/>
          <w:sz w:val="20"/>
        </w:rPr>
      </w:pPr>
      <w:r>
        <w:rPr>
          <w:rFonts w:ascii="Times New Roman;Times;serif" w:hAnsi="Times New Roman;Times;serif"/>
          <w:b/>
          <w:sz w:val="20"/>
        </w:rPr>
        <w:t>Weighted average number of shares used as the denominator</w:t>
      </w:r>
    </w:p>
    <w:tbl>
      <w:tblPr>
        <w:tblW w:w="9805" w:type="dxa"/>
        <w:jc w:val="left"/>
        <w:tblInd w:w="200" w:type="dxa"/>
        <w:tblLayout w:type="fixed"/>
        <w:tblCellMar>
          <w:top w:w="0" w:type="dxa"/>
          <w:left w:w="0" w:type="dxa"/>
          <w:bottom w:w="0" w:type="dxa"/>
          <w:right w:w="0" w:type="dxa"/>
        </w:tblCellMar>
      </w:tblPr>
      <w:tblGrid>
        <w:gridCol w:w="5791"/>
        <w:gridCol w:w="346"/>
        <w:gridCol w:w="1036"/>
        <w:gridCol w:w="109"/>
        <w:gridCol w:w="1036"/>
        <w:gridCol w:w="346"/>
        <w:gridCol w:w="1141"/>
      </w:tblGrid>
      <w:tr>
        <w:trPr/>
        <w:tc>
          <w:tcPr>
            <w:tcW w:w="57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ind w:left="0" w:right="0" w:hanging="0"/>
              <w:jc w:val="left"/>
              <w:rPr>
                <w:sz w:val="4"/>
                <w:szCs w:val="4"/>
              </w:rPr>
            </w:pPr>
            <w:r>
              <w:rPr>
                <w:sz w:val="4"/>
                <w:szCs w:val="4"/>
              </w:rPr>
            </w:r>
          </w:p>
        </w:tc>
      </w:tr>
      <w:tr>
        <w:trPr/>
        <w:tc>
          <w:tcPr>
            <w:tcW w:w="5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3677285" cy="175260"/>
                      <wp:effectExtent l="0" t="0" r="0" b="0"/>
                      <wp:wrapNone/>
                      <wp:docPr id="304" name="Frame302"/>
                      <a:graphic xmlns:a="http://schemas.openxmlformats.org/drawingml/2006/main">
                        <a:graphicData uri="http://schemas.microsoft.com/office/word/2010/wordprocessingShape">
                          <wps:wsp>
                            <wps:cNvSpPr txBox="1"/>
                            <wps:spPr>
                              <a:xfrm>
                                <a:off x="0" y="0"/>
                                <a:ext cx="3677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5"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57860" cy="175260"/>
                      <wp:effectExtent l="0" t="0" r="0" b="0"/>
                      <wp:wrapNone/>
                      <wp:docPr id="306" name="Frame30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9215" cy="175260"/>
                      <wp:effectExtent l="0" t="0" r="0" b="0"/>
                      <wp:wrapNone/>
                      <wp:docPr id="307" name="Frame3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57860" cy="175260"/>
                      <wp:effectExtent l="0" t="0" r="0" b="0"/>
                      <wp:wrapNone/>
                      <wp:docPr id="308" name="Frame30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09"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724535" cy="175260"/>
                      <wp:effectExtent l="0" t="0" r="0" b="0"/>
                      <wp:wrapNone/>
                      <wp:docPr id="310" name="Frame30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79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number of ordinary shares used as the denominator in calculating basic and diluted earnings per share</w:t>
            </w:r>
          </w:p>
        </w:tc>
        <w:tc>
          <w:tcPr>
            <w:tcW w:w="346"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38,062,427</w:t>
            </w:r>
          </w:p>
        </w:tc>
        <w:tc>
          <w:tcPr>
            <w:tcW w:w="109"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34,935,357</w:t>
            </w:r>
          </w:p>
        </w:tc>
        <w:tc>
          <w:tcPr>
            <w:tcW w:w="346" w:type="dxa"/>
            <w:tcBorders/>
            <w:shd w:fill="CCEEFF" w:val="clear"/>
            <w:vAlign w:val="center"/>
          </w:tcPr>
          <w:p>
            <w:pPr>
              <w:pStyle w:val="TableContents"/>
              <w:bidi w:val="0"/>
              <w:spacing w:before="0" w:after="1"/>
              <w:ind w:left="0" w:right="0" w:hanging="0"/>
              <w:jc w:val="right"/>
              <w:rPr/>
            </w:pPr>
            <w:r>
              <w:rPr/>
              <w:t>​</w:t>
            </w:r>
          </w:p>
        </w:tc>
        <w:tc>
          <w:tcPr>
            <w:tcW w:w="114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28,725,000</w:t>
            </w:r>
          </w:p>
        </w:tc>
      </w:tr>
    </w:tbl>
    <w:p>
      <w:pPr>
        <w:pStyle w:val="TextBody"/>
        <w:bidi w:val="0"/>
        <w:spacing w:before="0" w:after="240"/>
        <w:ind w:left="200" w:right="200" w:hanging="0"/>
        <w:jc w:val="both"/>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1,250,000 potentially dilutive shares from the agreement with Black Forest have not been included in the calculation of diluted earnings per share as they are anti-dilutive for the year ended December 31, 2025. Please refer to Note 29. Non-current and current financial liabilities for further information.</w:t>
      </w:r>
    </w:p>
    <w:p>
      <w:pPr>
        <w:pStyle w:val="TextBody"/>
        <w:bidi w:val="0"/>
        <w:spacing w:before="0" w:after="240"/>
        <w:ind w:left="200" w:right="200" w:hanging="0"/>
        <w:jc w:val="both"/>
        <w:rPr>
          <w:rFonts w:ascii="Times New Roman;Times;serif" w:hAnsi="Times New Roman;Times;serif"/>
          <w:b/>
          <w:sz w:val="20"/>
        </w:rPr>
      </w:pPr>
      <w:r>
        <w:rPr>
          <w:rFonts w:ascii="Times New Roman;Times;serif" w:hAnsi="Times New Roman;Times;serif"/>
          <w:b/>
          <w:sz w:val="20"/>
        </w:rPr>
        <w:t>Warrant liabilities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Warrants granted to the original shareholders of Pegasus SPAC are considered to be potential ordinary shares. The warrants are in connection with the merger of Pegasus SPAC into Merger Sub Corp, a wholly owned subsidiary of SCHMID Group N.V. in 2024. SCHMID Group N.V. issued 21 million private warrants in replacement of the 21 million Pegasus warrants still outstanding on the closing date.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warrants have not been included in the calculation of diluted earnings per share from their date of issue (30 April 2024), because they are anti-dilutive for the year ended December 31, 2025 and 2024. The warrants could potentially dilute basic earnings per share in the future. </w:t>
      </w:r>
    </w:p>
    <w:p>
      <w:pPr>
        <w:pStyle w:val="TextBody"/>
        <w:bidi w:val="0"/>
        <w:spacing w:before="0" w:after="240"/>
        <w:ind w:left="200" w:right="200" w:hanging="0"/>
        <w:jc w:val="both"/>
        <w:rPr>
          <w:rFonts w:ascii="Times New Roman;Times;serif" w:hAnsi="Times New Roman;Times;serif"/>
          <w:b/>
          <w:sz w:val="20"/>
        </w:rPr>
      </w:pPr>
      <w:r>
        <w:rPr>
          <w:rFonts w:ascii="Times New Roman;Times;serif" w:hAnsi="Times New Roman;Times;serif"/>
          <w:b/>
          <w:sz w:val="20"/>
        </w:rPr>
        <w:t>Earnout Shares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5,000,000 SCHMID N.V. shares are issuable pursuant to the Earnout Agreement and are considered to be potential ordinary shares. The shares are conditional upon share price increases and there are no service conditions that are required to be met. The conditions are as follows: 50% (2,500,000) of the earnout shares shall vest upon the occurrence of the share price being greater than $15.00 for a period of more than 20 days out of 30 consecutive trading days after the Closing Date within 3 years, the remaining 50% of the earnout shares shall vest upon the occurrence of the share price being greater than $18.00 for a period of more than 20 days out of 30 consecutive trading days after the Closing Date within 3 years. They would have been included in the determination of diluted earnings per share if the required vesting conditions would have been met based on the share price increases up to the reporting date and to the extent to which they are dilutive. The earnout shares have not been included in the determination of the basic earnings per share.</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bookmarkStart w:id="1063" w:name="Tc_8yRZ65HrmkGhnC7qfZ4BYw_17_0"/>
      <w:bookmarkStart w:id="1064" w:name="Tc_bpN6spOwuEaWrY24rxlgwA_16_0"/>
      <w:bookmarkStart w:id="1065" w:name="Tc_yNeJBPJXyk-AGlStArS-HQ_15_0"/>
      <w:bookmarkStart w:id="1066" w:name="Tc_kd5Y5c6Kg0C0SYZYp8CjRA_14_0"/>
      <w:bookmarkStart w:id="1067" w:name="Tc_4YA2vQvmOkC0Of-lLXWvLA_13_0"/>
      <w:bookmarkStart w:id="1068" w:name="Tc_M98ArMUHdUeRtGu-YFXRfQ_12_2"/>
      <w:bookmarkStart w:id="1069" w:name="Tc_fz2pMPW--kOj__n1Jzg3oA_12_0"/>
      <w:bookmarkStart w:id="1070" w:name="Tc_C6NFJekBW0i1CBf1p-PhHQ_11_0"/>
      <w:bookmarkStart w:id="1071" w:name="Tc_gHiBV6W9b0yvDla5mYOkBA_10_0"/>
      <w:bookmarkStart w:id="1072" w:name="Tc_gJyslKnX206W-vKqZXP9vA_9_0"/>
      <w:bookmarkStart w:id="1073" w:name="Tc_JZas2dX-_kywXDmW0AQENA_8_0"/>
      <w:bookmarkStart w:id="1074" w:name="Tc_Tr2KFrppyken3MoHfLzwbQ_7_0"/>
      <w:bookmarkStart w:id="1075" w:name="Tc_mVzNo9woak6RaKXFtrR49Q_6_4"/>
      <w:bookmarkStart w:id="1076" w:name="Tc_c9nb7weRuEe6LhR8opEOLQ_6_0"/>
      <w:bookmarkStart w:id="1077" w:name="Tc_JHLG4T3QJE2hO16ZaL7z7w_5_0"/>
      <w:bookmarkStart w:id="1078" w:name="Tc_FM6RMfeCHEyEp9BOXBF4sw_4_0"/>
      <w:bookmarkStart w:id="1079" w:name="Tc_GQtDnsPi9Emy9Lso7pC3VQ_3_0"/>
      <w:bookmarkStart w:id="1080" w:name="Tc_1elK9BiFeUmuhfQZ6LlZrw_2_6"/>
      <w:bookmarkStart w:id="1081" w:name="Tc_FeiRezjJKUOorRIuenCcMg_2_4"/>
      <w:bookmarkStart w:id="1082" w:name="Tc_g0sKFkeD6E6GutTj87F_yw_2_2"/>
      <w:bookmarkStart w:id="1083" w:name="Tc_8eCSO6swckucE95nypGqSQ_2_0"/>
      <w:bookmarkStart w:id="1084" w:name="Tc_lar-11y7vk6Ej4zUTMuJxA_1_4"/>
      <w:bookmarkStart w:id="1085" w:name="Tc_MelKNSvuX0axBB5sUR5HBA_1_2"/>
      <w:bookmarkStart w:id="1086" w:name="_6ef9674e_f2c3_46f3_a6b8_e45572a2d905"/>
      <w:bookmarkStart w:id="1087" w:name="Tc_-BMF6f2WOUOn_LwE92ff-g_15_0"/>
      <w:bookmarkStart w:id="1088" w:name="Tc_TKNlsJ6FMUWBnchkDfxN4g_14_0"/>
      <w:bookmarkStart w:id="1089" w:name="Tc_WMnPCIiuhU-OtgwgYws4bw_13_0"/>
      <w:bookmarkStart w:id="1090" w:name="Tc_iqMNRlp28U69vsDMBZHCkQ_12_0"/>
      <w:bookmarkStart w:id="1091" w:name="Tc_oJrun6PoHEyzfOul9m8zzg_11_0"/>
      <w:bookmarkStart w:id="1092" w:name="Tc_uWbd4V-xZE6A2-cYupMH1w_10_0"/>
      <w:bookmarkStart w:id="1093" w:name="Tc_zuKc8HqTLEWYQCW429stOw_9_0"/>
      <w:bookmarkStart w:id="1094" w:name="Tc_pWsp0uwbS0atNKJ_1_f6lQ_8_0"/>
      <w:bookmarkStart w:id="1095" w:name="Tc_FpdkheMjRUyOExJYNU_FlA_7_0"/>
      <w:bookmarkStart w:id="1096" w:name="Tc_D1EEbyiUP0exu3-3QYC4_g_6_0"/>
      <w:bookmarkStart w:id="1097" w:name="Tc_qUMj1U9nhUOfTjB-rrpz9g_5_0"/>
      <w:bookmarkStart w:id="1098" w:name="Tc_1pUhuoFGAEKeyA70H4nIuw_4_0"/>
      <w:bookmarkStart w:id="1099" w:name="Tc_59_MXsoDKUyN3dk0koMRlA_3_0"/>
      <w:bookmarkStart w:id="1100" w:name="Tc_C62Dpa-l_Ue1hu1hx6OwwQ_2_6"/>
      <w:bookmarkStart w:id="1101" w:name="Tc_lMVrmyX1hkmPyhcNHD0U-A_2_4"/>
      <w:bookmarkStart w:id="1102" w:name="Tc_NEUMoqAHq02Ng3APt3KkwQ_2_2"/>
      <w:bookmarkStart w:id="1103" w:name="Tc_cBm0M7H6OUKWCosQEtVJAA_2_0"/>
      <w:bookmarkStart w:id="1104" w:name="Tc_WXxrvoI-9U-blpPggfxQfw_1_4"/>
      <w:bookmarkStart w:id="1105" w:name="Tc_xQauKeIMyUaNIL79IoOi6g_1_2"/>
      <w:bookmarkStart w:id="1106" w:name="_43788836_a1ad_4858_9ba0_4b52cafc3e40"/>
      <w:bookmarkStart w:id="1107" w:name="a18INTANGIBLEASSETS_476157"/>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r>
        <w:rPr>
          <w:rFonts w:ascii="Times New Roman;Times;serif" w:hAnsi="Times New Roman;Times;serif"/>
          <w:b/>
          <w:i w:val="false"/>
          <w:caps w:val="false"/>
          <w:smallCaps w:val="false"/>
          <w:sz w:val="20"/>
        </w:rPr>
        <w:t>19.</w:t>
      </w:r>
      <w:r>
        <w:rPr>
          <w:rFonts w:ascii="Times New Roman;Times;serif" w:hAnsi="Times New Roman;Times;serif"/>
          <w:b/>
          <w:sz w:val="20"/>
        </w:rPr>
        <w:t>INTANGIBLE ASSETS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Intangible assets comprise the following:</w:t>
      </w:r>
    </w:p>
    <w:p>
      <w:pPr>
        <w:pStyle w:val="TextBody"/>
        <w:bidi w:val="0"/>
        <w:spacing w:before="0" w:after="0"/>
        <w:ind w:left="200" w:right="200" w:hanging="0"/>
        <w:jc w:val="left"/>
        <w:rPr/>
      </w:pPr>
      <w:r>
        <w:rPr/>
        <w:t>​</w:t>
      </w:r>
    </w:p>
    <w:tbl>
      <w:tblPr>
        <w:tblW w:w="7150" w:type="dxa"/>
        <w:jc w:val="left"/>
        <w:tblInd w:w="200" w:type="dxa"/>
        <w:tblLayout w:type="fixed"/>
        <w:tblCellMar>
          <w:top w:w="0" w:type="dxa"/>
          <w:left w:w="0" w:type="dxa"/>
          <w:bottom w:w="0" w:type="dxa"/>
          <w:right w:w="0" w:type="dxa"/>
        </w:tblCellMar>
      </w:tblPr>
      <w:tblGrid>
        <w:gridCol w:w="3451"/>
        <w:gridCol w:w="346"/>
        <w:gridCol w:w="1051"/>
        <w:gridCol w:w="346"/>
        <w:gridCol w:w="1006"/>
        <w:gridCol w:w="109"/>
        <w:gridCol w:w="841"/>
      </w:tblGrid>
      <w:tr>
        <w:trPr/>
        <w:tc>
          <w:tcPr>
            <w:tcW w:w="34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1385" cy="175260"/>
                      <wp:effectExtent l="0" t="0" r="0" b="0"/>
                      <wp:wrapNone/>
                      <wp:docPr id="311" name="Frame309"/>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2"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67385" cy="175260"/>
                      <wp:effectExtent l="0" t="0" r="0" b="0"/>
                      <wp:wrapNone/>
                      <wp:docPr id="313" name="Frame31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4" name="Frame3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38810" cy="175260"/>
                      <wp:effectExtent l="0" t="0" r="0" b="0"/>
                      <wp:wrapNone/>
                      <wp:docPr id="315" name="Frame31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9215" cy="175260"/>
                      <wp:effectExtent l="0" t="0" r="0" b="0"/>
                      <wp:wrapNone/>
                      <wp:docPr id="316" name="Frame3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534035" cy="175260"/>
                      <wp:effectExtent l="0" t="0" r="0" b="0"/>
                      <wp:wrapNone/>
                      <wp:docPr id="317" name="Frame31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Development</w:t>
            </w:r>
          </w:p>
        </w:tc>
        <w:tc>
          <w:tcPr>
            <w:tcW w:w="346" w:type="dxa"/>
            <w:tcBorders/>
            <w:vAlign w:val="center"/>
          </w:tcPr>
          <w:p>
            <w:pPr>
              <w:pStyle w:val="TableContents"/>
              <w:bidi w:val="0"/>
              <w:spacing w:before="0" w:after="0"/>
              <w:ind w:left="0" w:right="0" w:hanging="0"/>
              <w:jc w:val="left"/>
              <w:rPr/>
            </w:pPr>
            <w:r>
              <w:rPr/>
              <w:t>  ​ ​ ​</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Patents and </w:t>
            </w:r>
          </w:p>
        </w:tc>
        <w:tc>
          <w:tcPr>
            <w:tcW w:w="109"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Costs</w:t>
            </w:r>
          </w:p>
        </w:tc>
        <w:tc>
          <w:tcPr>
            <w:tcW w:w="34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licenses</w:t>
            </w:r>
          </w:p>
        </w:tc>
        <w:tc>
          <w:tcPr>
            <w:tcW w:w="109"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45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Costs of acquisition</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345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1/1/2025</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29,597</w:t>
            </w:r>
          </w:p>
        </w:tc>
        <w:tc>
          <w:tcPr>
            <w:tcW w:w="34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1,540</w:t>
            </w:r>
          </w:p>
        </w:tc>
        <w:tc>
          <w:tcPr>
            <w:tcW w:w="109"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31,137</w:t>
            </w:r>
          </w:p>
        </w:tc>
      </w:tr>
      <w:tr>
        <w:trPr/>
        <w:tc>
          <w:tcPr>
            <w:tcW w:w="345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Additions</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4,869</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4,870</w:t>
            </w:r>
          </w:p>
        </w:tc>
      </w:tr>
      <w:tr>
        <w:trPr/>
        <w:tc>
          <w:tcPr>
            <w:tcW w:w="34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Foreign exchange differences</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109"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345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12/31/2025</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34,444</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w:t>
            </w:r>
          </w:p>
        </w:tc>
        <w:tc>
          <w:tcPr>
            <w:tcW w:w="109" w:type="dxa"/>
            <w:tcBorders/>
            <w:shd w:fill="CCEEFF" w:val="cle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35,891</w:t>
            </w:r>
          </w:p>
        </w:tc>
      </w:tr>
      <w:tr>
        <w:trPr/>
        <w:tc>
          <w:tcPr>
            <w:tcW w:w="345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Accumulated amortization/write downs</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45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1/1/2025</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(15,243)</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(952)</w:t>
            </w:r>
          </w:p>
        </w:tc>
        <w:tc>
          <w:tcPr>
            <w:tcW w:w="109" w:type="dxa"/>
            <w:tcBorders/>
            <w:shd w:fill="CCEEFF" w:val="cle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(16,196)</w:t>
            </w:r>
          </w:p>
        </w:tc>
      </w:tr>
      <w:tr>
        <w:trPr/>
        <w:tc>
          <w:tcPr>
            <w:tcW w:w="345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Amortization</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(2,328)</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(216)</w:t>
            </w:r>
          </w:p>
        </w:tc>
        <w:tc>
          <w:tcPr>
            <w:tcW w:w="109"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(2,544)</w:t>
            </w:r>
          </w:p>
        </w:tc>
      </w:tr>
      <w:tr>
        <w:trPr/>
        <w:tc>
          <w:tcPr>
            <w:tcW w:w="345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Foreign exchange differences</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109"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345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12/31/2025</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(17,548)</w:t>
            </w:r>
          </w:p>
        </w:tc>
        <w:tc>
          <w:tcPr>
            <w:tcW w:w="34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w:t>
            </w:r>
          </w:p>
        </w:tc>
        <w:tc>
          <w:tcPr>
            <w:tcW w:w="109"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(18,629)</w:t>
            </w:r>
          </w:p>
        </w:tc>
      </w:tr>
      <w:tr>
        <w:trPr/>
        <w:tc>
          <w:tcPr>
            <w:tcW w:w="345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Carrying amount:</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45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1/1/2025</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14,354</w:t>
            </w:r>
          </w:p>
        </w:tc>
        <w:tc>
          <w:tcPr>
            <w:tcW w:w="34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588</w:t>
            </w:r>
          </w:p>
        </w:tc>
        <w:tc>
          <w:tcPr>
            <w:tcW w:w="109"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14,941</w:t>
            </w:r>
          </w:p>
        </w:tc>
      </w:tr>
      <w:tr>
        <w:trPr/>
        <w:tc>
          <w:tcPr>
            <w:tcW w:w="345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12/31/2025</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16,895</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366</w:t>
            </w:r>
          </w:p>
        </w:tc>
        <w:tc>
          <w:tcPr>
            <w:tcW w:w="109" w:type="dxa"/>
            <w:tcBorders/>
            <w:shd w:fill="CCEEFF" w:val="cle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17,262</w:t>
            </w:r>
          </w:p>
        </w:tc>
      </w:tr>
    </w:tbl>
    <w:p>
      <w:pPr>
        <w:pStyle w:val="TextBody"/>
        <w:bidi w:val="0"/>
        <w:spacing w:before="0" w:after="0"/>
        <w:ind w:left="200" w:right="200" w:hanging="0"/>
        <w:jc w:val="left"/>
        <w:rPr/>
      </w:pPr>
      <w:r>
        <w:rPr/>
        <w:t>​</w:t>
      </w:r>
    </w:p>
    <w:tbl>
      <w:tblPr>
        <w:tblW w:w="7342" w:type="dxa"/>
        <w:jc w:val="left"/>
        <w:tblInd w:w="200" w:type="dxa"/>
        <w:tblLayout w:type="fixed"/>
        <w:tblCellMar>
          <w:top w:w="0" w:type="dxa"/>
          <w:left w:w="0" w:type="dxa"/>
          <w:bottom w:w="0" w:type="dxa"/>
          <w:right w:w="0" w:type="dxa"/>
        </w:tblCellMar>
      </w:tblPr>
      <w:tblGrid>
        <w:gridCol w:w="3451"/>
        <w:gridCol w:w="346"/>
        <w:gridCol w:w="1051"/>
        <w:gridCol w:w="346"/>
        <w:gridCol w:w="961"/>
        <w:gridCol w:w="346"/>
        <w:gridCol w:w="841"/>
      </w:tblGrid>
      <w:tr>
        <w:trPr/>
        <w:tc>
          <w:tcPr>
            <w:tcW w:w="34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1385" cy="175260"/>
                      <wp:effectExtent l="0" t="0" r="0" b="0"/>
                      <wp:wrapNone/>
                      <wp:docPr id="318" name="Frame316"/>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19"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67385" cy="175260"/>
                      <wp:effectExtent l="0" t="0" r="0" b="0"/>
                      <wp:wrapNone/>
                      <wp:docPr id="320" name="Frame31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9710" cy="175260"/>
                      <wp:effectExtent l="0" t="0" r="0" b="0"/>
                      <wp:wrapNone/>
                      <wp:docPr id="321"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10235" cy="175260"/>
                      <wp:effectExtent l="0" t="0" r="0" b="0"/>
                      <wp:wrapNone/>
                      <wp:docPr id="322" name="Frame32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3"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34035" cy="175260"/>
                      <wp:effectExtent l="0" t="0" r="0" b="0"/>
                      <wp:wrapNone/>
                      <wp:docPr id="324" name="Frame32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Development</w:t>
            </w:r>
          </w:p>
        </w:tc>
        <w:tc>
          <w:tcPr>
            <w:tcW w:w="346" w:type="dxa"/>
            <w:tcBorders/>
            <w:vAlign w:val="center"/>
          </w:tcPr>
          <w:p>
            <w:pPr>
              <w:pStyle w:val="TableContents"/>
              <w:bidi w:val="0"/>
              <w:spacing w:before="0" w:after="0"/>
              <w:ind w:left="0" w:right="0" w:hanging="0"/>
              <w:jc w:val="left"/>
              <w:rPr/>
            </w:pPr>
            <w:r>
              <w:rPr/>
              <w:t>  ​ ​ ​</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Patents and</w:t>
            </w:r>
          </w:p>
        </w:tc>
        <w:tc>
          <w:tcPr>
            <w:tcW w:w="346" w:type="dxa"/>
            <w:tcBorders/>
            <w:vAlign w:val="center"/>
          </w:tcPr>
          <w:p>
            <w:pPr>
              <w:pStyle w:val="TableContents"/>
              <w:bidi w:val="0"/>
              <w:spacing w:before="0" w:after="0"/>
              <w:ind w:left="0" w:right="0" w:hanging="0"/>
              <w:jc w:val="left"/>
              <w:rPr/>
            </w:pPr>
            <w:r>
              <w:rPr/>
              <w:t>  ​ ​ ​</w:t>
            </w:r>
          </w:p>
        </w:tc>
        <w:tc>
          <w:tcPr>
            <w:tcW w:w="841" w:type="dxa"/>
            <w:tcBorders/>
            <w:vAlign w:val="center"/>
          </w:tcPr>
          <w:p>
            <w:pPr>
              <w:pStyle w:val="TableContents"/>
              <w:bidi w:val="0"/>
              <w:spacing w:before="0" w:after="0"/>
              <w:ind w:left="0" w:right="0" w:hanging="0"/>
              <w:jc w:val="center"/>
              <w:rPr/>
            </w:pPr>
            <w:r>
              <w:rPr/>
              <w:t>​</w: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Costs</w:t>
            </w:r>
          </w:p>
        </w:tc>
        <w:tc>
          <w:tcPr>
            <w:tcW w:w="346" w:type="dxa"/>
            <w:tcBorders/>
            <w:vAlign w:val="center"/>
          </w:tcPr>
          <w:p>
            <w:pPr>
              <w:pStyle w:val="TableContents"/>
              <w:bidi w:val="0"/>
              <w:spacing w:before="0" w:after="0"/>
              <w:ind w:left="0" w:right="0" w:hanging="0"/>
              <w:jc w:val="left"/>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licenses</w:t>
            </w:r>
          </w:p>
        </w:tc>
        <w:tc>
          <w:tcPr>
            <w:tcW w:w="346" w:type="dxa"/>
            <w:tcBorders/>
            <w:vAlign w:val="center"/>
          </w:tcPr>
          <w:p>
            <w:pPr>
              <w:pStyle w:val="TableContents"/>
              <w:bidi w:val="0"/>
              <w:spacing w:before="0" w:after="0"/>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45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Costs of acquisition</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345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1/1/2024</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25,729</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1,372</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27,102</w:t>
            </w:r>
          </w:p>
        </w:tc>
      </w:tr>
      <w:tr>
        <w:trPr/>
        <w:tc>
          <w:tcPr>
            <w:tcW w:w="345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Additions</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3,878</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4,008</w:t>
            </w:r>
          </w:p>
        </w:tc>
      </w:tr>
      <w:tr>
        <w:trPr/>
        <w:tc>
          <w:tcPr>
            <w:tcW w:w="34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Disposals/Retirements</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45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Foreign exchange differences</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345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12/31/2024</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29,597</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31,137</w:t>
            </w:r>
          </w:p>
        </w:tc>
      </w:tr>
      <w:tr>
        <w:trPr/>
        <w:tc>
          <w:tcPr>
            <w:tcW w:w="345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Accumulated amortization/write downs</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45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1/1/2024</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(11,452)</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(684)</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(12,136)</w:t>
            </w:r>
          </w:p>
        </w:tc>
      </w:tr>
      <w:tr>
        <w:trPr/>
        <w:tc>
          <w:tcPr>
            <w:tcW w:w="345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Amortization</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(3,801)</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(364)</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(4,166)</w:t>
            </w:r>
          </w:p>
        </w:tc>
      </w:tr>
      <w:tr>
        <w:trPr/>
        <w:tc>
          <w:tcPr>
            <w:tcW w:w="34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Disposals/Retirements</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345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Foreign exchange differences</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345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12/31/2024</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(15,243)</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(952)</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(16,196)</w:t>
            </w:r>
          </w:p>
        </w:tc>
      </w:tr>
      <w:tr>
        <w:trPr/>
        <w:tc>
          <w:tcPr>
            <w:tcW w:w="345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Carrying amount:</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45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1/1/2024</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14,278</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689</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14,966</w:t>
            </w:r>
          </w:p>
        </w:tc>
      </w:tr>
      <w:tr>
        <w:trPr/>
        <w:tc>
          <w:tcPr>
            <w:tcW w:w="345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12/31/2024</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14,354</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588</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14,941</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Development costs represent internally generated intangible assets related to process and manufacturing technologies for various industries such as printed circuit board (“PCB”), substrate manufacturing, photovoltaics, and glass and energy storage, wet processes (horizontal, vertical and single panel) and vacuum processes. Patents and licenses include software licenses, licenses for the use of know-how and acquired patents.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Impairment test on development cost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At each balance sheet date SCHMID performs an impairment test on development costs that are capitalized but not yet ready for use. The impairment test is performed on a Cash Generating Unit (“CGU”) level. The recoverable amount of the CGU that includes these development costs (the entity using those technologies) was estimated based on the present value of the future cash flows expected to be derived from the CGU (fair value less cost to sell), using a pre-tax discount rate of 11.42% (December 31, 2024: 12.59%). The recoverable amount of the CGU was estimated to be higher than its carrying amount and no impairment was required. In the event of a change in the key assumptions in the single-digit percentage range, sufficient headroom remains.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bookmarkStart w:id="1108" w:name="Tc_BPZiF7fJzkagfskMQg04Jw_19_0"/>
      <w:bookmarkStart w:id="1109" w:name="Tc_aJsU34ZMEkOqtQVIOk2BcA_18_0"/>
      <w:bookmarkStart w:id="1110" w:name="Tc_Qu_8Aa-UTUedWd8q_jUKuQ_17_0"/>
      <w:bookmarkStart w:id="1111" w:name="Tc_TpUwN6jAs0WwnN8R08D5UA_16_8"/>
      <w:bookmarkStart w:id="1112" w:name="Tc_V3R8jIKBdUCtThFxkEX53w_16_0"/>
      <w:bookmarkStart w:id="1113" w:name="Tc_900gHkWmUkK7Wgl_F5sraA_15_8"/>
      <w:bookmarkStart w:id="1114" w:name="Tc_l_X63lAnT0uTvDxrUYK9sA_15_2"/>
      <w:bookmarkStart w:id="1115" w:name="Tc_Vw7tY3Hn6UitW4QYLoR0zw_15_0"/>
      <w:bookmarkStart w:id="1116" w:name="Tc_aucv-_B3zUG5zzDTLmQ1VQ_14_8"/>
      <w:bookmarkStart w:id="1117" w:name="Tc_TTMoZIZDq0-MXtnU0EFO7A_14_0"/>
      <w:bookmarkStart w:id="1118" w:name="Tc_lDC4FtTsUky-CLrwz1MuIg_13_8"/>
      <w:bookmarkStart w:id="1119" w:name="Tc_fr8E670R2Em401saXwyh8A_13_0"/>
      <w:bookmarkStart w:id="1120" w:name="Tc_T_NjMQvr8UC2ock7QvSXeg_12_8"/>
      <w:bookmarkStart w:id="1121" w:name="Tc_8Q6Vf-5rnEyhXEcZFl7ibw_12_0"/>
      <w:bookmarkStart w:id="1122" w:name="Tc_VBfpvrmYqUOL1jrqhT5hdg_11_0"/>
      <w:bookmarkStart w:id="1123" w:name="Tc_HtLDDp_WI0Khphubkqt6UQ_10_0"/>
      <w:bookmarkStart w:id="1124" w:name="Tc_7gHxOXHCUEunIoxqZduLGw_9_8"/>
      <w:bookmarkStart w:id="1125" w:name="Tc_HQyLLcnsk0qhKMrLkRj2zQ_9_2"/>
      <w:bookmarkStart w:id="1126" w:name="Tc_71so19albUedhssXSnb-dg_9_0"/>
      <w:bookmarkStart w:id="1127" w:name="Tc_5fF7ly4rqEKhy0uGxQtmLg_8_2"/>
      <w:bookmarkStart w:id="1128" w:name="Tc_3RLQ35sYL0u3aN4Wt3g19w_8_0"/>
      <w:bookmarkStart w:id="1129" w:name="Tc_elDQ2evtxUSXPfKPBtLvvA_7_0"/>
      <w:bookmarkStart w:id="1130" w:name="Tc_Ry6T4wBNhEy9Ny325RzYyQ_6_0"/>
      <w:bookmarkStart w:id="1131" w:name="Tc_e7u5tt8B5UyTie9MLv-fpw_5_0"/>
      <w:bookmarkStart w:id="1132" w:name="Tc_UA7oAUoYoUqU8g3BlYC0sw_4_10"/>
      <w:bookmarkStart w:id="1133" w:name="Tc_HuMSxssw1UW1KiJzuqKOiw_4_8"/>
      <w:bookmarkStart w:id="1134" w:name="Tc_Rgap3v7nO06C05XDL73luw_4_6"/>
      <w:bookmarkStart w:id="1135" w:name="Tc_raMKkfaXXkSLkT4pMTDVeQ_4_4"/>
      <w:bookmarkStart w:id="1136" w:name="Tc_9wfdjJ3q9UCP5aUuotwdsw_4_2"/>
      <w:bookmarkStart w:id="1137" w:name="Tc_Zo3erkqBF0qy3nMkKAYteQ_4_0"/>
      <w:bookmarkStart w:id="1138" w:name="Tc_YxDOfiag5kyDiZqwoDRu5w_3_8"/>
      <w:bookmarkStart w:id="1139" w:name="Tc_1AHAPKzzmEedFpUkPOFgEg_3_6"/>
      <w:bookmarkStart w:id="1140" w:name="Tc_oxo531AquECSlNfglbJZ4g_3_4"/>
      <w:bookmarkStart w:id="1141" w:name="Tc_OA6lqAI9zUCLhig9q7o7Tg_3_2"/>
      <w:bookmarkStart w:id="1142" w:name="Tc_wlCJyHeXjEuSTlzPb2R-Xg_2_6"/>
      <w:bookmarkStart w:id="1143" w:name="Tc_Z8p4gaW3zkqb7UnGR8jyjA_2_4"/>
      <w:bookmarkStart w:id="1144" w:name="Tc_E1j7RgxoV0C2BSMEpZBfWQ_2_2"/>
      <w:bookmarkStart w:id="1145" w:name="Tc_gO5pWQt6x0iy4dXtNJ0Ftg_1_2"/>
      <w:bookmarkStart w:id="1146" w:name="_b10052ca_f1b0_4caf_9e9e_0a64653cc91e"/>
      <w:bookmarkStart w:id="1147" w:name="Tc_LUklyC1JIUy-Nf3HM4FR2w_19_0"/>
      <w:bookmarkStart w:id="1148" w:name="Tc_-rwOqeevr0qsJCvHnVwKkw_18_0"/>
      <w:bookmarkStart w:id="1149" w:name="Tc_cguBkX44f0Kk61FaGk7-0A_17_0"/>
      <w:bookmarkStart w:id="1150" w:name="Tc_lI94Xe_LWkOUVjXLJnOTqA_16_8"/>
      <w:bookmarkStart w:id="1151" w:name="Tc_jAg5x6QvV0GqzwDIBN8wmA_16_0"/>
      <w:bookmarkStart w:id="1152" w:name="Tc_KvsVWg2y_EmlomigU69Qrw_15_8"/>
      <w:bookmarkStart w:id="1153" w:name="Tc_4RGJZav1y02sHCmtNLSsxA_15_0"/>
      <w:bookmarkStart w:id="1154" w:name="Tc_1os38YhBAE69hocI06oXDg_14_8"/>
      <w:bookmarkStart w:id="1155" w:name="Tc_kYgrq2PGOkCgNiRT1PmVUg_14_2"/>
      <w:bookmarkStart w:id="1156" w:name="Tc_61Bf451Fd0WBw_x8YA8s7Q_14_0"/>
      <w:bookmarkStart w:id="1157" w:name="Tc_Dd5yJi7zmUmPwgkI1PAMpg_13_8"/>
      <w:bookmarkStart w:id="1158" w:name="Tc_JgFnnbg73km1951TpTaGmA_13_0"/>
      <w:bookmarkStart w:id="1159" w:name="Tc_zoA5vIN7GE6w0kBi6tuyfg_12_8"/>
      <w:bookmarkStart w:id="1160" w:name="Tc_iZ_2zaba802JdwSnGXvmWA_12_0"/>
      <w:bookmarkStart w:id="1161" w:name="Tc_ULhAizV1wESRpj4A1TY82g_11_0"/>
      <w:bookmarkStart w:id="1162" w:name="Tc_3rRnnqssxUGMsdUGRPkiKQ_10_0"/>
      <w:bookmarkStart w:id="1163" w:name="Tc_Zho6ObYvIEyeAp4piBLjhw_9_8"/>
      <w:bookmarkStart w:id="1164" w:name="Tc_rV3SNwMEUkGSXJ4KQZwZng_9_0"/>
      <w:bookmarkStart w:id="1165" w:name="Tc_v_CtlgHeOEqwlj3bTokkdg_8_8"/>
      <w:bookmarkStart w:id="1166" w:name="Tc_yXw6EcvoVEeML8quo0ERuQ_8_2"/>
      <w:bookmarkStart w:id="1167" w:name="Tc_6aqlXkewF0e8IVx01Yrv1Q_8_0"/>
      <w:bookmarkStart w:id="1168" w:name="Tc_Sj81-FXDrUew0dHSbYi_aw_7_0"/>
      <w:bookmarkStart w:id="1169" w:name="Tc_x8rNYWJGcE-cBhOhZ9wQzQ_6_0"/>
      <w:bookmarkStart w:id="1170" w:name="Tc_8TNtR98r3UeL0_d36TIehg_5_0"/>
      <w:bookmarkStart w:id="1171" w:name="Tc_FojB-XfCTE6FYyDtxk7ufQ_4_10"/>
      <w:bookmarkStart w:id="1172" w:name="Tc_zQp3u6iXM0mApLeqbEt3eQ_4_8"/>
      <w:bookmarkStart w:id="1173" w:name="Tc_1ev1aJ82WEuLz0ZunMo4HA_4_6"/>
      <w:bookmarkStart w:id="1174" w:name="Tc_xOWGpVsAjkew6FS4i_qgAw_4_4"/>
      <w:bookmarkStart w:id="1175" w:name="Tc_KKaIwLPaykin4PVmQvAzow_4_2"/>
      <w:bookmarkStart w:id="1176" w:name="Tc_9TCUkQYLSEu4ZO0L9nROHg_4_0"/>
      <w:bookmarkStart w:id="1177" w:name="Tc_Kd0i0vYRC0iDd-qB_akOKw_3_8"/>
      <w:bookmarkStart w:id="1178" w:name="Tc_mEYKQrXd60i570dac7QDng_3_6"/>
      <w:bookmarkStart w:id="1179" w:name="Tc_2x9y8n3Vh06yhWZvq1vepw_3_4"/>
      <w:bookmarkStart w:id="1180" w:name="Tc_Ux_RmT2eo0q_cX9WXwiLsA_3_2"/>
      <w:bookmarkStart w:id="1181" w:name="Tc_HUrPC01bEUKJr8aACw3syA_2_6"/>
      <w:bookmarkStart w:id="1182" w:name="Tc_duslevCS90yEpjXd68dEsg_2_4"/>
      <w:bookmarkStart w:id="1183" w:name="Tc_rkzzvC6LXEOejzGXBWedXw_2_2"/>
      <w:bookmarkStart w:id="1184" w:name="Tc_cG3pXJ6QU0erVcvA4UbmEg_1_2"/>
      <w:bookmarkStart w:id="1185" w:name="_4306fac7_e870_4447_903c_220fc0d9ef47"/>
      <w:bookmarkStart w:id="1186" w:name="a19PROPERTYPLANTANDEQUIPMENT_862540"/>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r>
        <w:rPr>
          <w:rFonts w:ascii="Times New Roman;Times;serif" w:hAnsi="Times New Roman;Times;serif"/>
          <w:b/>
          <w:i w:val="false"/>
          <w:caps w:val="false"/>
          <w:smallCaps w:val="false"/>
          <w:sz w:val="20"/>
        </w:rPr>
        <w:t>20.</w:t>
      </w:r>
      <w:r>
        <w:rPr>
          <w:rFonts w:ascii="Times New Roman;Times;serif" w:hAnsi="Times New Roman;Times;serif"/>
          <w:b/>
          <w:sz w:val="20"/>
        </w:rPr>
        <w:t>PROPERTY, PLANT AND EQUIPMENT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Property, plant and equipment is comprised of the following:</w:t>
      </w:r>
    </w:p>
    <w:p>
      <w:pPr>
        <w:pStyle w:val="TextBody"/>
        <w:bidi w:val="0"/>
        <w:spacing w:before="0" w:after="0"/>
        <w:ind w:left="200" w:right="200" w:hanging="0"/>
        <w:jc w:val="left"/>
        <w:rPr/>
      </w:pPr>
      <w:r>
        <w:rPr/>
        <w:t>​</w:t>
      </w:r>
    </w:p>
    <w:tbl>
      <w:tblPr>
        <w:tblW w:w="9581" w:type="dxa"/>
        <w:jc w:val="left"/>
        <w:tblInd w:w="200" w:type="dxa"/>
        <w:tblLayout w:type="fixed"/>
        <w:tblCellMar>
          <w:top w:w="0" w:type="dxa"/>
          <w:left w:w="0" w:type="dxa"/>
          <w:bottom w:w="0" w:type="dxa"/>
          <w:right w:w="0" w:type="dxa"/>
        </w:tblCellMar>
      </w:tblPr>
      <w:tblGrid>
        <w:gridCol w:w="2911"/>
        <w:gridCol w:w="346"/>
        <w:gridCol w:w="1126"/>
        <w:gridCol w:w="346"/>
        <w:gridCol w:w="1171"/>
        <w:gridCol w:w="346"/>
        <w:gridCol w:w="871"/>
        <w:gridCol w:w="346"/>
        <w:gridCol w:w="1006"/>
        <w:gridCol w:w="346"/>
        <w:gridCol w:w="766"/>
      </w:tblGrid>
      <w:tr>
        <w:trPr/>
        <w:tc>
          <w:tcPr>
            <w:tcW w:w="29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ind w:left="0" w:right="0" w:hanging="0"/>
              <w:jc w:val="left"/>
              <w:rPr>
                <w:sz w:val="4"/>
                <w:szCs w:val="4"/>
              </w:rPr>
            </w:pPr>
            <w:r>
              <w:rPr>
                <w:sz w:val="4"/>
                <w:szCs w:val="4"/>
              </w:rPr>
            </w:r>
          </w:p>
        </w:tc>
      </w:tr>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848485" cy="175260"/>
                      <wp:effectExtent l="0" t="0" r="0" b="0"/>
                      <wp:wrapNone/>
                      <wp:docPr id="325" name="Frame323"/>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26"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715010" cy="175260"/>
                      <wp:effectExtent l="0" t="0" r="0" b="0"/>
                      <wp:wrapNone/>
                      <wp:docPr id="327" name="Frame32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28" name="Frame3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743585" cy="175260"/>
                      <wp:effectExtent l="0" t="0" r="0" b="0"/>
                      <wp:wrapNone/>
                      <wp:docPr id="329" name="Frame327"/>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0" name="Frame3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553085" cy="175260"/>
                      <wp:effectExtent l="0" t="0" r="0" b="0"/>
                      <wp:wrapNone/>
                      <wp:docPr id="331" name="Frame32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9710" cy="175260"/>
                      <wp:effectExtent l="0" t="0" r="0" b="0"/>
                      <wp:wrapNone/>
                      <wp:docPr id="332"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38810" cy="175260"/>
                      <wp:effectExtent l="0" t="0" r="0" b="0"/>
                      <wp:wrapNone/>
                      <wp:docPr id="333" name="Frame33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4"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86410" cy="175260"/>
                      <wp:effectExtent l="0" t="0" r="0" b="0"/>
                      <wp:wrapNone/>
                      <wp:docPr id="335" name="Frame33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Land,</w:t>
            </w:r>
          </w:p>
        </w:tc>
        <w:tc>
          <w:tcPr>
            <w:tcW w:w="346" w:type="dxa"/>
            <w:tcBorders/>
            <w:vAlign w:val="center"/>
          </w:tcPr>
          <w:p>
            <w:pPr>
              <w:pStyle w:val="TableContents"/>
              <w:bidi w:val="0"/>
              <w:spacing w:before="0" w:after="0"/>
              <w:ind w:left="0" w:right="0" w:hanging="0"/>
              <w:jc w:val="left"/>
              <w:rPr/>
            </w:pPr>
            <w:r>
              <w:rPr/>
              <w:t>  ​ ​ ​</w:t>
            </w:r>
          </w:p>
        </w:tc>
        <w:tc>
          <w:tcPr>
            <w:tcW w:w="11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66" w:type="dxa"/>
            <w:tcBorders/>
            <w:vAlign w:val="center"/>
          </w:tcPr>
          <w:p>
            <w:pPr>
              <w:pStyle w:val="TableContents"/>
              <w:bidi w:val="0"/>
              <w:spacing w:before="0" w:after="0"/>
              <w:ind w:left="0" w:right="0" w:hanging="0"/>
              <w:jc w:val="center"/>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buildings and</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Technical</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Office and</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leasehold</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 and</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 under</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r>
      <w:tr>
        <w:trPr/>
        <w:tc>
          <w:tcPr>
            <w:tcW w:w="291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left"/>
              <w:rPr/>
            </w:pPr>
            <w:r>
              <w:rPr/>
              <w:t>  ​ ​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improvements</w:t>
            </w:r>
          </w:p>
        </w:tc>
        <w:tc>
          <w:tcPr>
            <w:tcW w:w="346" w:type="dxa"/>
            <w:tcBorders/>
            <w:vAlign w:val="center"/>
          </w:tcPr>
          <w:p>
            <w:pPr>
              <w:pStyle w:val="TableContents"/>
              <w:bidi w:val="0"/>
              <w:spacing w:before="0" w:after="0"/>
              <w:ind w:left="0" w:right="0" w:hanging="0"/>
              <w:jc w:val="left"/>
              <w:rPr/>
            </w:pPr>
            <w:r>
              <w:rPr/>
              <w:t>  ​ ​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machinery</w:t>
            </w:r>
          </w:p>
        </w:tc>
        <w:tc>
          <w:tcPr>
            <w:tcW w:w="346" w:type="dxa"/>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46" w:type="dxa"/>
            <w:tcBorders/>
            <w:vAlign w:val="center"/>
          </w:tcPr>
          <w:p>
            <w:pPr>
              <w:pStyle w:val="TableContents"/>
              <w:bidi w:val="0"/>
              <w:spacing w:before="0" w:after="0"/>
              <w:ind w:left="0" w:right="0" w:hanging="0"/>
              <w:jc w:val="left"/>
              <w:rPr/>
            </w:pPr>
            <w:r>
              <w:rPr/>
              <w:t>  ​ ​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346" w:type="dxa"/>
            <w:tcBorders/>
            <w:vAlign w:val="center"/>
          </w:tcPr>
          <w:p>
            <w:pPr>
              <w:pStyle w:val="TableContents"/>
              <w:bidi w:val="0"/>
              <w:spacing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Costs of acquisition or construction:</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2911"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1/1/2025</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235</w:t>
            </w:r>
          </w:p>
        </w:tc>
        <w:tc>
          <w:tcPr>
            <w:tcW w:w="34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16,509</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15,968</w:t>
            </w:r>
          </w:p>
        </w:tc>
        <w:tc>
          <w:tcPr>
            <w:tcW w:w="34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470</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33,182</w:t>
            </w:r>
          </w:p>
        </w:tc>
      </w:tr>
      <w:tr>
        <w:trPr/>
        <w:tc>
          <w:tcPr>
            <w:tcW w:w="29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Additions</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1,043</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1,487</w:t>
            </w:r>
          </w:p>
        </w:tc>
      </w:tr>
      <w:tr>
        <w:trPr/>
        <w:tc>
          <w:tcPr>
            <w:tcW w:w="291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Disposals/Retirements</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(583)</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(625)</w:t>
            </w:r>
          </w:p>
        </w:tc>
      </w:tr>
      <w:tr>
        <w:trPr/>
        <w:tc>
          <w:tcPr>
            <w:tcW w:w="29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exchange differences</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(354)</w:t>
            </w:r>
          </w:p>
        </w:tc>
      </w:tr>
      <w:tr>
        <w:trPr/>
        <w:tc>
          <w:tcPr>
            <w:tcW w:w="2911"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12/31/2025</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328</w:t>
            </w:r>
          </w:p>
        </w:tc>
        <w:tc>
          <w:tcPr>
            <w:tcW w:w="34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15,928</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15,920</w:t>
            </w:r>
          </w:p>
        </w:tc>
        <w:tc>
          <w:tcPr>
            <w:tcW w:w="34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1,513</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33,690</w:t>
            </w:r>
          </w:p>
        </w:tc>
      </w:tr>
      <w:tr>
        <w:trPr/>
        <w:tc>
          <w:tcPr>
            <w:tcW w:w="29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Accumulated depreciation:</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1/1/2025</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739</w:t>
            </w:r>
          </w:p>
        </w:tc>
        <w:tc>
          <w:tcPr>
            <w:tcW w:w="34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(14,496)</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(14,145)</w:t>
            </w:r>
          </w:p>
        </w:tc>
        <w:tc>
          <w:tcPr>
            <w:tcW w:w="34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(27,902)</w:t>
            </w:r>
          </w:p>
        </w:tc>
      </w:tr>
      <w:tr>
        <w:trPr/>
        <w:tc>
          <w:tcPr>
            <w:tcW w:w="29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(860)</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(484)</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(1,151)</w:t>
            </w:r>
          </w:p>
        </w:tc>
      </w:tr>
      <w:tr>
        <w:trPr/>
        <w:tc>
          <w:tcPr>
            <w:tcW w:w="291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Disposals/Retirements</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544</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586</w:t>
            </w:r>
          </w:p>
        </w:tc>
      </w:tr>
      <w:tr>
        <w:trPr/>
        <w:tc>
          <w:tcPr>
            <w:tcW w:w="29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exchange differences</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w:t>
            </w:r>
          </w:p>
        </w:tc>
      </w:tr>
      <w:tr>
        <w:trPr/>
        <w:tc>
          <w:tcPr>
            <w:tcW w:w="2911"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12/31/2025</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(121)</w:t>
            </w:r>
          </w:p>
        </w:tc>
        <w:tc>
          <w:tcPr>
            <w:tcW w:w="34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(13,604)</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(14,461)</w:t>
            </w:r>
          </w:p>
        </w:tc>
        <w:tc>
          <w:tcPr>
            <w:tcW w:w="34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(28,186)</w:t>
            </w:r>
          </w:p>
        </w:tc>
      </w:tr>
      <w:tr>
        <w:trPr/>
        <w:tc>
          <w:tcPr>
            <w:tcW w:w="29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Carrying amount:</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1/1/2025</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973</w:t>
            </w:r>
          </w:p>
        </w:tc>
        <w:tc>
          <w:tcPr>
            <w:tcW w:w="34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2,013</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1,824</w:t>
            </w:r>
          </w:p>
        </w:tc>
        <w:tc>
          <w:tcPr>
            <w:tcW w:w="34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470</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5,280</w:t>
            </w:r>
          </w:p>
        </w:tc>
      </w:tr>
      <w:tr>
        <w:trPr/>
        <w:tc>
          <w:tcPr>
            <w:tcW w:w="29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12/31/2025</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207</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2,324</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1,459</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1,513</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5,503</w:t>
            </w:r>
          </w:p>
        </w:tc>
      </w:tr>
    </w:tbl>
    <w:p>
      <w:pPr>
        <w:pStyle w:val="TextBody"/>
        <w:bidi w:val="0"/>
        <w:spacing w:before="0" w:after="0"/>
        <w:ind w:left="200" w:right="200" w:hanging="0"/>
        <w:jc w:val="left"/>
        <w:rPr/>
      </w:pPr>
      <w:r>
        <w:rPr/>
        <w:t>​</w:t>
      </w:r>
    </w:p>
    <w:tbl>
      <w:tblPr>
        <w:tblW w:w="9581" w:type="dxa"/>
        <w:jc w:val="left"/>
        <w:tblInd w:w="200" w:type="dxa"/>
        <w:tblLayout w:type="fixed"/>
        <w:tblCellMar>
          <w:top w:w="0" w:type="dxa"/>
          <w:left w:w="0" w:type="dxa"/>
          <w:bottom w:w="0" w:type="dxa"/>
          <w:right w:w="0" w:type="dxa"/>
        </w:tblCellMar>
      </w:tblPr>
      <w:tblGrid>
        <w:gridCol w:w="2911"/>
        <w:gridCol w:w="346"/>
        <w:gridCol w:w="1126"/>
        <w:gridCol w:w="346"/>
        <w:gridCol w:w="1171"/>
        <w:gridCol w:w="346"/>
        <w:gridCol w:w="871"/>
        <w:gridCol w:w="346"/>
        <w:gridCol w:w="1006"/>
        <w:gridCol w:w="346"/>
        <w:gridCol w:w="766"/>
      </w:tblGrid>
      <w:tr>
        <w:trPr/>
        <w:tc>
          <w:tcPr>
            <w:tcW w:w="29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ind w:left="0" w:right="0" w:hanging="0"/>
              <w:jc w:val="left"/>
              <w:rPr>
                <w:sz w:val="4"/>
                <w:szCs w:val="4"/>
              </w:rPr>
            </w:pPr>
            <w:r>
              <w:rPr>
                <w:sz w:val="4"/>
                <w:szCs w:val="4"/>
              </w:rPr>
            </w:r>
          </w:p>
        </w:tc>
      </w:tr>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848485" cy="175260"/>
                      <wp:effectExtent l="0" t="0" r="0" b="0"/>
                      <wp:wrapNone/>
                      <wp:docPr id="336" name="Frame334"/>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37"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715010" cy="175260"/>
                      <wp:effectExtent l="0" t="0" r="0" b="0"/>
                      <wp:wrapNone/>
                      <wp:docPr id="338" name="Frame336"/>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39" name="Frame3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743585" cy="175260"/>
                      <wp:effectExtent l="0" t="0" r="0" b="0"/>
                      <wp:wrapNone/>
                      <wp:docPr id="340" name="Frame338"/>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1"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553085" cy="175260"/>
                      <wp:effectExtent l="0" t="0" r="0" b="0"/>
                      <wp:wrapNone/>
                      <wp:docPr id="342" name="Frame34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43"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38810" cy="175260"/>
                      <wp:effectExtent l="0" t="0" r="0" b="0"/>
                      <wp:wrapNone/>
                      <wp:docPr id="344" name="Frame34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45"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86410" cy="175260"/>
                      <wp:effectExtent l="0" t="0" r="0" b="0"/>
                      <wp:wrapNone/>
                      <wp:docPr id="346" name="Frame34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Land,</w:t>
            </w:r>
          </w:p>
        </w:tc>
        <w:tc>
          <w:tcPr>
            <w:tcW w:w="346" w:type="dxa"/>
            <w:tcBorders/>
            <w:vAlign w:val="center"/>
          </w:tcPr>
          <w:p>
            <w:pPr>
              <w:pStyle w:val="TableContents"/>
              <w:bidi w:val="0"/>
              <w:spacing w:before="0" w:after="0"/>
              <w:ind w:left="0" w:right="0" w:hanging="0"/>
              <w:jc w:val="left"/>
              <w:rPr/>
            </w:pPr>
            <w:r>
              <w:rPr/>
              <w:t>  ​ ​ ​</w:t>
            </w:r>
          </w:p>
        </w:tc>
        <w:tc>
          <w:tcPr>
            <w:tcW w:w="11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66" w:type="dxa"/>
            <w:tcBorders/>
            <w:vAlign w:val="center"/>
          </w:tcPr>
          <w:p>
            <w:pPr>
              <w:pStyle w:val="TableContents"/>
              <w:bidi w:val="0"/>
              <w:spacing w:before="0" w:after="0"/>
              <w:ind w:left="0" w:right="0" w:hanging="0"/>
              <w:jc w:val="center"/>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buildings and</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Technical</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Office and</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leasehold</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 and</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 under</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r>
      <w:tr>
        <w:trPr/>
        <w:tc>
          <w:tcPr>
            <w:tcW w:w="291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left"/>
              <w:rPr/>
            </w:pPr>
            <w:r>
              <w:rPr/>
              <w:t>  ​ ​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improvements</w:t>
            </w:r>
          </w:p>
        </w:tc>
        <w:tc>
          <w:tcPr>
            <w:tcW w:w="346" w:type="dxa"/>
            <w:tcBorders/>
            <w:vAlign w:val="center"/>
          </w:tcPr>
          <w:p>
            <w:pPr>
              <w:pStyle w:val="TableContents"/>
              <w:bidi w:val="0"/>
              <w:spacing w:before="0" w:after="0"/>
              <w:ind w:left="0" w:right="0" w:hanging="0"/>
              <w:jc w:val="left"/>
              <w:rPr/>
            </w:pPr>
            <w:r>
              <w:rPr/>
              <w:t>  ​ ​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machinery</w:t>
            </w:r>
          </w:p>
        </w:tc>
        <w:tc>
          <w:tcPr>
            <w:tcW w:w="346" w:type="dxa"/>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46" w:type="dxa"/>
            <w:tcBorders/>
            <w:vAlign w:val="center"/>
          </w:tcPr>
          <w:p>
            <w:pPr>
              <w:pStyle w:val="TableContents"/>
              <w:bidi w:val="0"/>
              <w:spacing w:before="0" w:after="0"/>
              <w:ind w:left="0" w:right="0" w:hanging="0"/>
              <w:jc w:val="left"/>
              <w:rPr/>
            </w:pPr>
            <w:r>
              <w:rPr/>
              <w:t>  ​ ​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346" w:type="dxa"/>
            <w:tcBorders/>
            <w:vAlign w:val="center"/>
          </w:tcPr>
          <w:p>
            <w:pPr>
              <w:pStyle w:val="TableContents"/>
              <w:bidi w:val="0"/>
              <w:spacing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Costs of acquisition or construction:</w:t>
            </w:r>
          </w:p>
        </w:tc>
        <w:tc>
          <w:tcPr>
            <w:tcW w:w="34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1/1/2024</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220</w:t>
            </w:r>
          </w:p>
        </w:tc>
        <w:tc>
          <w:tcPr>
            <w:tcW w:w="34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16,330</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15,386</w:t>
            </w:r>
          </w:p>
        </w:tc>
        <w:tc>
          <w:tcPr>
            <w:tcW w:w="34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513</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32,449</w:t>
            </w:r>
          </w:p>
        </w:tc>
      </w:tr>
      <w:tr>
        <w:trPr/>
        <w:tc>
          <w:tcPr>
            <w:tcW w:w="29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Additions</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774</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1,120</w:t>
            </w:r>
          </w:p>
        </w:tc>
      </w:tr>
      <w:tr>
        <w:trPr/>
        <w:tc>
          <w:tcPr>
            <w:tcW w:w="291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Disposals/Retirements</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(533)</w:t>
            </w:r>
          </w:p>
        </w:tc>
      </w:tr>
      <w:tr>
        <w:trPr/>
        <w:tc>
          <w:tcPr>
            <w:tcW w:w="29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exchange differences</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w:t>
            </w:r>
          </w:p>
        </w:tc>
      </w:tr>
      <w:tr>
        <w:trPr/>
        <w:tc>
          <w:tcPr>
            <w:tcW w:w="2911"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12/31/2024</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235</w:t>
            </w:r>
          </w:p>
        </w:tc>
        <w:tc>
          <w:tcPr>
            <w:tcW w:w="34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16,509</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15,968</w:t>
            </w:r>
          </w:p>
        </w:tc>
        <w:tc>
          <w:tcPr>
            <w:tcW w:w="34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470</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33,182</w:t>
            </w:r>
          </w:p>
        </w:tc>
      </w:tr>
      <w:tr>
        <w:trPr/>
        <w:tc>
          <w:tcPr>
            <w:tcW w:w="29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Accumulated depreciation:</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1/1/2024</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(71)</w:t>
            </w:r>
          </w:p>
        </w:tc>
        <w:tc>
          <w:tcPr>
            <w:tcW w:w="34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(13,314)</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(13,359)</w:t>
            </w:r>
          </w:p>
        </w:tc>
        <w:tc>
          <w:tcPr>
            <w:tcW w:w="34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(26,744)</w:t>
            </w:r>
          </w:p>
        </w:tc>
      </w:tr>
      <w:tr>
        <w:trPr/>
        <w:tc>
          <w:tcPr>
            <w:tcW w:w="29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(653)</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(803)</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(1,477)</w:t>
            </w:r>
          </w:p>
        </w:tc>
      </w:tr>
      <w:tr>
        <w:trPr/>
        <w:tc>
          <w:tcPr>
            <w:tcW w:w="291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Disposals/Retirements</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831</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(461)</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432</w:t>
            </w:r>
          </w:p>
        </w:tc>
      </w:tr>
      <w:tr>
        <w:trPr/>
        <w:tc>
          <w:tcPr>
            <w:tcW w:w="29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exchange differences</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w:t>
            </w:r>
          </w:p>
        </w:tc>
      </w:tr>
      <w:tr>
        <w:trPr/>
        <w:tc>
          <w:tcPr>
            <w:tcW w:w="2911"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12/31/2024</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739</w:t>
            </w:r>
          </w:p>
        </w:tc>
        <w:tc>
          <w:tcPr>
            <w:tcW w:w="34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(14,496)</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(14,145)</w:t>
            </w:r>
          </w:p>
        </w:tc>
        <w:tc>
          <w:tcPr>
            <w:tcW w:w="34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(27,902)</w:t>
            </w:r>
          </w:p>
        </w:tc>
      </w:tr>
      <w:tr>
        <w:trPr/>
        <w:tc>
          <w:tcPr>
            <w:tcW w:w="29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Carrying amount:</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1/1/2024</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149</w:t>
            </w:r>
          </w:p>
        </w:tc>
        <w:tc>
          <w:tcPr>
            <w:tcW w:w="34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3,016</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2,027</w:t>
            </w:r>
          </w:p>
        </w:tc>
        <w:tc>
          <w:tcPr>
            <w:tcW w:w="34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513</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5,704</w:t>
            </w:r>
          </w:p>
        </w:tc>
      </w:tr>
      <w:tr>
        <w:trPr/>
        <w:tc>
          <w:tcPr>
            <w:tcW w:w="29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12/31/2024</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973</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2,013</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1,824</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470</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5,280</w:t>
            </w:r>
          </w:p>
        </w:tc>
      </w:tr>
    </w:tbl>
    <w:p>
      <w:pPr>
        <w:pStyle w:val="TextBody"/>
        <w:bidi w:val="0"/>
        <w:spacing w:before="0" w:after="0"/>
        <w:ind w:left="200" w:right="200" w:hanging="0"/>
        <w:jc w:val="left"/>
        <w:rPr/>
      </w:pPr>
      <w:r>
        <w:rPr/>
        <w: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Property, plant and equipment includes right-of-use assets amounting to €6,730 thousand as of December 31, 2025 (December 31, 2024: €7,812 thousand). For further information see note 21. Leases.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bookmarkStart w:id="1187" w:name="Tc_FRbew3vnRkCr4uqPYo5Zpg_6_0"/>
      <w:bookmarkStart w:id="1188" w:name="Tc_x5GheQkhgUaAbVziC8BkZA_5_0"/>
      <w:bookmarkStart w:id="1189" w:name="Tc__Wt5qNwU9k2oBCIu5IOATA_4_0"/>
      <w:bookmarkStart w:id="1190" w:name="Tc_RpNlqUqOZUGKvhO5fWinAg_3_0"/>
      <w:bookmarkStart w:id="1191" w:name="Tc_dfYdSv-hUkCXCSjiKVdvXA_2_0"/>
      <w:bookmarkStart w:id="1192" w:name="Tc_lO9RNA0Y1USvW1jT-I8BeA_1_6"/>
      <w:bookmarkStart w:id="1193" w:name="Tc_W3Y9JhczhUe9XDem_db0WQ_1_4"/>
      <w:bookmarkStart w:id="1194" w:name="Tc_9I8uZAVfFkKziVXGHc8nSg_1_2"/>
      <w:bookmarkStart w:id="1195" w:name="Tc_2hZAKh8vOEWSsfAjBuqikA_1_0"/>
      <w:bookmarkStart w:id="1196" w:name="Tc_ZoR5b4IcGkeukxYaSsl3YQ_12_0"/>
      <w:bookmarkStart w:id="1197" w:name="Tc_i4Qc6pG6K0mGohXAFwwDRg_11_0"/>
      <w:bookmarkStart w:id="1198" w:name="Tc_0PLK13BZjEatDdEmhiKbdA_10_0"/>
      <w:bookmarkStart w:id="1199" w:name="Tc_oWLyU3msyEKRe4W95hdQNw_9_0"/>
      <w:bookmarkStart w:id="1200" w:name="Tc_X9tl3DhDV0qKZMoIYYATxg_8_0"/>
      <w:bookmarkStart w:id="1201" w:name="Tc_ociD7mnGLUypeumuP88YpA_7_0"/>
      <w:bookmarkStart w:id="1202" w:name="Tc_W03XuN-2BUqc-l2dJfiwQA_6_0"/>
      <w:bookmarkStart w:id="1203" w:name="Tc_mPidYG-0_EedhDMTS07xqA_5_0"/>
      <w:bookmarkStart w:id="1204" w:name="Tc_jj3-NAWgv0iYTO5bbCo0mg_4_0"/>
      <w:bookmarkStart w:id="1205" w:name="Tc_XzqAzb9RbkK9CX5UlicyTw_3_0"/>
      <w:bookmarkStart w:id="1206" w:name="Tc_X8b0QOxXuE-B1Q1No00Zxg_2_0"/>
      <w:bookmarkStart w:id="1207" w:name="Tc_qfiihYdKe0acgraoLKQDvw_1_2"/>
      <w:bookmarkStart w:id="1208" w:name="Tc_vG3uNyQz_Um6q36NbNnkpg_1_0"/>
      <w:bookmarkStart w:id="1209" w:name="Tc_qDkMTB3S60Sh877-QMNSFg_10_0"/>
      <w:bookmarkStart w:id="1210" w:name="Tc_bujG0wfTKECtu5LJx__74A_9_0"/>
      <w:bookmarkStart w:id="1211" w:name="Tc_qCUJVamGB0WuglntlgKKFA_8_0"/>
      <w:bookmarkStart w:id="1212" w:name="Tc_t0wPWi5rBU6onXcNBqiUyw_7_0"/>
      <w:bookmarkStart w:id="1213" w:name="Tc_Ii54X26UakWktV9pf-vggg_6_0"/>
      <w:bookmarkStart w:id="1214" w:name="Tc_-PzA1xVzS0CaHaBa2MoguA_5_0"/>
      <w:bookmarkStart w:id="1215" w:name="Tc_6msTHceARUy52A4E1qssfg_4_0"/>
      <w:bookmarkStart w:id="1216" w:name="Tc_4I1VJIyHEEix-fcO_jy7bw_3_0"/>
      <w:bookmarkStart w:id="1217" w:name="Tc_7svhl8D6dU-_5TmyOlQHfg_2_0"/>
      <w:bookmarkStart w:id="1218" w:name="Tc_FmKRwhaHMEWXvivSm12Kjg_1_6"/>
      <w:bookmarkStart w:id="1219" w:name="Tc_22zPfJ_77kCxSu5LJkU1Gw_1_4"/>
      <w:bookmarkStart w:id="1220" w:name="Tc_rC0mnIMnnkap3NlCWRTlsg_1_2"/>
      <w:bookmarkStart w:id="1221" w:name="Tc_dYaAW1FU2ESgdzk0KELdlQ_1_0"/>
      <w:bookmarkStart w:id="1222" w:name="a20LEASES_185384"/>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r>
        <w:rPr>
          <w:rFonts w:ascii="Times New Roman;Times;serif" w:hAnsi="Times New Roman;Times;serif"/>
          <w:b/>
          <w:i w:val="false"/>
          <w:caps w:val="false"/>
          <w:smallCaps w:val="false"/>
          <w:sz w:val="20"/>
        </w:rPr>
        <w:t>21.</w:t>
      </w:r>
      <w:r>
        <w:rPr>
          <w:rFonts w:ascii="Times New Roman;Times;serif" w:hAnsi="Times New Roman;Times;serif"/>
          <w:b/>
          <w:sz w:val="20"/>
        </w:rPr>
        <w:t>LEASES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Lessee accounting</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SCHMID’s lease obligations primarily relate to rights to buildings mainly for its office, R&amp;D and production premises as well as to leased vehicles. The carrying amounts of right-of-use assets recognized and the movements during the period were as follows:</w:t>
      </w:r>
    </w:p>
    <w:p>
      <w:pPr>
        <w:pStyle w:val="TextBody"/>
        <w:bidi w:val="0"/>
        <w:spacing w:before="0" w:after="0"/>
        <w:ind w:left="200" w:right="200" w:hanging="0"/>
        <w:jc w:val="left"/>
        <w:rPr/>
      </w:pPr>
      <w:r>
        <w:rPr/>
        <w:t>​</w:t>
      </w:r>
    </w:p>
    <w:tbl>
      <w:tblPr>
        <w:tblW w:w="7537" w:type="dxa"/>
        <w:jc w:val="left"/>
        <w:tblInd w:w="200" w:type="dxa"/>
        <w:tblLayout w:type="fixed"/>
        <w:tblCellMar>
          <w:top w:w="0" w:type="dxa"/>
          <w:left w:w="0" w:type="dxa"/>
          <w:bottom w:w="0" w:type="dxa"/>
          <w:right w:w="0" w:type="dxa"/>
        </w:tblCellMar>
      </w:tblPr>
      <w:tblGrid>
        <w:gridCol w:w="4141"/>
        <w:gridCol w:w="346"/>
        <w:gridCol w:w="931"/>
        <w:gridCol w:w="346"/>
        <w:gridCol w:w="691"/>
        <w:gridCol w:w="346"/>
        <w:gridCol w:w="736"/>
      </w:tblGrid>
      <w:tr>
        <w:trPr/>
        <w:tc>
          <w:tcPr>
            <w:tcW w:w="41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r>
      <w:tr>
        <w:trPr/>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629535" cy="175260"/>
                      <wp:effectExtent l="0" t="0" r="0" b="0"/>
                      <wp:wrapNone/>
                      <wp:docPr id="347" name="Frame345"/>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48"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591185" cy="175260"/>
                      <wp:effectExtent l="0" t="0" r="0" b="0"/>
                      <wp:wrapNone/>
                      <wp:docPr id="349" name="Frame34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260"/>
                      <wp:effectExtent l="0" t="0" r="0" b="0"/>
                      <wp:wrapNone/>
                      <wp:docPr id="350"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38785" cy="175260"/>
                      <wp:effectExtent l="0" t="0" r="0" b="0"/>
                      <wp:wrapNone/>
                      <wp:docPr id="351" name="Frame34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2"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67360" cy="175260"/>
                      <wp:effectExtent l="0" t="0" r="0" b="0"/>
                      <wp:wrapNone/>
                      <wp:docPr id="353" name="Frame35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346" w:type="dxa"/>
            <w:tcBorders/>
            <w:vAlign w:val="center"/>
          </w:tcPr>
          <w:p>
            <w:pPr>
              <w:pStyle w:val="TableContents"/>
              <w:bidi w:val="0"/>
              <w:spacing w:before="0" w:after="0"/>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Vehicles</w:t>
            </w:r>
          </w:p>
        </w:tc>
        <w:tc>
          <w:tcPr>
            <w:tcW w:w="346" w:type="dxa"/>
            <w:tcBorders/>
            <w:vAlign w:val="center"/>
          </w:tcPr>
          <w:p>
            <w:pPr>
              <w:pStyle w:val="TableContents"/>
              <w:bidi w:val="0"/>
              <w:spacing w:before="0" w:after="0"/>
              <w:ind w:left="0" w:right="0" w:hanging="0"/>
              <w:jc w:val="left"/>
              <w:rPr/>
            </w:pPr>
            <w:r>
              <w:rPr/>
              <w:t>  ​ ​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1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1/1/2024</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8,697</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365</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9,063</w:t>
            </w:r>
          </w:p>
        </w:tc>
      </w:tr>
      <w:tr>
        <w:trPr/>
        <w:tc>
          <w:tcPr>
            <w:tcW w:w="41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 (De-recognition) to right-of-use assets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r>
      <w:tr>
        <w:trPr/>
        <w:tc>
          <w:tcPr>
            <w:tcW w:w="41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(1,647)</w:t>
            </w:r>
          </w:p>
        </w:tc>
      </w:tr>
      <w:tr>
        <w:trPr/>
        <w:tc>
          <w:tcPr>
            <w:tcW w:w="41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differences</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41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12/31/2024</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7,253</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560</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7,812</w:t>
            </w:r>
          </w:p>
        </w:tc>
      </w:tr>
      <w:tr>
        <w:trPr/>
        <w:tc>
          <w:tcPr>
            <w:tcW w:w="41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Additions/(De-recognition) to right-of-use assets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r>
      <w:tr>
        <w:trPr/>
        <w:tc>
          <w:tcPr>
            <w:tcW w:w="41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(1,541)</w:t>
            </w:r>
          </w:p>
        </w:tc>
      </w:tr>
      <w:tr>
        <w:trPr/>
        <w:tc>
          <w:tcPr>
            <w:tcW w:w="41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differences</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41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12/31/2025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6,253</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478</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6,730</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Since 2023 SCHMID has a sale and leaseback contract with Schmid Grundstücke GmbH Co. KG, an entity controlled by Mrs. Schmid, for production facility and office buildings in Freudenstadt. The purchase price was €11,400 thousand. The lease term is 10 years with an option to extend for up to 15 additional years. A lease payment of €100 thousand (excl. VAT) is due in advance each month. As the sale and leaseback was concluded with a related party, the interest rate implicit in the lease of 6.58% was used.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For other leases SCHMID cannot readily determine the interest rate implicit in the leases, therefore, it uses its incremental borrowing rate (“IBR”) to measure lease liabilities. The IBR is the rate of interest that SCHMID would have to pay to borrow over a similar term, and with a similar security, the funds necessary to obtain an asset of a similar value to the right-of-use asset in a similar economic environment. The IBRs used by SCHMID are calculated based on the risk-free rate, individual country risk premiums of underlying country and credit spread. The weighted average IBR on December 31, 2025 is 6.76% (2024: 6.65%).</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There are no variable lease payments resulting from indexed rental payments or other variable rental components. The carrying amounts of lease liabilities and the movements during the period were as follows:</w:t>
      </w:r>
    </w:p>
    <w:p>
      <w:pPr>
        <w:pStyle w:val="TextBody"/>
        <w:bidi w:val="0"/>
        <w:spacing w:before="0" w:after="0"/>
        <w:ind w:left="200" w:right="200" w:hanging="0"/>
        <w:jc w:val="left"/>
        <w:rPr/>
      </w:pPr>
      <w:r>
        <w:rPr/>
        <w:t>​</w:t>
      </w:r>
    </w:p>
    <w:tbl>
      <w:tblPr>
        <w:tblW w:w="3993" w:type="dxa"/>
        <w:jc w:val="left"/>
        <w:tblInd w:w="200" w:type="dxa"/>
        <w:tblLayout w:type="fixed"/>
        <w:tblCellMar>
          <w:top w:w="0" w:type="dxa"/>
          <w:left w:w="0" w:type="dxa"/>
          <w:bottom w:w="0" w:type="dxa"/>
          <w:right w:w="0" w:type="dxa"/>
        </w:tblCellMar>
      </w:tblPr>
      <w:tblGrid>
        <w:gridCol w:w="2431"/>
        <w:gridCol w:w="346"/>
        <w:gridCol w:w="1216"/>
      </w:tblGrid>
      <w:tr>
        <w:trPr/>
        <w:tc>
          <w:tcPr>
            <w:tcW w:w="24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ind w:left="0" w:right="0" w:hanging="0"/>
              <w:jc w:val="left"/>
              <w:rPr>
                <w:sz w:val="4"/>
                <w:szCs w:val="4"/>
              </w:rPr>
            </w:pPr>
            <w:r>
              <w:rPr>
                <w:sz w:val="4"/>
                <w:szCs w:val="4"/>
              </w:rPr>
            </w:r>
          </w:p>
        </w:tc>
      </w:tr>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543685" cy="175260"/>
                      <wp:effectExtent l="0" t="0" r="0" b="0"/>
                      <wp:wrapNone/>
                      <wp:docPr id="354" name="Frame352"/>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710" cy="175260"/>
                      <wp:effectExtent l="0" t="0" r="0" b="0"/>
                      <wp:wrapNone/>
                      <wp:docPr id="355" name="Frame3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772160" cy="175260"/>
                      <wp:effectExtent l="0" t="0" r="0" b="0"/>
                      <wp:wrapNone/>
                      <wp:docPr id="356" name="Frame354"/>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left"/>
              <w:rPr/>
            </w:pPr>
            <w:r>
              <w:rPr/>
              <w:t>  ​ ​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 Liability</w:t>
            </w:r>
          </w:p>
        </w:tc>
      </w:tr>
      <w:tr>
        <w:trPr/>
        <w:tc>
          <w:tcPr>
            <w:tcW w:w="243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1/1/2024</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10,886</w:t>
            </w:r>
          </w:p>
        </w:tc>
      </w:tr>
      <w:tr>
        <w:trPr/>
        <w:tc>
          <w:tcPr>
            <w:tcW w:w="24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Additions</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r>
      <w:tr>
        <w:trPr/>
        <w:tc>
          <w:tcPr>
            <w:tcW w:w="24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w:t>
            </w:r>
          </w:p>
        </w:tc>
      </w:tr>
      <w:tr>
        <w:trPr/>
        <w:tc>
          <w:tcPr>
            <w:tcW w:w="24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Payments</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(2,184)</w:t>
            </w:r>
          </w:p>
        </w:tc>
      </w:tr>
      <w:tr>
        <w:trPr/>
        <w:tc>
          <w:tcPr>
            <w:tcW w:w="24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Foreign exchange difference</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243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12/31/2024</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9,694</w:t>
            </w:r>
          </w:p>
        </w:tc>
      </w:tr>
      <w:tr>
        <w:trPr/>
        <w:tc>
          <w:tcPr>
            <w:tcW w:w="24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Additions</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r>
      <w:tr>
        <w:trPr/>
        <w:tc>
          <w:tcPr>
            <w:tcW w:w="24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w:t>
            </w:r>
          </w:p>
        </w:tc>
      </w:tr>
      <w:tr>
        <w:trPr/>
        <w:tc>
          <w:tcPr>
            <w:tcW w:w="24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Payments</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(2,098)</w:t>
            </w:r>
          </w:p>
        </w:tc>
      </w:tr>
      <w:tr>
        <w:trPr/>
        <w:tc>
          <w:tcPr>
            <w:tcW w:w="24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Foreign exchange difference</w:t>
            </w:r>
          </w:p>
        </w:tc>
        <w:tc>
          <w:tcPr>
            <w:tcW w:w="346" w:type="dxa"/>
            <w:tcBorders/>
            <w:vAlign w:val="center"/>
          </w:tcPr>
          <w:p>
            <w:pPr>
              <w:pStyle w:val="TableContents"/>
              <w:bidi w:val="0"/>
              <w:spacing w:before="0" w:after="0"/>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243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12/31/2025</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8,550</w:t>
            </w:r>
          </w:p>
        </w:tc>
      </w:tr>
    </w:tbl>
    <w:p>
      <w:pPr>
        <w:pStyle w:val="TextBody"/>
        <w:bidi w:val="0"/>
        <w:spacing w:before="0" w:after="0"/>
        <w:ind w:left="200" w:right="200" w:hanging="0"/>
        <w:jc w:val="left"/>
        <w:rPr/>
      </w:pPr>
      <w:r>
        <w:rPr/>
        <w: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consolidated statement of profit or loss and other comprehensive income (loss) included the following amounts of lease related expense:</w:t>
      </w:r>
    </w:p>
    <w:p>
      <w:pPr>
        <w:pStyle w:val="TextBody"/>
        <w:bidi w:val="0"/>
        <w:spacing w:before="0" w:after="0"/>
        <w:ind w:left="200" w:right="200" w:hanging="0"/>
        <w:jc w:val="left"/>
        <w:rPr/>
      </w:pPr>
      <w:r>
        <w:rPr/>
        <w:t>​</w:t>
      </w:r>
    </w:p>
    <w:tbl>
      <w:tblPr>
        <w:tblW w:w="6085" w:type="dxa"/>
        <w:jc w:val="left"/>
        <w:tblInd w:w="200" w:type="dxa"/>
        <w:tblLayout w:type="fixed"/>
        <w:tblCellMar>
          <w:top w:w="0" w:type="dxa"/>
          <w:left w:w="0" w:type="dxa"/>
          <w:bottom w:w="0" w:type="dxa"/>
          <w:right w:w="0" w:type="dxa"/>
        </w:tblCellMar>
      </w:tblPr>
      <w:tblGrid>
        <w:gridCol w:w="3166"/>
        <w:gridCol w:w="346"/>
        <w:gridCol w:w="691"/>
        <w:gridCol w:w="109"/>
        <w:gridCol w:w="691"/>
        <w:gridCol w:w="346"/>
        <w:gridCol w:w="736"/>
      </w:tblGrid>
      <w:tr>
        <w:trPr/>
        <w:tc>
          <w:tcPr>
            <w:tcW w:w="3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r>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10410" cy="175260"/>
                      <wp:effectExtent l="0" t="0" r="0" b="0"/>
                      <wp:wrapNone/>
                      <wp:docPr id="357" name="Frame355"/>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19710" cy="175260"/>
                      <wp:effectExtent l="0" t="0" r="0" b="0"/>
                      <wp:wrapNone/>
                      <wp:docPr id="358"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38785" cy="175260"/>
                      <wp:effectExtent l="0" t="0" r="0" b="0"/>
                      <wp:wrapNone/>
                      <wp:docPr id="359" name="Frame35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9215" cy="175260"/>
                      <wp:effectExtent l="0" t="0" r="0" b="0"/>
                      <wp:wrapNone/>
                      <wp:docPr id="360" name="Frame3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438785" cy="175260"/>
                      <wp:effectExtent l="0" t="0" r="0" b="0"/>
                      <wp:wrapNone/>
                      <wp:docPr id="361" name="Frame35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2"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467360" cy="175260"/>
                      <wp:effectExtent l="0" t="0" r="0" b="0"/>
                      <wp:wrapNone/>
                      <wp:docPr id="363" name="Frame36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1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Depreciation of right of-use assets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(1,540)</w:t>
            </w:r>
          </w:p>
        </w:tc>
        <w:tc>
          <w:tcPr>
            <w:tcW w:w="109"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(1,649)</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r>
      <w:tr>
        <w:trPr/>
        <w:tc>
          <w:tcPr>
            <w:tcW w:w="31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expense on lease liabilities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31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Short-term lease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109"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r>
      <w:tr>
        <w:trPr/>
        <w:tc>
          <w:tcPr>
            <w:tcW w:w="31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Lease expenses for low-value assets</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109"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16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amount recognized in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(2,490)</w:t>
            </w:r>
          </w:p>
        </w:tc>
        <w:tc>
          <w:tcPr>
            <w:tcW w:w="109"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(2,701)</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(1,273)</w:t>
            </w:r>
          </w:p>
        </w:tc>
      </w:tr>
    </w:tbl>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firstLine="360"/>
        <w:jc w:val="left"/>
        <w:rPr>
          <w:rFonts w:ascii="Times New Roman;Times;serif" w:hAnsi="Times New Roman;Times;serif"/>
          <w:sz w:val="20"/>
        </w:rPr>
      </w:pPr>
      <w:bookmarkStart w:id="1223" w:name="Tc_5PEK4ReOx0CGFuCG1EjGTw_8_0"/>
      <w:bookmarkStart w:id="1224" w:name="Tc_xzfsprPWuESdTSsVsFrjXQ_7_0"/>
      <w:bookmarkStart w:id="1225" w:name="Tc_PTvzLt6FOU-rHganEV6Kgg_6_0"/>
      <w:bookmarkStart w:id="1226" w:name="Tc_dOjS6hD48EqDWKE_ygzRpg_5_0"/>
      <w:bookmarkStart w:id="1227" w:name="Tc_TxPN5gw2FE21VeopVvBA1g_4_0"/>
      <w:bookmarkStart w:id="1228" w:name="Tc_tYfNCUvmnkihvokP2u35RQ_3_0"/>
      <w:bookmarkStart w:id="1229" w:name="Tc_djy_IXBVU06LkW58XmyCGA_2_0"/>
      <w:bookmarkStart w:id="1230" w:name="Tc_Kr0sFyO1ikSzuF12FMMFpA_1_4"/>
      <w:bookmarkStart w:id="1231" w:name="Tc_fSBFyJdF20iZVVNGeTUrYw_1_2"/>
      <w:bookmarkStart w:id="1232" w:name="Tc_zRk4eKheoEapd8EkBeN_kg_1_0"/>
      <w:bookmarkStart w:id="1233" w:name="Tc_JA4lFDrIu0SHjdYjSOo4kg_5_0"/>
      <w:bookmarkStart w:id="1234" w:name="Tc_wMLicLLpFEaQpYoZjfmC2w_4_0"/>
      <w:bookmarkStart w:id="1235" w:name="Tc_xcyS0rgHOU6hA6HaCS4W8Q_3_0"/>
      <w:bookmarkStart w:id="1236" w:name="Tc_8dxVEDzHt0uPm0yZK7BEZw_2_0"/>
      <w:bookmarkStart w:id="1237" w:name="Tc__6Xp39cvwE6QZE_xxE-QCQ_1_6"/>
      <w:bookmarkStart w:id="1238" w:name="Tc_jWViJ6nUyEKLoNW4sPnAIg_1_4"/>
      <w:bookmarkStart w:id="1239" w:name="Tc_ZbTui99dUEaKGsdVKlO-Yw_1_2"/>
      <w:bookmarkStart w:id="1240" w:name="Tc_HvOO-yuRukmE2fR_1oX0GA_1_0"/>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r>
        <w:rPr>
          <w:rFonts w:ascii="Times New Roman;Times;serif" w:hAnsi="Times New Roman;Times;serif"/>
          <w:sz w:val="20"/>
        </w:rPr>
        <w:t>The below table provides information on the total cash outflow from all leases during the year:</w:t>
      </w:r>
    </w:p>
    <w:p>
      <w:pPr>
        <w:pStyle w:val="TextBody"/>
        <w:bidi w:val="0"/>
        <w:spacing w:before="0" w:after="0"/>
        <w:ind w:left="200" w:right="200" w:hanging="0"/>
        <w:jc w:val="left"/>
        <w:rPr/>
      </w:pPr>
      <w:r>
        <w:rPr/>
        <w:t>​</w:t>
      </w:r>
    </w:p>
    <w:tbl>
      <w:tblPr>
        <w:tblW w:w="5590" w:type="dxa"/>
        <w:jc w:val="left"/>
        <w:tblInd w:w="200" w:type="dxa"/>
        <w:tblLayout w:type="fixed"/>
        <w:tblCellMar>
          <w:top w:w="0" w:type="dxa"/>
          <w:left w:w="0" w:type="dxa"/>
          <w:bottom w:w="0" w:type="dxa"/>
          <w:right w:w="0" w:type="dxa"/>
        </w:tblCellMar>
      </w:tblPr>
      <w:tblGrid>
        <w:gridCol w:w="2671"/>
        <w:gridCol w:w="346"/>
        <w:gridCol w:w="691"/>
        <w:gridCol w:w="109"/>
        <w:gridCol w:w="691"/>
        <w:gridCol w:w="346"/>
        <w:gridCol w:w="736"/>
      </w:tblGrid>
      <w:tr>
        <w:trPr/>
        <w:tc>
          <w:tcPr>
            <w:tcW w:w="26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r>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696085" cy="175260"/>
                      <wp:effectExtent l="0" t="0" r="0" b="0"/>
                      <wp:wrapNone/>
                      <wp:docPr id="364" name="Frame362"/>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5"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38785" cy="175260"/>
                      <wp:effectExtent l="0" t="0" r="0" b="0"/>
                      <wp:wrapNone/>
                      <wp:docPr id="366" name="Frame36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9215" cy="175260"/>
                      <wp:effectExtent l="0" t="0" r="0" b="0"/>
                      <wp:wrapNone/>
                      <wp:docPr id="367" name="Frame3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438785" cy="175260"/>
                      <wp:effectExtent l="0" t="0" r="0" b="0"/>
                      <wp:wrapNone/>
                      <wp:docPr id="368" name="Frame36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69" name="Frame3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467360" cy="175260"/>
                      <wp:effectExtent l="0" t="0" r="0" b="0"/>
                      <wp:wrapNone/>
                      <wp:docPr id="370" name="Frame36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67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paid</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w:t>
            </w:r>
          </w:p>
        </w:tc>
        <w:tc>
          <w:tcPr>
            <w:tcW w:w="109"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w:t>
            </w:r>
          </w:p>
        </w:tc>
      </w:tr>
      <w:tr>
        <w:trPr/>
        <w:tc>
          <w:tcPr>
            <w:tcW w:w="26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paid</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267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Short term and low value leases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109"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r>
      <w:tr>
        <w:trPr/>
        <w:tc>
          <w:tcPr>
            <w:tcW w:w="267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amount paid</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(2,462)</w:t>
            </w:r>
          </w:p>
        </w:tc>
        <w:tc>
          <w:tcPr>
            <w:tcW w:w="109"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(2,596)</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(1,209)</w:t>
            </w:r>
          </w:p>
        </w:tc>
      </w:tr>
    </w:tbl>
    <w:p>
      <w:pPr>
        <w:pStyle w:val="TextBody"/>
        <w:bidi w:val="0"/>
        <w:spacing w:before="0" w:after="0"/>
        <w:ind w:left="200" w:right="200" w:hanging="0"/>
        <w:jc w:val="left"/>
        <w:rPr/>
      </w:pPr>
      <w:r>
        <w:rPr/>
        <w: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below table shows a maturity analysis of undiscounted lease payments for which a right-of-use asset and lease liability were recognized:</w:t>
      </w:r>
    </w:p>
    <w:p>
      <w:pPr>
        <w:pStyle w:val="TextBody"/>
        <w:bidi w:val="0"/>
        <w:spacing w:before="0" w:after="0"/>
        <w:ind w:left="200" w:right="200" w:hanging="0"/>
        <w:jc w:val="left"/>
        <w:rPr/>
      </w:pPr>
      <w:r>
        <w:rPr/>
        <w:t>​</w:t>
      </w:r>
    </w:p>
    <w:tbl>
      <w:tblPr>
        <w:tblW w:w="8000" w:type="dxa"/>
        <w:jc w:val="left"/>
        <w:tblInd w:w="200" w:type="dxa"/>
        <w:tblLayout w:type="fixed"/>
        <w:tblCellMar>
          <w:top w:w="0" w:type="dxa"/>
          <w:left w:w="0" w:type="dxa"/>
          <w:bottom w:w="0" w:type="dxa"/>
          <w:right w:w="0" w:type="dxa"/>
        </w:tblCellMar>
      </w:tblPr>
      <w:tblGrid>
        <w:gridCol w:w="4261"/>
        <w:gridCol w:w="346"/>
        <w:gridCol w:w="1501"/>
        <w:gridCol w:w="346"/>
        <w:gridCol w:w="1546"/>
      </w:tblGrid>
      <w:tr>
        <w:trPr/>
        <w:tc>
          <w:tcPr>
            <w:tcW w:w="42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ind w:left="0" w:right="0" w:hanging="0"/>
              <w:jc w:val="left"/>
              <w:rPr>
                <w:sz w:val="4"/>
                <w:szCs w:val="4"/>
              </w:rPr>
            </w:pPr>
            <w:r>
              <w:rPr>
                <w:sz w:val="4"/>
                <w:szCs w:val="4"/>
              </w:rPr>
            </w:r>
          </w:p>
        </w:tc>
      </w:tr>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705735" cy="175260"/>
                      <wp:effectExtent l="0" t="0" r="0" b="0"/>
                      <wp:wrapNone/>
                      <wp:docPr id="371" name="Frame369"/>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2" name="Frame3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953135" cy="175260"/>
                      <wp:effectExtent l="0" t="0" r="0" b="0"/>
                      <wp:wrapNone/>
                      <wp:docPr id="373" name="Frame371"/>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19710" cy="175260"/>
                      <wp:effectExtent l="0" t="0" r="0" b="0"/>
                      <wp:wrapNone/>
                      <wp:docPr id="374"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981710" cy="175260"/>
                      <wp:effectExtent l="0" t="0" r="0" b="0"/>
                      <wp:wrapNone/>
                      <wp:docPr id="375" name="Frame373"/>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  ​ ​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  ​ ​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4261" w:type="dxa"/>
            <w:tcBorders/>
            <w:shd w:fill="CCEEFF" w:val="clear"/>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1 year</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1,902</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2,029</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&gt; 1 ≤ 2 years</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&gt; 2 ≤ 5 years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3,733</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3,778</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&gt; 5 years</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4,800</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lease liabilities – minimum lease payments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10,688</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12,361</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and foreign currency effects</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(2,138)</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(2,667)</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Present value of the 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8,550</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9,694</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Lessor accounting</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 part of the office and laboratories buildings located at the headquarter are leased to a related party under an operating lease with rent payable on a monthly basis. Lease income from the operating lease where SCHMID is a lessor is recognized in other income on a straight-line basis over the lease term. The lease income per month amounts to €10 thousand and does not include variable lease payments that depend on an index or rate. The lease contract was fixed until March 31, 2022 and is automatically renewed each year for another 12 months if none of the parties terminates the agreement. As a result, the minimum lease payments to be received are €115 thousand in 2025 (2024 : €115 thousand, 2023: €115 thousand). The asset underlying the lease contract is included in property, plant and equipment.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In addition, SCHMID is party to a sublease contract for an office building. SCHMID leases the office from a third party and subleases it to a related party. The lease-out is categorized as operating lease and has an indefinite lease term with a termination option for both parties of six months. The lease income per month amounts to €3 thousand and does not include variable lease payments that depend on an index or rate.</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bookmarkStart w:id="1241" w:name="a21FINANCIALASSETS_434062"/>
      <w:bookmarkEnd w:id="1241"/>
      <w:r>
        <w:rPr>
          <w:rFonts w:ascii="Times New Roman;Times;serif" w:hAnsi="Times New Roman;Times;serif"/>
          <w:b/>
          <w:i w:val="false"/>
          <w:caps w:val="false"/>
          <w:smallCaps w:val="false"/>
          <w:sz w:val="20"/>
        </w:rPr>
        <w:t>22.</w:t>
      </w:r>
      <w:r>
        <w:rPr>
          <w:rFonts w:ascii="Times New Roman;Times;serif" w:hAnsi="Times New Roman;Times;serif"/>
          <w:b/>
          <w:sz w:val="20"/>
        </w:rPr>
        <w:t>FINANCIAL ASSETS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August 2025, outstanding receivables of €7,833 thousand against Christian Schmid and Schmid Verwaltungs GmbH were settled through the transfer of shares in Group14 Technologies Inc, a company that develops and manufactures silicon</w:t>
        <w:noBreakHyphen/>
        <w:t>carbon anode technology for lithium</w:t>
        <w:noBreakHyphen/>
        <w:t>ion batteries used in electric vehicles, consumer electronics, and energy storage. Group14 Technologies Inc is a private company. The Company used publicly available data to derive an assumption for the fair value of the shares as of December 31, 2025. The fair value of the shares transferred were €8,584 thousand and exceeded the value of the receivable by €751 thousand. Such difference was recorded as an increase to capital reserves in the consolidated statement of changes in equity. As of December 31, 2025 the fair value of the shares is €8,478 thousand.</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Also included in financial assets is a derivative resulting from the XJ Harbour Set-off agreement amounting to €7,713 thousand. For more detailed information refer to note 29. Non-current and current financial liabilities.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left"/>
        <w:rPr>
          <w:rFonts w:ascii="Times New Roman;Times;serif" w:hAnsi="Times New Roman;Times;serif"/>
          <w:b/>
          <w:sz w:val="20"/>
        </w:rPr>
      </w:pPr>
      <w:bookmarkStart w:id="1242" w:name="Tc_boD_C417ZUCNnYK31VftHQ_5_0"/>
      <w:bookmarkStart w:id="1243" w:name="Tc_-EYSATNEp0uDg9imfxlMXQ_4_0"/>
      <w:bookmarkStart w:id="1244" w:name="Tc_XUzPY6o0vketsdTE2FWrOg_3_0"/>
      <w:bookmarkStart w:id="1245" w:name="Tc_6hJcLcdRKEKad-s-ikRQHg_2_0"/>
      <w:bookmarkStart w:id="1246" w:name="Tc_dr2_nuDt60KnAlSnEzbLOg_1_4"/>
      <w:bookmarkStart w:id="1247" w:name="Tc_kX1mVjE2W0eYm_sPReQp_w_1_2"/>
      <w:bookmarkStart w:id="1248" w:name="Tc_aW3sR78XrUG2B817zqxT1w_1_0"/>
      <w:bookmarkStart w:id="1249" w:name="a22INVENTORIES_206444"/>
      <w:bookmarkEnd w:id="1242"/>
      <w:bookmarkEnd w:id="1243"/>
      <w:bookmarkEnd w:id="1244"/>
      <w:bookmarkEnd w:id="1245"/>
      <w:bookmarkEnd w:id="1246"/>
      <w:bookmarkEnd w:id="1247"/>
      <w:bookmarkEnd w:id="1248"/>
      <w:bookmarkEnd w:id="1249"/>
      <w:r>
        <w:rPr>
          <w:rFonts w:ascii="Times New Roman;Times;serif" w:hAnsi="Times New Roman;Times;serif"/>
          <w:b/>
          <w:i w:val="false"/>
          <w:caps w:val="false"/>
          <w:smallCaps w:val="false"/>
          <w:sz w:val="20"/>
        </w:rPr>
        <w:t>23.</w:t>
      </w:r>
      <w:r>
        <w:rPr>
          <w:rFonts w:ascii="Times New Roman;Times;serif" w:hAnsi="Times New Roman;Times;serif"/>
          <w:b/>
          <w:sz w:val="20"/>
        </w:rPr>
        <w:t>INVENTORIES</w:t>
      </w:r>
    </w:p>
    <w:p>
      <w:pPr>
        <w:pStyle w:val="TextBody"/>
        <w:bidi w:val="0"/>
        <w:spacing w:before="0" w:after="0"/>
        <w:ind w:left="200" w:right="200" w:hanging="0"/>
        <w:jc w:val="left"/>
        <w:rPr/>
      </w:pPr>
      <w:r>
        <w:rPr/>
        <w:t>​</w:t>
      </w:r>
    </w:p>
    <w:tbl>
      <w:tblPr>
        <w:tblW w:w="4895" w:type="dxa"/>
        <w:jc w:val="left"/>
        <w:tblInd w:w="200" w:type="dxa"/>
        <w:tblLayout w:type="fixed"/>
        <w:tblCellMar>
          <w:top w:w="0" w:type="dxa"/>
          <w:left w:w="0" w:type="dxa"/>
          <w:bottom w:w="0" w:type="dxa"/>
          <w:right w:w="0" w:type="dxa"/>
        </w:tblCellMar>
      </w:tblPr>
      <w:tblGrid>
        <w:gridCol w:w="2326"/>
        <w:gridCol w:w="346"/>
        <w:gridCol w:w="916"/>
        <w:gridCol w:w="346"/>
        <w:gridCol w:w="961"/>
      </w:tblGrid>
      <w:tr>
        <w:trPr/>
        <w:tc>
          <w:tcPr>
            <w:tcW w:w="23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r>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477010" cy="175260"/>
                      <wp:effectExtent l="0" t="0" r="0" b="0"/>
                      <wp:wrapNone/>
                      <wp:docPr id="376" name="Frame374"/>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77" name="Frame3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581660" cy="175260"/>
                      <wp:effectExtent l="0" t="0" r="0" b="0"/>
                      <wp:wrapNone/>
                      <wp:docPr id="378" name="Frame37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79" name="Frame3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10235" cy="175260"/>
                      <wp:effectExtent l="0" t="0" r="0" b="0"/>
                      <wp:wrapNone/>
                      <wp:docPr id="380" name="Frame37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12/31/2025</w:t>
            </w:r>
          </w:p>
        </w:tc>
        <w:tc>
          <w:tcPr>
            <w:tcW w:w="346" w:type="dxa"/>
            <w:tcBorders/>
            <w:vAlign w:val="center"/>
          </w:tcPr>
          <w:p>
            <w:pPr>
              <w:pStyle w:val="TableContents"/>
              <w:bidi w:val="0"/>
              <w:spacing w:before="0" w:after="0"/>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12/31/2024</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 and supplies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3,543</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4,136</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progress</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9,147</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6,317</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5,423</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5,281</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Inventories</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18,112</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15,734</w:t>
            </w:r>
          </w:p>
        </w:tc>
      </w:tr>
    </w:tbl>
    <w:p>
      <w:pPr>
        <w:pStyle w:val="TextBody"/>
        <w:bidi w:val="0"/>
        <w:spacing w:before="0" w:after="0"/>
        <w:ind w:left="200" w:right="200" w:hanging="0"/>
        <w:jc w:val="left"/>
        <w:rPr/>
      </w:pPr>
      <w:r>
        <w:rPr/>
        <w: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In fiscal year 2025, write-downs of €1,847 thousand (2024: €538 thousand, 2023: €1,052 thousand) were recognized. Total reversals of impairment losses amounted to €1,073 thousand in the fiscal year 2025 (2024: €0 thousand, 2023: €83 thousand). The amount of inventories recognized as an expense (Cost of sales) during 2025 is €23,221 thousand (2024: €15,507 thousand, 2023: €25,026 thousand.</w:t>
      </w:r>
    </w:p>
    <w:p>
      <w:pPr>
        <w:pStyle w:val="TextBody"/>
        <w:bidi w:val="0"/>
        <w:spacing w:before="0" w:after="0"/>
        <w:ind w:left="200" w:right="200" w:hanging="0"/>
        <w:jc w:val="left"/>
        <w:rPr/>
      </w:pPr>
      <w:r>
        <w:rPr/>
        <w:t>​</w:t>
      </w:r>
    </w:p>
    <w:p>
      <w:pPr>
        <w:pStyle w:val="TextBody"/>
        <w:bidi w:val="0"/>
        <w:spacing w:before="0" w:after="0"/>
        <w:ind w:left="200" w:right="200" w:hanging="0"/>
        <w:jc w:val="left"/>
        <w:rPr>
          <w:rFonts w:ascii="Times New Roman;Times;serif" w:hAnsi="Times New Roman;Times;serif"/>
          <w:b/>
          <w:sz w:val="20"/>
        </w:rPr>
      </w:pPr>
      <w:bookmarkStart w:id="1250" w:name="Tc_5WuEPRf25kKI_Bvy_EtTLA_6_0"/>
      <w:bookmarkStart w:id="1251" w:name="Tc_TNBABBXMN02nADO6a37Geg_5_0"/>
      <w:bookmarkStart w:id="1252" w:name="Tc_lcwZ67hbjESAEytu6JagUg_4_2"/>
      <w:bookmarkStart w:id="1253" w:name="Tc_JDVR6mYGhE2i1l9L99E91Q_4_0"/>
      <w:bookmarkStart w:id="1254" w:name="Tc_dEVM368b7kmHqQdoeDa9yA_3_0"/>
      <w:bookmarkStart w:id="1255" w:name="Tc_uR04tmGC9kOsZ8Gd6OtN7Q_2_0"/>
      <w:bookmarkStart w:id="1256" w:name="Tc_FN97k5XyO0aNPV_7HEOLOQ_1_4"/>
      <w:bookmarkStart w:id="1257" w:name="Tc_KFE6ck0hLEKFXXZnrqkwWg_1_2"/>
      <w:bookmarkStart w:id="1258" w:name="Tc_prLvlbqRE0yyANjQJ_EUKA_1_0"/>
      <w:bookmarkStart w:id="1259" w:name="a23TRADERECEIVABLESANDOTHERRECEIVABLES_1"/>
      <w:bookmarkEnd w:id="1250"/>
      <w:bookmarkEnd w:id="1251"/>
      <w:bookmarkEnd w:id="1252"/>
      <w:bookmarkEnd w:id="1253"/>
      <w:bookmarkEnd w:id="1254"/>
      <w:bookmarkEnd w:id="1255"/>
      <w:bookmarkEnd w:id="1256"/>
      <w:bookmarkEnd w:id="1257"/>
      <w:bookmarkEnd w:id="1258"/>
      <w:bookmarkEnd w:id="1259"/>
      <w:r>
        <w:rPr>
          <w:rFonts w:ascii="Times New Roman;Times;serif" w:hAnsi="Times New Roman;Times;serif"/>
          <w:b/>
          <w:i w:val="false"/>
          <w:caps w:val="false"/>
          <w:smallCaps w:val="false"/>
          <w:sz w:val="20"/>
        </w:rPr>
        <w:t>24.</w:t>
      </w:r>
      <w:r>
        <w:rPr>
          <w:rFonts w:ascii="Times New Roman;Times;serif" w:hAnsi="Times New Roman;Times;serif"/>
          <w:b/>
          <w:sz w:val="20"/>
        </w:rPr>
        <w:t>TRADE RECEIVABLES AND OTHER RECEIVABLES</w:t>
      </w:r>
    </w:p>
    <w:p>
      <w:pPr>
        <w:pStyle w:val="TextBody"/>
        <w:bidi w:val="0"/>
        <w:spacing w:before="0" w:after="0"/>
        <w:ind w:left="200" w:right="200" w:hanging="0"/>
        <w:jc w:val="left"/>
        <w:rPr/>
      </w:pPr>
      <w:r>
        <w:rPr/>
        <w:t>​</w:t>
      </w:r>
    </w:p>
    <w:tbl>
      <w:tblPr>
        <w:tblW w:w="6170" w:type="dxa"/>
        <w:jc w:val="left"/>
        <w:tblInd w:w="200" w:type="dxa"/>
        <w:tblLayout w:type="fixed"/>
        <w:tblCellMar>
          <w:top w:w="0" w:type="dxa"/>
          <w:left w:w="0" w:type="dxa"/>
          <w:bottom w:w="0" w:type="dxa"/>
          <w:right w:w="0" w:type="dxa"/>
        </w:tblCellMar>
      </w:tblPr>
      <w:tblGrid>
        <w:gridCol w:w="3601"/>
        <w:gridCol w:w="346"/>
        <w:gridCol w:w="916"/>
        <w:gridCol w:w="346"/>
        <w:gridCol w:w="961"/>
      </w:tblGrid>
      <w:tr>
        <w:trPr/>
        <w:tc>
          <w:tcPr>
            <w:tcW w:w="36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r>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286635" cy="175260"/>
                      <wp:effectExtent l="0" t="0" r="0" b="0"/>
                      <wp:wrapNone/>
                      <wp:docPr id="381" name="Frame379"/>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2"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581660" cy="175260"/>
                      <wp:effectExtent l="0" t="0" r="0" b="0"/>
                      <wp:wrapNone/>
                      <wp:docPr id="383" name="Frame38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19710" cy="175260"/>
                      <wp:effectExtent l="0" t="0" r="0" b="0"/>
                      <wp:wrapNone/>
                      <wp:docPr id="384" name="Frame3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10235" cy="175260"/>
                      <wp:effectExtent l="0" t="0" r="0" b="0"/>
                      <wp:wrapNone/>
                      <wp:docPr id="385" name="Frame38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12/31/2025</w:t>
            </w:r>
          </w:p>
        </w:tc>
        <w:tc>
          <w:tcPr>
            <w:tcW w:w="346" w:type="dxa"/>
            <w:tcBorders/>
            <w:vAlign w:val="center"/>
          </w:tcPr>
          <w:p>
            <w:pPr>
              <w:pStyle w:val="TableContents"/>
              <w:bidi w:val="0"/>
              <w:spacing w:before="0" w:after="0"/>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12/31/2024</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28,865</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24,704</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Receivables from equity method investees </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4,435</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4,207</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from shareholder</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4,711</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4,599</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trade and other receivables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33,653</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38,221</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Trade receivables have a residual term of less than one year. Receivables from equity investees refer to SCHMID Avaco Korea, Co. Ltd and SCHMID Energy Systems GmbH.</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decrease in the other receivables in 2025 mainly result from the payment of the Silicon exit bonus of €4,700 thousand that was to be paid after the successful sale of the Silicon Group to the Group14. The receivables were settled through the transfer of shares in Group14 Technologies, Inc. For further information see note 25. Other Current Assets.</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bookmarkStart w:id="1260" w:name="Tc_Pf1YPxhVt0q_ofOwO6-G1A_5_0"/>
      <w:bookmarkStart w:id="1261" w:name="Tc_SKEQ9eZJBESkY9_nAkJJJA_4_0"/>
      <w:bookmarkStart w:id="1262" w:name="Tc_ON52jygZiUyRx03zRwV3Pg_3_0"/>
      <w:bookmarkStart w:id="1263" w:name="Tc_Rzh0zAAFIEigBMlxuj-moA_2_0"/>
      <w:bookmarkStart w:id="1264" w:name="Tc_48E0AZpOR0-cQjmBm6h77w_1_4"/>
      <w:bookmarkStart w:id="1265" w:name="Tc_u6mNfzm-10exARxyYpQNpQ_1_2"/>
      <w:bookmarkStart w:id="1266" w:name="Tc_yf3uYHiPXUSa2UyvuGPAGg_1_0"/>
      <w:bookmarkStart w:id="1267" w:name="a24OTHERCURRENTASSETS_991601"/>
      <w:bookmarkEnd w:id="1260"/>
      <w:bookmarkEnd w:id="1261"/>
      <w:bookmarkEnd w:id="1262"/>
      <w:bookmarkEnd w:id="1263"/>
      <w:bookmarkEnd w:id="1264"/>
      <w:bookmarkEnd w:id="1265"/>
      <w:bookmarkEnd w:id="1266"/>
      <w:bookmarkEnd w:id="1267"/>
      <w:r>
        <w:rPr>
          <w:rFonts w:ascii="Times New Roman;Times;serif" w:hAnsi="Times New Roman;Times;serif"/>
          <w:b/>
          <w:i w:val="false"/>
          <w:caps w:val="false"/>
          <w:smallCaps w:val="false"/>
          <w:sz w:val="20"/>
        </w:rPr>
        <w:t>25.</w:t>
      </w:r>
      <w:r>
        <w:rPr>
          <w:rFonts w:ascii="Times New Roman;Times;serif" w:hAnsi="Times New Roman;Times;serif"/>
          <w:b/>
          <w:sz w:val="20"/>
        </w:rPr>
        <w:t>OTHER CURRENT ASSETS</w:t>
      </w:r>
    </w:p>
    <w:p>
      <w:pPr>
        <w:pStyle w:val="TextBody"/>
        <w:bidi w:val="0"/>
        <w:spacing w:before="0" w:after="0"/>
        <w:ind w:left="200" w:right="200" w:hanging="0"/>
        <w:jc w:val="both"/>
        <w:rPr>
          <w:rFonts w:ascii="Times New Roman;Times;serif" w:hAnsi="Times New Roman;Times;serif"/>
          <w:sz w:val="20"/>
        </w:rPr>
      </w:pPr>
      <w:r>
        <w:rPr>
          <w:rFonts w:ascii="Times New Roman;Times;serif" w:hAnsi="Times New Roman;Times;serif"/>
          <w:sz w:val="20"/>
        </w:rPr>
        <w:t>Other current non-financial assets are as follows:</w:t>
      </w:r>
    </w:p>
    <w:p>
      <w:pPr>
        <w:pStyle w:val="TextBody"/>
        <w:bidi w:val="0"/>
        <w:spacing w:before="0" w:after="0"/>
        <w:ind w:left="200" w:right="200" w:hanging="0"/>
        <w:jc w:val="left"/>
        <w:rPr/>
      </w:pPr>
      <w:r>
        <w:rPr/>
        <w:t>​</w:t>
      </w:r>
    </w:p>
    <w:tbl>
      <w:tblPr>
        <w:tblW w:w="6020" w:type="dxa"/>
        <w:jc w:val="left"/>
        <w:tblInd w:w="200" w:type="dxa"/>
        <w:tblLayout w:type="fixed"/>
        <w:tblCellMar>
          <w:top w:w="0" w:type="dxa"/>
          <w:left w:w="0" w:type="dxa"/>
          <w:bottom w:w="0" w:type="dxa"/>
          <w:right w:w="0" w:type="dxa"/>
        </w:tblCellMar>
      </w:tblPr>
      <w:tblGrid>
        <w:gridCol w:w="3451"/>
        <w:gridCol w:w="346"/>
        <w:gridCol w:w="916"/>
        <w:gridCol w:w="346"/>
        <w:gridCol w:w="961"/>
      </w:tblGrid>
      <w:tr>
        <w:trPr/>
        <w:tc>
          <w:tcPr>
            <w:tcW w:w="34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191385" cy="175260"/>
                      <wp:effectExtent l="0" t="0" r="0" b="0"/>
                      <wp:wrapNone/>
                      <wp:docPr id="386" name="Frame384"/>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19710" cy="175260"/>
                      <wp:effectExtent l="0" t="0" r="0" b="0"/>
                      <wp:wrapNone/>
                      <wp:docPr id="387" name="Frame3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581660" cy="175260"/>
                      <wp:effectExtent l="0" t="0" r="0" b="0"/>
                      <wp:wrapNone/>
                      <wp:docPr id="388" name="Frame38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19710" cy="175260"/>
                      <wp:effectExtent l="0" t="0" r="0" b="0"/>
                      <wp:wrapNone/>
                      <wp:docPr id="389" name="Frame3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10235" cy="175260"/>
                      <wp:effectExtent l="0" t="0" r="0" b="0"/>
                      <wp:wrapNone/>
                      <wp:docPr id="390" name="Frame38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12/31/2025</w:t>
            </w:r>
          </w:p>
        </w:tc>
        <w:tc>
          <w:tcPr>
            <w:tcW w:w="346" w:type="dxa"/>
            <w:tcBorders/>
            <w:vAlign w:val="center"/>
          </w:tcPr>
          <w:p>
            <w:pPr>
              <w:pStyle w:val="TableContents"/>
              <w:bidi w:val="0"/>
              <w:spacing w:before="0" w:after="0"/>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12/31/2024</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2,021</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1,899</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 payments on inventories</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1,897</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current non-financial assets</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3,918</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3,054</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Restricted cash refers to bank accounts that are used as securities for customer prepayments, mainly in China. Changes within the restricted cash have been disclosed within the operating cashflow.</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As of December 31, 2025, the prepaid expenses mainly comprise prepaid expenses for insurance expenses of €1,617 thousand (December 31, 2024: €1,500 thousand).</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bookmarkStart w:id="1268" w:name="a25CASHCASHEQUIVALENTS_766295"/>
      <w:bookmarkEnd w:id="1268"/>
      <w:r>
        <w:rPr>
          <w:rFonts w:ascii="Times New Roman;Times;serif" w:hAnsi="Times New Roman;Times;serif"/>
          <w:b/>
          <w:i w:val="false"/>
          <w:caps w:val="false"/>
          <w:smallCaps w:val="false"/>
          <w:sz w:val="20"/>
        </w:rPr>
        <w:t>26.</w:t>
      </w:r>
      <w:r>
        <w:rPr>
          <w:rFonts w:ascii="Times New Roman;Times;serif" w:hAnsi="Times New Roman;Times;serif"/>
          <w:b/>
          <w:sz w:val="20"/>
        </w:rPr>
        <w:t>CASH &amp; CASH EQUIVALENTS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Cash and cash equivalents include cash as well as deposits on bank accounts amounting to €1,574 thousand as of December 31, 2025 (December 31, 2024: €3,791 thousand).</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bookmarkStart w:id="1269" w:name="a26EQUITY_210891"/>
      <w:bookmarkEnd w:id="1269"/>
      <w:r>
        <w:rPr>
          <w:rFonts w:ascii="Times New Roman;Times;serif" w:hAnsi="Times New Roman;Times;serif"/>
          <w:b/>
          <w:i w:val="false"/>
          <w:caps w:val="false"/>
          <w:smallCaps w:val="false"/>
          <w:sz w:val="20"/>
        </w:rPr>
        <w:t>27.</w:t>
      </w:r>
      <w:r>
        <w:rPr>
          <w:rFonts w:ascii="Times New Roman;Times;serif" w:hAnsi="Times New Roman;Times;serif"/>
          <w:b/>
          <w:sz w:val="20"/>
        </w:rPr>
        <w:t>EQUITY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Ordinary Shares have a par value of €0.01. The number of authorized shares as of December 31, 2025 amounts to 66,723,559 shares and the number of outstanding shares as of December 31, 2025 amounts to 43,062,427, unchanged from December 31, 2024. The total share capital amounts to €431 thousand. The number of issued shares as of December 31, 2025 amounts to 44,135,963, including 1,073,536 shares that were issued to SCHMID Avaco Korea Co. Ltd. under an agreement but were not registered with the SEC and therefore not included in the outstanding shares. Since the shares were not registered by January 31, 2026, as provided for in the agreement, the share transaction was canceled in 2026.</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capital reserves amount to €114,980 thousand.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Other reserves comprise loss carried forward, net profit/loss for the year, remeasurement of defined benefit obligation and currency translation differences.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Non-controlling interest contains the equity, profit/loss carried forward and currency translation differences relating to the minority shareholders of SCHMID.</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bookmarkStart w:id="1270" w:name="a27NONCONTROLLINGINTEREST_233915"/>
      <w:bookmarkEnd w:id="1270"/>
      <w:r>
        <w:rPr>
          <w:rFonts w:ascii="Times New Roman;Times;serif" w:hAnsi="Times New Roman;Times;serif"/>
          <w:b/>
          <w:i w:val="false"/>
          <w:caps w:val="false"/>
          <w:smallCaps w:val="false"/>
          <w:sz w:val="20"/>
        </w:rPr>
        <w:t>28.</w:t>
      </w:r>
      <w:r>
        <w:rPr>
          <w:rFonts w:ascii="Times New Roman;Times;serif" w:hAnsi="Times New Roman;Times;serif"/>
          <w:b/>
          <w:sz w:val="20"/>
        </w:rPr>
        <w:t>NON-CONTROLLING INTEREST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Non-controlling interests relate to SCHMID Singapore Pte. Ltd. (10.00%) and SCHMID Taiwan Ltd. (13.95%).</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2024, SCHMID and XJ Harbour entered into an agreement to transfer the shares of the Company’s subsidiary SCHMID Technology (Guangdong) Co., Ltd. (STG) from XJ Harbour back to SCHMID in exchange for 1,406,361 shares in SCHMID and €30 million cash. The non-controlling interests are reduced in 2024 for the full number of shares to be transferred because SCHMID irrevocably agreed to purchase the shares from XJ Harbour. Consistent with IAS 32, the obligation was recognized as a financial liability (measured at present value of the redemption amount), with corresponding adjustment recorded in equity. Accordingly as of December 31, 2024 and December 31, 2025, no non-controlling interests are recognized in STG.</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The net assets attributable to NCI are €652 thousand (2024: €742 thousand). </w:t>
      </w:r>
    </w:p>
    <w:p>
      <w:pPr>
        <w:pStyle w:val="TextBody"/>
        <w:bidi w:val="0"/>
        <w:spacing w:before="0" w:after="0"/>
        <w:ind w:left="200" w:right="200" w:hanging="0"/>
        <w:jc w:val="left"/>
        <w:rPr/>
      </w:pPr>
      <w:r>
        <w:rPr/>
        <w:t>​</w:t>
      </w:r>
    </w:p>
    <w:p>
      <w:pPr>
        <w:pStyle w:val="TextBody"/>
        <w:bidi w:val="0"/>
        <w:spacing w:before="0" w:after="240"/>
        <w:ind w:left="200" w:right="200" w:hanging="0"/>
        <w:jc w:val="both"/>
        <w:rPr/>
      </w:pPr>
      <w:r>
        <w:rPr/>
        <w:t>​</w:t>
      </w:r>
    </w:p>
    <w:p>
      <w:pPr>
        <w:pStyle w:val="TextBody"/>
        <w:bidi w:val="0"/>
        <w:spacing w:before="0" w:after="240"/>
        <w:ind w:left="200" w:right="200" w:hanging="0"/>
        <w:jc w:val="left"/>
        <w:rPr>
          <w:rFonts w:ascii="Times New Roman;Times;serif" w:hAnsi="Times New Roman;Times;serif"/>
          <w:b/>
          <w:sz w:val="20"/>
        </w:rPr>
      </w:pPr>
      <w:bookmarkStart w:id="1271" w:name="Tc_RMdfvw5YNEGJJ3sAFwH4jA_11_0"/>
      <w:bookmarkStart w:id="1272" w:name="Tc_1Cfo8u4JPkCi5tzaXEclag_10_4"/>
      <w:bookmarkStart w:id="1273" w:name="Tc_e_ygXdzJrUuCXGsK9VSagg_10_0"/>
      <w:bookmarkStart w:id="1274" w:name="Tc_pV6LSQe8lUSMTILG7gFL-w_9_0"/>
      <w:bookmarkStart w:id="1275" w:name="Tc_f4-VCHbsqE2QBAfmBI9iOg_8_2"/>
      <w:bookmarkStart w:id="1276" w:name="Tc_2Z92f_5_pU-zhclXYxoSqg_8_0"/>
      <w:bookmarkStart w:id="1277" w:name="Tc_hSwjOroC9kCjyBqlDCZ9oQ_7_0"/>
      <w:bookmarkStart w:id="1278" w:name="Tc_0no8m7OLSUKNtG_R6-PuLw_6_0"/>
      <w:bookmarkStart w:id="1279" w:name="Tc_oWqbNmRoz0uFrLa4fkQvtg_5_0"/>
      <w:bookmarkStart w:id="1280" w:name="Tc_pFwpC-T24UmT761zVofmVQ_4_0"/>
      <w:bookmarkStart w:id="1281" w:name="Tc_x2S0kJVyRUaku7a3D1lXHg_3_4"/>
      <w:bookmarkStart w:id="1282" w:name="Tc_DfopSH28hE2Zsdd2tU9bXA_3_0"/>
      <w:bookmarkStart w:id="1283" w:name="Tc_HNMTmf5HcUe8cGVEqM7PrA_2_0"/>
      <w:bookmarkStart w:id="1284" w:name="Tc_V7TIAusZx0yJjJxPM1dpig_1_4"/>
      <w:bookmarkStart w:id="1285" w:name="Tc_D87JDtQ2MEGVVQQkxFOI0g_1_2"/>
      <w:bookmarkStart w:id="1286" w:name="Tc_IHRyNHj8OUmHL_cBLKIx6A_1_0"/>
      <w:bookmarkStart w:id="1287" w:name="_81d0bf8c_ab4a_4002_bf80_35586290a7ae"/>
      <w:bookmarkStart w:id="1288" w:name="a29NONCURRENTANDCURRENTDEBT_805004"/>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r>
        <w:rPr>
          <w:rFonts w:ascii="Times New Roman;Times;serif" w:hAnsi="Times New Roman;Times;serif"/>
          <w:b/>
          <w:i w:val="false"/>
          <w:caps w:val="false"/>
          <w:smallCaps w:val="false"/>
          <w:sz w:val="20"/>
        </w:rPr>
        <w:t>29.</w:t>
      </w:r>
      <w:r>
        <w:rPr>
          <w:rFonts w:ascii="Times New Roman;Times;serif" w:hAnsi="Times New Roman;Times;serif"/>
          <w:b/>
          <w:sz w:val="20"/>
        </w:rPr>
        <w:t>NON-CURRENT AND CURRENT FINANCIAL LIABILITIES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following table shows an overview of the financial liabilities of SCHMID as of December 31, 2025:</w:t>
      </w:r>
    </w:p>
    <w:p>
      <w:pPr>
        <w:pStyle w:val="TextBody"/>
        <w:bidi w:val="0"/>
        <w:spacing w:before="0" w:after="0"/>
        <w:ind w:left="200" w:right="200" w:hanging="0"/>
        <w:jc w:val="left"/>
        <w:rPr/>
      </w:pPr>
      <w:r>
        <w:rPr/>
        <w:t>​</w:t>
      </w:r>
    </w:p>
    <w:tbl>
      <w:tblPr>
        <w:tblW w:w="6005" w:type="dxa"/>
        <w:jc w:val="left"/>
        <w:tblInd w:w="200" w:type="dxa"/>
        <w:tblLayout w:type="fixed"/>
        <w:tblCellMar>
          <w:top w:w="0" w:type="dxa"/>
          <w:left w:w="0" w:type="dxa"/>
          <w:bottom w:w="0" w:type="dxa"/>
          <w:right w:w="0" w:type="dxa"/>
        </w:tblCellMar>
      </w:tblPr>
      <w:tblGrid>
        <w:gridCol w:w="3526"/>
        <w:gridCol w:w="346"/>
        <w:gridCol w:w="1006"/>
        <w:gridCol w:w="346"/>
        <w:gridCol w:w="781"/>
      </w:tblGrid>
      <w:tr>
        <w:trPr/>
        <w:tc>
          <w:tcPr>
            <w:tcW w:w="35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ind w:left="0" w:right="0" w:hanging="0"/>
              <w:jc w:val="left"/>
              <w:rPr>
                <w:sz w:val="4"/>
                <w:szCs w:val="4"/>
              </w:rPr>
            </w:pPr>
            <w:r>
              <w:rPr>
                <w:sz w:val="4"/>
                <w:szCs w:val="4"/>
              </w:rPr>
            </w:r>
          </w:p>
        </w:tc>
      </w:tr>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239010" cy="175260"/>
                      <wp:effectExtent l="0" t="0" r="0" b="0"/>
                      <wp:wrapNone/>
                      <wp:docPr id="391" name="Frame389"/>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19710" cy="175260"/>
                      <wp:effectExtent l="0" t="0" r="0" b="0"/>
                      <wp:wrapNone/>
                      <wp:docPr id="392" name="Frame3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38810" cy="175260"/>
                      <wp:effectExtent l="0" t="0" r="0" b="0"/>
                      <wp:wrapNone/>
                      <wp:docPr id="393" name="Frame39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9710" cy="175260"/>
                      <wp:effectExtent l="0" t="0" r="0" b="0"/>
                      <wp:wrapNone/>
                      <wp:docPr id="394"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95935" cy="175260"/>
                      <wp:effectExtent l="0" t="0" r="0" b="0"/>
                      <wp:wrapNone/>
                      <wp:docPr id="395" name="Frame39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left"/>
              <w:rPr/>
            </w:pPr>
            <w:r>
              <w:rPr/>
              <w:t>  ​ ​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Non-current</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banks</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Black forest term loan facility</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third party loans</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3,114</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shareholders</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21,000</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4,611</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other related parties</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8,634</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debt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35,965</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17,591</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Black forest term loan facility (derivative)</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5,290</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XJ Harbour Set-off agreement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9,459</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64,267</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26,094</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financial liabilities </w:t>
            </w:r>
          </w:p>
        </w:tc>
        <w:tc>
          <w:tcPr>
            <w:tcW w:w="34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71,518</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87,148</w:t>
            </w:r>
          </w:p>
        </w:tc>
      </w:tr>
    </w:tbl>
    <w:p>
      <w:pPr>
        <w:pStyle w:val="TextBody"/>
        <w:bidi w:val="0"/>
        <w:spacing w:before="0" w:after="0"/>
        <w:ind w:left="200" w:right="200" w:firstLine="36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firstLine="360"/>
        <w:jc w:val="left"/>
        <w:rPr>
          <w:rFonts w:ascii="Times New Roman;Times;serif" w:hAnsi="Times New Roman;Times;serif"/>
          <w:sz w:val="20"/>
        </w:rPr>
      </w:pPr>
      <w:bookmarkStart w:id="1289" w:name="Tc_iuTe1EuIzkG-uZQWvYfVeA_9_0"/>
      <w:bookmarkStart w:id="1290" w:name="Tc_s1NBgV5pkUOr0qyMNR7Ldg_8_4"/>
      <w:bookmarkStart w:id="1291" w:name="Tc_fdXiRut6OUSXCm7Ce4wvzA_8_0"/>
      <w:bookmarkStart w:id="1292" w:name="Tc_WnodQsgB2kGR6JGm-ZGHjg_7_0"/>
      <w:bookmarkStart w:id="1293" w:name="Tc_ecZHEGUfIE6hJyzTwYgf9Q_6_0"/>
      <w:bookmarkStart w:id="1294" w:name="Tc_UqnDfKsK-k2f2MuDLBifDA_5_0"/>
      <w:bookmarkStart w:id="1295" w:name="Tc_yBH0jEyPJUaiWtRakjQ0qQ_4_0"/>
      <w:bookmarkStart w:id="1296" w:name="Tc_y5RY0uTpd0WIglfJpa_APg_3_2"/>
      <w:bookmarkStart w:id="1297" w:name="Tc_XQqgesSXiUKS8yfhmLTtAQ_3_0"/>
      <w:bookmarkStart w:id="1298" w:name="Tc_mvNA6BqaaU-c3FhAYyl6_Q_2_2"/>
      <w:bookmarkStart w:id="1299" w:name="Tc_jscyi0hzSUuDyWCx0Vj4IA_2_0"/>
      <w:bookmarkStart w:id="1300" w:name="Tc_RZODMYTKy0Gk-BSnC-BOfQ_1_4"/>
      <w:bookmarkStart w:id="1301" w:name="Tc_jN-A621Jm0K1wyWkfklw-A_1_2"/>
      <w:bookmarkStart w:id="1302" w:name="Tc_JH9jZWHukU6-J0Df9KSvyw_1_0"/>
      <w:bookmarkStart w:id="1303" w:name="_bfb99088_4d67_4f85_aff8_1578c55699f6"/>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r>
        <w:rPr>
          <w:rFonts w:ascii="Times New Roman;Times;serif" w:hAnsi="Times New Roman;Times;serif"/>
          <w:sz w:val="20"/>
        </w:rPr>
        <w:t>The following table shows an overview of the financial liabilities of SCHMID as of December 31, 2024:</w:t>
      </w:r>
    </w:p>
    <w:p>
      <w:pPr>
        <w:pStyle w:val="TextBody"/>
        <w:bidi w:val="0"/>
        <w:spacing w:before="0" w:after="0"/>
        <w:ind w:left="200" w:right="200" w:hanging="0"/>
        <w:jc w:val="left"/>
        <w:rPr/>
      </w:pPr>
      <w:r>
        <w:rPr/>
        <w:t>​</w:t>
      </w:r>
    </w:p>
    <w:tbl>
      <w:tblPr>
        <w:tblW w:w="5450" w:type="dxa"/>
        <w:jc w:val="left"/>
        <w:tblInd w:w="200" w:type="dxa"/>
        <w:tblLayout w:type="fixed"/>
        <w:tblCellMar>
          <w:top w:w="0" w:type="dxa"/>
          <w:left w:w="0" w:type="dxa"/>
          <w:bottom w:w="0" w:type="dxa"/>
          <w:right w:w="0" w:type="dxa"/>
        </w:tblCellMar>
      </w:tblPr>
      <w:tblGrid>
        <w:gridCol w:w="2971"/>
        <w:gridCol w:w="346"/>
        <w:gridCol w:w="1006"/>
        <w:gridCol w:w="346"/>
        <w:gridCol w:w="781"/>
      </w:tblGrid>
      <w:tr>
        <w:trPr/>
        <w:tc>
          <w:tcPr>
            <w:tcW w:w="29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ind w:left="0" w:right="0" w:hanging="0"/>
              <w:jc w:val="left"/>
              <w:rPr>
                <w:sz w:val="4"/>
                <w:szCs w:val="4"/>
              </w:rPr>
            </w:pPr>
            <w:r>
              <w:rPr>
                <w:sz w:val="4"/>
                <w:szCs w:val="4"/>
              </w:rPr>
            </w:r>
          </w:p>
        </w:tc>
      </w:tr>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886585" cy="175260"/>
                      <wp:effectExtent l="0" t="0" r="0" b="0"/>
                      <wp:wrapNone/>
                      <wp:docPr id="396" name="Frame394"/>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9710" cy="175260"/>
                      <wp:effectExtent l="0" t="0" r="0" b="0"/>
                      <wp:wrapNone/>
                      <wp:docPr id="397"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38810" cy="175260"/>
                      <wp:effectExtent l="0" t="0" r="0" b="0"/>
                      <wp:wrapNone/>
                      <wp:docPr id="398" name="Frame39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399" name="Frame3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495935" cy="175260"/>
                      <wp:effectExtent l="0" t="0" r="0" b="0"/>
                      <wp:wrapNone/>
                      <wp:docPr id="400" name="Frame39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left"/>
              <w:rPr/>
            </w:pPr>
            <w:r>
              <w:rPr/>
              <w:t>  ​ ​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Non-current</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w:t>
            </w:r>
          </w:p>
        </w:tc>
      </w:tr>
      <w:tr>
        <w:trPr/>
        <w:tc>
          <w:tcPr>
            <w:tcW w:w="29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banks</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2,219</w:t>
            </w:r>
          </w:p>
        </w:tc>
      </w:tr>
      <w:tr>
        <w:trPr/>
        <w:tc>
          <w:tcPr>
            <w:tcW w:w="29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XJ Harbour share purchase liability</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23,539</w:t>
            </w:r>
          </w:p>
        </w:tc>
      </w:tr>
      <w:tr>
        <w:trPr/>
        <w:tc>
          <w:tcPr>
            <w:tcW w:w="29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third party loans</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3,008</w:t>
            </w:r>
          </w:p>
        </w:tc>
      </w:tr>
      <w:tr>
        <w:trPr/>
        <w:tc>
          <w:tcPr>
            <w:tcW w:w="29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shareholders</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21,000</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8,694</w:t>
            </w:r>
          </w:p>
        </w:tc>
      </w:tr>
      <w:tr>
        <w:trPr/>
        <w:tc>
          <w:tcPr>
            <w:tcW w:w="29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other related parties</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2,973</w:t>
            </w:r>
          </w:p>
        </w:tc>
      </w:tr>
      <w:tr>
        <w:trPr/>
        <w:tc>
          <w:tcPr>
            <w:tcW w:w="297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debt</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37,000</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40,433</w:t>
            </w:r>
          </w:p>
        </w:tc>
      </w:tr>
      <w:tr>
        <w:trPr/>
        <w:tc>
          <w:tcPr>
            <w:tcW w:w="29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97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financial liabilities</w:t>
            </w:r>
          </w:p>
        </w:tc>
        <w:tc>
          <w:tcPr>
            <w:tcW w:w="34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42,053</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40,433</w:t>
            </w:r>
          </w:p>
        </w:tc>
      </w:tr>
    </w:tbl>
    <w:p>
      <w:pPr>
        <w:pStyle w:val="TextBody"/>
        <w:bidi w:val="0"/>
        <w:spacing w:before="0" w:after="0"/>
        <w:ind w:left="200" w:right="200" w:hanging="0"/>
        <w:jc w:val="left"/>
        <w:rPr/>
      </w:pPr>
      <w:r>
        <w:rPr/>
        <w:t>​</w:t>
      </w:r>
    </w:p>
    <w:p>
      <w:pPr>
        <w:pStyle w:val="TextBody"/>
        <w:bidi w:val="0"/>
        <w:spacing w:before="0" w:after="240"/>
        <w:ind w:left="200" w:right="200" w:hanging="0"/>
        <w:jc w:val="both"/>
        <w:rPr>
          <w:rFonts w:ascii="Times New Roman;Times;serif" w:hAnsi="Times New Roman;Times;serif"/>
          <w:b/>
          <w:sz w:val="20"/>
        </w:rPr>
      </w:pPr>
      <w:r>
        <w:rPr>
          <w:rFonts w:ascii="Times New Roman;Times;serif" w:hAnsi="Times New Roman;Times;serif"/>
          <w:b/>
          <w:sz w:val="20"/>
        </w:rPr>
        <w:t>Loans from banks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current loans from banks relate to a long-standing overdraft facility held by Gebr. SCHMID GmbH with a local bank in Germany. The non-current loans from banks relate to a new bank loan granted to STG by a Chinese bank.</w:t>
      </w:r>
    </w:p>
    <w:p>
      <w:pPr>
        <w:pStyle w:val="TextBody"/>
        <w:bidi w:val="0"/>
        <w:spacing w:before="0" w:after="240"/>
        <w:ind w:left="200" w:right="200" w:hanging="0"/>
        <w:jc w:val="both"/>
        <w:rPr>
          <w:rFonts w:ascii="Times New Roman;Times;serif" w:hAnsi="Times New Roman;Times;serif"/>
          <w:b/>
          <w:sz w:val="20"/>
        </w:rPr>
      </w:pPr>
      <w:r>
        <w:rPr>
          <w:rFonts w:ascii="Times New Roman;Times;serif" w:hAnsi="Times New Roman;Times;serif"/>
          <w:b/>
          <w:sz w:val="20"/>
        </w:rPr>
        <w:t>Black forest term loan facility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signed a secured two-tranche term loan facility with a total commitment value of up to €10 million with the lender Black Forest Special Situations I (“Black Forest”), a Cayman Islands incorporated vehicle on December 16, 2025. The lender is backed by a consortium that includes the Company’s chairman of the Board, Sir Ralf Speth, members of the Board of directors of the Company, its CFO Arthur Schuetz, and third-party investment and advisory professionals. The first tranche consisted of €2.5 million, which were paid out on December 18, 2025. The book value of the loan amounts to €574 thousand. In addition, the conversion option amounts to €1,746 thousand as is accounted for as FVTPL.</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lender has a conversion right under the term loan facility, which is exercisable at a share price of USD 2.15 into shares of the Company between six months after the draw down of the first tranche and the date of the term loan facility’s maturity, which is 15 months after the first tranche draw down.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second tranche payment has not been executed and is no longer expected by the Company. The term loan facility has a 15% p.a. interest rate with interest payable at maturity, unless the conversion right is exercised and interest is also converted into shares of the Company.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connection with the drawdown of the first tranche under the facility agreement, the Company granted the lender incentive share options as additional consideration for providing the financing. The options entitle the lender to acquire a fixed number of 1,250,000 ordinary shares of the Company at an exercise price of USD 4.1956 per share and have a maturity of five years. At grant date, the share price was USD 4.31.</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of December 31, 2025 the options are recognized with a fair value of €5.3 million. Given the parameters of the share options, especially the volatility of the share price, the first time recognition resulted in a day 1 loss amounting to €3.5 million. The day 1 loss will be amortized over the term loan facility’s maturity (15 months), unless it is repaid earlier.</w:t>
      </w:r>
    </w:p>
    <w:p>
      <w:pPr>
        <w:pStyle w:val="TextBody"/>
        <w:bidi w:val="0"/>
        <w:spacing w:before="0" w:after="240"/>
        <w:ind w:left="200" w:right="200" w:hanging="0"/>
        <w:jc w:val="both"/>
        <w:rPr>
          <w:rFonts w:ascii="Times New Roman;Times;serif" w:hAnsi="Times New Roman;Times;serif"/>
          <w:sz w:val="20"/>
        </w:rPr>
      </w:pPr>
      <w:r>
        <w:rPr>
          <w:rFonts w:ascii="Times New Roman;Times;serif" w:hAnsi="Times New Roman;Times;serif"/>
          <w:b/>
          <w:sz w:val="20"/>
        </w:rPr>
        <w:t>XJ Harbour</w:t>
      </w:r>
      <w:r>
        <w:rPr>
          <w:rFonts w:ascii="Times New Roman;Times;serif" w:hAnsi="Times New Roman;Times;serif"/>
          <w:sz w:val="20"/>
        </w:rPr>
        <w:t xml:space="preserve"> </w:t>
      </w:r>
      <w:r>
        <w:rPr>
          <w:rFonts w:ascii="Times New Roman;Times;serif" w:hAnsi="Times New Roman;Times;serif"/>
          <w:b/>
          <w:sz w:val="20"/>
        </w:rPr>
        <w:t>Set-off agreement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As of December 31, 2023, XJ Harbour held a 24.1% equity interest in the registered capital of SCHMID Technology (Guangdong) Co., Ltd. (STG), a SCHMID subsidiary. In 2024, SCHMID and XJ Harbour have entered into an agreement to transfer the shares of the Company’s subsidiary STG from XJ Harbour back to SCHMID in exchange for shares in SCHMID and cash. Due to liquidity shortages the financial difficulties of SCHMID experienced during 2025, the parties entered into a subscription agreement and a set-off agreement with XJ Harbour to settle the outstanding liabilities resulting from the share buyback. Under the subscription and set</w:t>
        <w:noBreakHyphen/>
        <w:t xml:space="preserve">off agreement, SCHMID agreed to issue ordinary shares to XJ Harbour at a fixed issue price of USD 2.15 per share to set off the outstanding claims including interest accrued until the share transfer, with no cash consideration. The transaction was accounted for as a debt to equity swap. The original cash-settled financial liability of €22.666 thousand was derecognized on the signing date of the agreement and a share liability was recognized with a fair value of €54,846 thousand. The resulting loss amounting to €34,337 thousand has been recognized as finance expense. Any subsequent changes of the new obligation until settlement due to changes in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 xml:space="preserve">estimate regarding the share price as of settlement date are recognized as finance expense. As of December 31, 2025, the liability without the embedded derivatives described in the following paragraph has a book value of €64,267 thousand.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agreement also includes a share price protection clause that requires SCHMID to issue additional shares to XJ Harbour should the average selling price of the shares realized by XJ Harbour fall below USD 2.15 per share. However, the amount of compensation due in the form of additional shares is subject to a cap which sets a limit on the number of compensation shares required to be issued, if any. Those two features have been identified as embedded derivatives in the contract. The share protection clause has been recognized as a liability whereas the cap on the share price protection clause has been recognized as an asset.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Fair value changes from those derivatives are recognized in finance expense. The book and fair value of the share price protection clause is €9,459 thousand whereas the corresponding cap is recognized as a non-current financial asset amounting to €7,713 thousand.</w:t>
      </w:r>
    </w:p>
    <w:p>
      <w:pPr>
        <w:pStyle w:val="TextBody"/>
        <w:bidi w:val="0"/>
        <w:spacing w:before="0" w:after="240"/>
        <w:ind w:left="200" w:right="200" w:hanging="0"/>
        <w:jc w:val="both"/>
        <w:rPr>
          <w:rFonts w:ascii="Times New Roman;Times;serif" w:hAnsi="Times New Roman;Times;serif"/>
          <w:b/>
          <w:sz w:val="20"/>
        </w:rPr>
      </w:pPr>
      <w:r>
        <w:rPr>
          <w:rFonts w:ascii="Times New Roman;Times;serif" w:hAnsi="Times New Roman;Times;serif"/>
          <w:b/>
          <w:sz w:val="20"/>
        </w:rPr>
        <w:t>Other third party loans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Two of the third party loans refer to a loans from one individual not related to SCHMID. One of the loan of €2 million is due end of 2026. The term is automatically extended by a further year if the contract is not terminated 6 months before expiry. Interest is floating at 3 months EURIBOR plus 1% margin. In December 2025, the company received a second loan of €0.2 million from the same individual. The loan matures on June 30, 2027 and bears fixed interest of 5%.</w:t>
      </w:r>
    </w:p>
    <w:p>
      <w:pPr>
        <w:pStyle w:val="TextBody"/>
        <w:bidi w:val="0"/>
        <w:spacing w:before="0" w:after="240"/>
        <w:ind w:left="200" w:right="200" w:hanging="0"/>
        <w:jc w:val="both"/>
        <w:rPr>
          <w:rFonts w:ascii="Times New Roman;Times;serif" w:hAnsi="Times New Roman;Times;serif"/>
          <w:b/>
          <w:sz w:val="20"/>
        </w:rPr>
      </w:pPr>
      <w:r>
        <w:rPr>
          <w:rFonts w:ascii="Times New Roman;Times;serif" w:hAnsi="Times New Roman;Times;serif"/>
          <w:b/>
          <w:sz w:val="20"/>
        </w:rPr>
        <w:t>Loans from shareholders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loans from shareholders of €21 million are due end of 2027. The term is automatically extended by a further year if the contract is not terminated 6 months before expiry. Interest is floating at 3 months EURIBOR plus 1% margin. SCHMID entered into an agreement after the balance sheet date to set off those liabilities by issuing share. For further details see note 38. Events after the reporting period.</w:t>
      </w:r>
    </w:p>
    <w:p>
      <w:pPr>
        <w:pStyle w:val="TextBody"/>
        <w:bidi w:val="0"/>
        <w:spacing w:before="0" w:after="240"/>
        <w:ind w:left="200" w:right="200" w:hanging="0"/>
        <w:jc w:val="both"/>
        <w:rPr>
          <w:rFonts w:ascii="Times New Roman;Times;serif" w:hAnsi="Times New Roman;Times;serif"/>
          <w:b/>
          <w:sz w:val="20"/>
        </w:rPr>
      </w:pPr>
      <w:r>
        <w:rPr>
          <w:rFonts w:ascii="Times New Roman;Times;serif" w:hAnsi="Times New Roman;Times;serif"/>
          <w:b/>
          <w:sz w:val="20"/>
        </w:rPr>
        <w:t>Loans from other related parties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loan from related parties is provided by SCHMID Grundstücke GmbH &amp; Co. KG, which is an entity controlled by a related party. For further details please refer to note 37. Related Party Disclosures. The €11 million are due end of 2026. The term is automatically extended by a further year if the contract is not terminated 6 months before expiry. Interest is floating at 3 months EURIBOR plus 1% margin. For further details see note 38. Events after the reporting period.</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Warrants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Upon the Business Combination in 2024, public warrants (“Public Warrants”) and warrants that were issued in a private placement transaction (“Private Warrants”) were assigned as former Pegasus warrants to SCHMID warrants. The terms of the Public Warrants and Private Warrants remain unchanged following the assignment. As of December 31, 2025, all warrants were outstanding.</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Public Warrants and the Private Warrants give the holder the right, but not the obligation, to subscribe to SCHMID’s shares at a fixed or determinable price for a specified period of time subject to the provision of the Warrant Agreement. The Warrants became exercisable 30 days after the consummation of the Business Combination. The Warrants will expire five years after the completion of the Business Combination or earlier upon redemption, liquidation or expiration in accordance with their terms. The Private Warrants are not redeemable by SCHMID as long as they are held by the initial purchasers or such purchasers’ permitted transferees. If the Private Warrants are held by holders other than the initial purchaser or their permitted transferees, the Private Warrants are redeemable by SCHMID and exercisable by such holders on the same basis as the Public Warrants.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bookmarkStart w:id="1304" w:name="Tc_uJ-LkjTXUkO3-xj48XpiuA_10_0"/>
      <w:bookmarkStart w:id="1305" w:name="Tc_Iim9wTZLhkq0fsBq_SbgFw_9_0"/>
      <w:bookmarkStart w:id="1306" w:name="Tc_h-IPqhPagkq4jDhcJjE85g_8_4"/>
      <w:bookmarkStart w:id="1307" w:name="Tc_055EJlX2U02ibkN_ciFzYg_8_0"/>
      <w:bookmarkStart w:id="1308" w:name="Tc_M5_7FppecUqvPnElWqYWkQ_7_0"/>
      <w:bookmarkStart w:id="1309" w:name="Tc_HXEQgAQna0KEFW38df8gNA_6_8"/>
      <w:bookmarkStart w:id="1310" w:name="Tc_wzOjkbzexUq4jssjGC5eAQ_6_0"/>
      <w:bookmarkStart w:id="1311" w:name="Tc_d0IexHbJQkuQaRgZpDMfug_5_8"/>
      <w:bookmarkStart w:id="1312" w:name="Tc_-B-yDI9jkU-eTtohQ-fK4w_5_0"/>
      <w:bookmarkStart w:id="1313" w:name="Tc_k0S8nArfRUOgo0VpsnutLg_4_8"/>
      <w:bookmarkStart w:id="1314" w:name="Tc_Fr-Co5grdE2k3JYORkV_tw_4_4"/>
      <w:bookmarkStart w:id="1315" w:name="Tc_TbrZcSf_P0COMk5zZfXwvQ_4_0"/>
      <w:bookmarkStart w:id="1316" w:name="Tc_vLpJwphJeUu-3KZ7HjZY9Q_3_10"/>
      <w:bookmarkStart w:id="1317" w:name="Tc_2PeaWGJ0MUSBhZoK1sryRQ_3_8"/>
      <w:bookmarkStart w:id="1318" w:name="Tc_4BjBwzNzUEWAma2N0W7Xfw_3_6"/>
      <w:bookmarkStart w:id="1319" w:name="Tc_ED5IRndL6kuCoO3T4A8Wqg_3_4"/>
      <w:bookmarkStart w:id="1320" w:name="Tc_EQK57RB6XEOTymiBVwd_fw_3_2"/>
      <w:bookmarkStart w:id="1321" w:name="Tc_hlljONHFykud3zDRSjWVUQ_3_0"/>
      <w:bookmarkStart w:id="1322" w:name="Tc_mVIR3M-bb0yQHlsTmGghRw_2_8"/>
      <w:bookmarkStart w:id="1323" w:name="Tc_GOBboVrihEqqUuRdEcPBXg_1_8"/>
      <w:bookmarkStart w:id="1324" w:name="_1036096b_45ea_4bed_8144_01d0e906816c"/>
      <w:bookmarkStart w:id="1325" w:name="Tc_1ZbmaCsT7Ue8XBVIYFPpQw_8_0"/>
      <w:bookmarkStart w:id="1326" w:name="Tc_NDekeGFEwEC_nsCaaNyfSg_7_8"/>
      <w:bookmarkStart w:id="1327" w:name="Tc_MS2Gr60S-ESp7w-QIz8ELA_7_0"/>
      <w:bookmarkStart w:id="1328" w:name="Tc_Iq6UlqLQeUOOPY3AWlsJpg_6_8"/>
      <w:bookmarkStart w:id="1329" w:name="Tc_1QPQ2JBPtEuCmGDcxzgWRg_6_6"/>
      <w:bookmarkStart w:id="1330" w:name="Tc_KPqenxXGjEmSil-GFTj2rQ_6_4"/>
      <w:bookmarkStart w:id="1331" w:name="Tc_iBXGOl0cPUyNW5O_SOUlHQ_6_0"/>
      <w:bookmarkStart w:id="1332" w:name="Tc_ceYe5H8-SUOMCI6YG9NRVw_5_6"/>
      <w:bookmarkStart w:id="1333" w:name="Tc_Ub_5DJ6sqkmvXTA9Zg3BpQ_5_4"/>
      <w:bookmarkStart w:id="1334" w:name="Tc_JbJl2tgSM0aESvGm67bphw_5_0"/>
      <w:bookmarkStart w:id="1335" w:name="Tc_czyi9JY6ZkW6vPF0OCjv1g_4_4"/>
      <w:bookmarkStart w:id="1336" w:name="Tc_DaoGWeFFHESFVeJSiXFzMA_4_0"/>
      <w:bookmarkStart w:id="1337" w:name="Tc_9WQQ2wVS7k2G2nY6Py-rAA_3_8"/>
      <w:bookmarkStart w:id="1338" w:name="Tc_UIpQB2YAvkGBoYcNO_KElw_3_4"/>
      <w:bookmarkStart w:id="1339" w:name="Tc_9bGcc0sVNUaGwL6I78i3-w_3_0"/>
      <w:bookmarkStart w:id="1340" w:name="Tc_FzP3gZ2NekeLcQ9-xQQoOg_2_6"/>
      <w:bookmarkStart w:id="1341" w:name="Tc_vz3cl1akBUSbByxpjNerVA_2_4"/>
      <w:bookmarkStart w:id="1342" w:name="Tc_l67GjVaVRUSzJZPw6sMFgg_2_0"/>
      <w:bookmarkStart w:id="1343" w:name="Tc_83YTwlQSOU6kbE_PxEUjgA_1_10"/>
      <w:bookmarkStart w:id="1344" w:name="Tc_etUQ1VVd4kePCj6ZcCGhgg_1_8"/>
      <w:bookmarkStart w:id="1345" w:name="Tc_yI-M50_dTU2aw-b8w5pCxg_1_6"/>
      <w:bookmarkStart w:id="1346" w:name="Tc_PilG2LGSuEia38Qq7OekXw_1_4"/>
      <w:bookmarkStart w:id="1347" w:name="Tc_JYA7or8vUUW8uN8ow5BpkA_1_2"/>
      <w:bookmarkStart w:id="1348" w:name="Tc_Tb5akHv00EyJvUV7o3AiMQ_1_0"/>
      <w:bookmarkStart w:id="1349" w:name="_38b9d11c_cd18_4e3b_84c4_4ccedecc8b82"/>
      <w:bookmarkStart w:id="1350" w:name="a29OTHERPROVISIONS_507452"/>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r>
        <w:rPr>
          <w:rFonts w:ascii="Times New Roman;Times;serif" w:hAnsi="Times New Roman;Times;serif"/>
          <w:b/>
          <w:i w:val="false"/>
          <w:caps w:val="false"/>
          <w:smallCaps w:val="false"/>
          <w:sz w:val="20"/>
        </w:rPr>
        <w:t>30.</w:t>
      </w:r>
      <w:r>
        <w:rPr>
          <w:rFonts w:ascii="Times New Roman;Times;serif" w:hAnsi="Times New Roman;Times;serif"/>
          <w:b/>
          <w:sz w:val="20"/>
        </w:rPr>
        <w:t>OTHER PROVISIONS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Movement in provisions during the year is as follows:</w:t>
      </w:r>
    </w:p>
    <w:p>
      <w:pPr>
        <w:pStyle w:val="TextBody"/>
        <w:bidi w:val="0"/>
        <w:spacing w:before="0" w:after="240"/>
        <w:ind w:left="200" w:right="200" w:hanging="0"/>
        <w:jc w:val="both"/>
        <w:rPr/>
      </w:pPr>
      <w:r>
        <w:rPr/>
        <w:t>​</w:t>
      </w:r>
    </w:p>
    <w:tbl>
      <w:tblPr>
        <w:tblW w:w="9071" w:type="dxa"/>
        <w:jc w:val="left"/>
        <w:tblInd w:w="200" w:type="dxa"/>
        <w:tblLayout w:type="fixed"/>
        <w:tblCellMar>
          <w:top w:w="0" w:type="dxa"/>
          <w:left w:w="0" w:type="dxa"/>
          <w:bottom w:w="0" w:type="dxa"/>
          <w:right w:w="0" w:type="dxa"/>
        </w:tblCellMar>
      </w:tblPr>
      <w:tblGrid>
        <w:gridCol w:w="2566"/>
        <w:gridCol w:w="346"/>
        <w:gridCol w:w="916"/>
        <w:gridCol w:w="346"/>
        <w:gridCol w:w="796"/>
        <w:gridCol w:w="346"/>
        <w:gridCol w:w="871"/>
        <w:gridCol w:w="346"/>
        <w:gridCol w:w="1231"/>
        <w:gridCol w:w="346"/>
        <w:gridCol w:w="961"/>
      </w:tblGrid>
      <w:tr>
        <w:trPr/>
        <w:tc>
          <w:tcPr>
            <w:tcW w:w="25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r>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629410" cy="175260"/>
                      <wp:effectExtent l="0" t="0" r="0" b="0"/>
                      <wp:wrapNone/>
                      <wp:docPr id="401" name="Frame399"/>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19710" cy="175260"/>
                      <wp:effectExtent l="0" t="0" r="0" b="0"/>
                      <wp:wrapNone/>
                      <wp:docPr id="402" name="Frame4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581660" cy="175260"/>
                      <wp:effectExtent l="0" t="0" r="0" b="0"/>
                      <wp:wrapNone/>
                      <wp:docPr id="403" name="Frame40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19710" cy="175260"/>
                      <wp:effectExtent l="0" t="0" r="0" b="0"/>
                      <wp:wrapNone/>
                      <wp:docPr id="404" name="Frame4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505460" cy="175260"/>
                      <wp:effectExtent l="0" t="0" r="0" b="0"/>
                      <wp:wrapNone/>
                      <wp:docPr id="405" name="Frame40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19710" cy="175260"/>
                      <wp:effectExtent l="0" t="0" r="0" b="0"/>
                      <wp:wrapNone/>
                      <wp:docPr id="406" name="Frame4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553085" cy="175260"/>
                      <wp:effectExtent l="0" t="0" r="0" b="0"/>
                      <wp:wrapNone/>
                      <wp:docPr id="407" name="Frame40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9710" cy="175260"/>
                      <wp:effectExtent l="0" t="0" r="0" b="0"/>
                      <wp:wrapNone/>
                      <wp:docPr id="408" name="Frame4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781685" cy="175260"/>
                      <wp:effectExtent l="0" t="0" r="0" b="0"/>
                      <wp:wrapNone/>
                      <wp:docPr id="409" name="Frame407"/>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19710" cy="175260"/>
                      <wp:effectExtent l="0" t="0" r="0" b="0"/>
                      <wp:wrapNone/>
                      <wp:docPr id="410" name="Frame4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10235" cy="175260"/>
                      <wp:effectExtent l="0" t="0" r="0" b="0"/>
                      <wp:wrapNone/>
                      <wp:docPr id="411" name="Frame40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12/31/2024</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Additions</w:t>
            </w:r>
          </w:p>
        </w:tc>
        <w:tc>
          <w:tcPr>
            <w:tcW w:w="346" w:type="dxa"/>
            <w:tcBorders/>
            <w:vAlign w:val="center"/>
          </w:tcPr>
          <w:p>
            <w:pPr>
              <w:pStyle w:val="TableContents"/>
              <w:bidi w:val="0"/>
              <w:spacing w:before="0" w:after="0"/>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Utilization</w:t>
            </w:r>
          </w:p>
        </w:tc>
        <w:tc>
          <w:tcPr>
            <w:tcW w:w="346" w:type="dxa"/>
            <w:tcBorders/>
            <w:vAlign w:val="center"/>
          </w:tcPr>
          <w:p>
            <w:pPr>
              <w:pStyle w:val="TableContents"/>
              <w:bidi w:val="0"/>
              <w:spacing w:before="0" w:after="0"/>
              <w:ind w:left="0" w:right="0" w:hanging="0"/>
              <w:jc w:val="center"/>
              <w:rPr/>
            </w:pPr>
            <w:r>
              <w:rPr/>
              <w:t>  ​ ​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Reclassification</w:t>
            </w:r>
          </w:p>
        </w:tc>
        <w:tc>
          <w:tcPr>
            <w:tcW w:w="346" w:type="dxa"/>
            <w:tcBorders/>
            <w:vAlign w:val="center"/>
          </w:tcPr>
          <w:p>
            <w:pPr>
              <w:pStyle w:val="TableContents"/>
              <w:bidi w:val="0"/>
              <w:spacing w:before="0" w:after="0"/>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12/31/2025</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provision</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Jubilee provision</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rPr/>
            </w:pPr>
            <w:r>
              <w:rPr/>
              <w:t>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provisions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345</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254</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provision</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legal claims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provisions</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provisions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165</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415</w:t>
            </w:r>
          </w:p>
        </w:tc>
      </w:tr>
    </w:tbl>
    <w:p>
      <w:pPr>
        <w:pStyle w:val="TextBody"/>
        <w:bidi w:val="0"/>
        <w:spacing w:before="0" w:after="0"/>
        <w:ind w:left="200" w:right="200" w:hanging="0"/>
        <w:jc w:val="left"/>
        <w:rPr/>
      </w:pPr>
      <w:r>
        <w:rPr/>
        <w:t>​</w:t>
      </w:r>
    </w:p>
    <w:tbl>
      <w:tblPr>
        <w:tblW w:w="8816" w:type="dxa"/>
        <w:jc w:val="left"/>
        <w:tblInd w:w="200" w:type="dxa"/>
        <w:tblLayout w:type="fixed"/>
        <w:tblCellMar>
          <w:top w:w="0" w:type="dxa"/>
          <w:left w:w="0" w:type="dxa"/>
          <w:bottom w:w="0" w:type="dxa"/>
          <w:right w:w="0" w:type="dxa"/>
        </w:tblCellMar>
      </w:tblPr>
      <w:tblGrid>
        <w:gridCol w:w="2566"/>
        <w:gridCol w:w="346"/>
        <w:gridCol w:w="916"/>
        <w:gridCol w:w="346"/>
        <w:gridCol w:w="796"/>
        <w:gridCol w:w="346"/>
        <w:gridCol w:w="871"/>
        <w:gridCol w:w="346"/>
        <w:gridCol w:w="976"/>
        <w:gridCol w:w="346"/>
        <w:gridCol w:w="961"/>
      </w:tblGrid>
      <w:tr>
        <w:trPr/>
        <w:tc>
          <w:tcPr>
            <w:tcW w:w="25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r>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629410" cy="175260"/>
                      <wp:effectExtent l="0" t="0" r="0" b="0"/>
                      <wp:wrapNone/>
                      <wp:docPr id="412" name="Frame410"/>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9710" cy="175260"/>
                      <wp:effectExtent l="0" t="0" r="0" b="0"/>
                      <wp:wrapNone/>
                      <wp:docPr id="413" name="Frame4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581660" cy="175260"/>
                      <wp:effectExtent l="0" t="0" r="0" b="0"/>
                      <wp:wrapNone/>
                      <wp:docPr id="414" name="Frame41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19710" cy="175260"/>
                      <wp:effectExtent l="0" t="0" r="0" b="0"/>
                      <wp:wrapNone/>
                      <wp:docPr id="415" name="Frame4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505460" cy="175260"/>
                      <wp:effectExtent l="0" t="0" r="0" b="0"/>
                      <wp:wrapNone/>
                      <wp:docPr id="416" name="Frame41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19710" cy="175260"/>
                      <wp:effectExtent l="0" t="0" r="0" b="0"/>
                      <wp:wrapNone/>
                      <wp:docPr id="417" name="Frame4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553085" cy="175260"/>
                      <wp:effectExtent l="0" t="0" r="0" b="0"/>
                      <wp:wrapNone/>
                      <wp:docPr id="418" name="Frame41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9710" cy="175260"/>
                      <wp:effectExtent l="0" t="0" r="0" b="0"/>
                      <wp:wrapNone/>
                      <wp:docPr id="419" name="Frame4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19760" cy="175260"/>
                      <wp:effectExtent l="0" t="0" r="0" b="0"/>
                      <wp:wrapNone/>
                      <wp:docPr id="420" name="Frame41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19710" cy="175260"/>
                      <wp:effectExtent l="0" t="0" r="0" b="0"/>
                      <wp:wrapNone/>
                      <wp:docPr id="421" name="Frame4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10235" cy="175260"/>
                      <wp:effectExtent l="0" t="0" r="0" b="0"/>
                      <wp:wrapNone/>
                      <wp:docPr id="422" name="Frame42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Reversal of </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r>
      <w:tr>
        <w:trPr/>
        <w:tc>
          <w:tcPr>
            <w:tcW w:w="25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unused </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r>
      <w:tr>
        <w:trPr/>
        <w:tc>
          <w:tcPr>
            <w:tcW w:w="256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12/31/2023</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Additions</w:t>
            </w:r>
          </w:p>
        </w:tc>
        <w:tc>
          <w:tcPr>
            <w:tcW w:w="346" w:type="dxa"/>
            <w:tcBorders/>
            <w:vAlign w:val="center"/>
          </w:tcPr>
          <w:p>
            <w:pPr>
              <w:pStyle w:val="TableContents"/>
              <w:bidi w:val="0"/>
              <w:spacing w:before="0" w:after="0"/>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Utilization</w:t>
            </w:r>
          </w:p>
        </w:tc>
        <w:tc>
          <w:tcPr>
            <w:tcW w:w="346" w:type="dxa"/>
            <w:tcBorders/>
            <w:vAlign w:val="center"/>
          </w:tcPr>
          <w:p>
            <w:pPr>
              <w:pStyle w:val="TableContents"/>
              <w:bidi w:val="0"/>
              <w:spacing w:before="0" w:after="0"/>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w:t>
            </w:r>
          </w:p>
        </w:tc>
        <w:tc>
          <w:tcPr>
            <w:tcW w:w="346" w:type="dxa"/>
            <w:tcBorders/>
            <w:vAlign w:val="center"/>
          </w:tcPr>
          <w:p>
            <w:pPr>
              <w:pStyle w:val="TableContents"/>
              <w:bidi w:val="0"/>
              <w:spacing w:before="0" w:after="0"/>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12/31/2024</w:t>
            </w:r>
          </w:p>
        </w:tc>
      </w:tr>
      <w:tr>
        <w:trPr/>
        <w:tc>
          <w:tcPr>
            <w:tcW w:w="25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provision</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r>
      <w:tr>
        <w:trPr/>
        <w:tc>
          <w:tcPr>
            <w:tcW w:w="25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Jubilee provision</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25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provisions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237</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169</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345</w:t>
            </w:r>
          </w:p>
        </w:tc>
      </w:tr>
      <w:tr>
        <w:trPr/>
        <w:tc>
          <w:tcPr>
            <w:tcW w:w="25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provision</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25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legal claims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25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provisions</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25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provisions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973</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420</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(1,115)</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184</w:t>
            </w:r>
          </w:p>
        </w:tc>
      </w:tr>
    </w:tbl>
    <w:p>
      <w:pPr>
        <w:pStyle w:val="TextBody"/>
        <w:bidi w:val="0"/>
        <w:spacing w:before="0" w:after="0"/>
        <w:ind w:left="200" w:right="200" w:hanging="0"/>
        <w:jc w:val="left"/>
        <w:rPr/>
      </w:pPr>
      <w:r>
        <w:rPr/>
        <w:t>​</w:t>
      </w:r>
    </w:p>
    <w:p>
      <w:pPr>
        <w:pStyle w:val="TextBody"/>
        <w:bidi w:val="0"/>
        <w:spacing w:before="0" w:after="240"/>
        <w:ind w:left="200" w:right="200" w:hanging="0"/>
        <w:jc w:val="both"/>
        <w:rPr/>
      </w:pPr>
      <w:r>
        <w:rPr/>
        <w:t>​</w:t>
      </w:r>
    </w:p>
    <w:p>
      <w:pPr>
        <w:pStyle w:val="TextBody"/>
        <w:bidi w:val="0"/>
        <w:spacing w:before="0" w:after="240"/>
        <w:ind w:left="200" w:right="200" w:hanging="0"/>
        <w:jc w:val="left"/>
        <w:rPr>
          <w:rFonts w:ascii="Times New Roman;Times;serif" w:hAnsi="Times New Roman;Times;serif"/>
          <w:b/>
          <w:sz w:val="20"/>
        </w:rPr>
      </w:pPr>
      <w:bookmarkStart w:id="1351" w:name="Tc_-ep-U4prnU6fqVEMYJrZUw_6_0"/>
      <w:bookmarkStart w:id="1352" w:name="Tc_QDrtLrjnmky-aWaU40BSgw_5_2"/>
      <w:bookmarkStart w:id="1353" w:name="Tc_gHhC24jsrEKjDSF4afiehQ_5_0"/>
      <w:bookmarkStart w:id="1354" w:name="Tc_3otaScC2ykGexxvyQshDmw_4_0"/>
      <w:bookmarkStart w:id="1355" w:name="Tc_8Wn8uwIdokevUaNtwq5l8A_3_0"/>
      <w:bookmarkStart w:id="1356" w:name="Tc_j6fdRzQraEKK4ir3RmEL2A_2_0"/>
      <w:bookmarkStart w:id="1357" w:name="Tc_xiuxZQHYXEiFFABAx2_reA_1_4"/>
      <w:bookmarkStart w:id="1358" w:name="Tc_HkSOdL0vaECA0u32YWKSsg_1_2"/>
      <w:bookmarkStart w:id="1359" w:name="Tc_Li1PMxNX4kuJYsMHOzUTRw_1_0"/>
      <w:bookmarkStart w:id="1360" w:name="a30POSTEMPLOYMENTBENEFITS_931954"/>
      <w:bookmarkEnd w:id="1351"/>
      <w:bookmarkEnd w:id="1352"/>
      <w:bookmarkEnd w:id="1353"/>
      <w:bookmarkEnd w:id="1354"/>
      <w:bookmarkEnd w:id="1355"/>
      <w:bookmarkEnd w:id="1356"/>
      <w:bookmarkEnd w:id="1357"/>
      <w:bookmarkEnd w:id="1358"/>
      <w:bookmarkEnd w:id="1359"/>
      <w:bookmarkEnd w:id="1360"/>
      <w:r>
        <w:rPr>
          <w:rFonts w:ascii="Times New Roman;Times;serif" w:hAnsi="Times New Roman;Times;serif"/>
          <w:b/>
          <w:i w:val="false"/>
          <w:caps w:val="false"/>
          <w:smallCaps w:val="false"/>
          <w:sz w:val="20"/>
        </w:rPr>
        <w:t>31.</w:t>
      </w:r>
      <w:r>
        <w:rPr>
          <w:rFonts w:ascii="Times New Roman;Times;serif" w:hAnsi="Times New Roman;Times;serif"/>
          <w:b/>
          <w:sz w:val="20"/>
        </w:rPr>
        <w:t>POST-EMPLOYMENT BENEFITS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Defined contribution plans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SCHMID’s expenses for defined contribution plans were €1,840 thousand for the year ended 2025 (2024: €1,752 thousand, 2023: €1,677 thousand). No assets or liabilities are recognized in SCHMID’s balance sheet in respect of such plans, apart from regular prepayments and accruals of the contributions withheld from employees’ wages and salaries and of SCHMID’s contributions.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Defined benefit plan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Corporate post-retirement benefits are provided by SCHMID in Germany through a defined benefit plan with one beneficiary who is also a related party. The beneficiary was granted a fixed pension commitment in 2012 as part of a deferred compensation agreement in form of a lump-sum payment in the event of invalidity or reaching the age of 67. The Company has no plan assets in connection with the pension obligation.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present value of the defined benefit obligation at the end of the fiscal year 2025 amounted to €969 thousand (December 31, 2024: €978 thousand, December 31, 2023: €894 thousand).</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Reconciliation of the net defined benefit liability:</w:t>
      </w:r>
    </w:p>
    <w:p>
      <w:pPr>
        <w:pStyle w:val="TextBody"/>
        <w:bidi w:val="0"/>
        <w:spacing w:before="0" w:after="240"/>
        <w:ind w:left="200" w:right="200" w:hanging="0"/>
        <w:jc w:val="both"/>
        <w:rPr/>
      </w:pPr>
      <w:r>
        <w:rPr/>
        <w:t>​</w:t>
      </w:r>
    </w:p>
    <w:tbl>
      <w:tblPr>
        <w:tblW w:w="8060" w:type="dxa"/>
        <w:jc w:val="left"/>
        <w:tblInd w:w="200" w:type="dxa"/>
        <w:tblLayout w:type="fixed"/>
        <w:tblCellMar>
          <w:top w:w="0" w:type="dxa"/>
          <w:left w:w="0" w:type="dxa"/>
          <w:bottom w:w="0" w:type="dxa"/>
          <w:right w:w="0" w:type="dxa"/>
        </w:tblCellMar>
      </w:tblPr>
      <w:tblGrid>
        <w:gridCol w:w="6376"/>
        <w:gridCol w:w="346"/>
        <w:gridCol w:w="466"/>
        <w:gridCol w:w="346"/>
        <w:gridCol w:w="526"/>
      </w:tblGrid>
      <w:tr>
        <w:trPr/>
        <w:tc>
          <w:tcPr>
            <w:tcW w:w="63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ind w:left="0" w:right="0" w:hanging="0"/>
              <w:jc w:val="left"/>
              <w:rPr>
                <w:sz w:val="4"/>
                <w:szCs w:val="4"/>
              </w:rPr>
            </w:pPr>
            <w:r>
              <w:rPr>
                <w:sz w:val="4"/>
                <w:szCs w:val="4"/>
              </w:rPr>
            </w:r>
          </w:p>
        </w:tc>
      </w:tr>
      <w:tr>
        <w:trPr/>
        <w:tc>
          <w:tcPr>
            <w:tcW w:w="6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4048760" cy="175260"/>
                      <wp:effectExtent l="0" t="0" r="0" b="0"/>
                      <wp:wrapNone/>
                      <wp:docPr id="423" name="Frame421"/>
                      <a:graphic xmlns:a="http://schemas.openxmlformats.org/drawingml/2006/main">
                        <a:graphicData uri="http://schemas.microsoft.com/office/word/2010/wordprocessingShape">
                          <wps:wsp>
                            <wps:cNvSpPr txBox="1"/>
                            <wps:spPr>
                              <a:xfrm>
                                <a:off x="0" y="0"/>
                                <a:ext cx="404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9710" cy="175260"/>
                      <wp:effectExtent l="0" t="0" r="0" b="0"/>
                      <wp:wrapNone/>
                      <wp:docPr id="424" name="Frame4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95910" cy="175260"/>
                      <wp:effectExtent l="0" t="0" r="0" b="0"/>
                      <wp:wrapNone/>
                      <wp:docPr id="425" name="Frame42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19710" cy="175260"/>
                      <wp:effectExtent l="0" t="0" r="0" b="0"/>
                      <wp:wrapNone/>
                      <wp:docPr id="426" name="Frame4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334010" cy="175260"/>
                      <wp:effectExtent l="0" t="0" r="0" b="0"/>
                      <wp:wrapNone/>
                      <wp:docPr id="427" name="Frame425"/>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defined liability at January 1</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978</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894</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Defined benefit income recognized in consolidated statement of profit or loss</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Defined benefit cost recognized in other comprehensive income</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other liabilities</w:t>
            </w:r>
          </w:p>
        </w:tc>
        <w:tc>
          <w:tcPr>
            <w:tcW w:w="34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defined liability at December 31</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969</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978</w:t>
            </w:r>
          </w:p>
        </w:tc>
      </w:tr>
    </w:tbl>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firstLine="360"/>
        <w:jc w:val="left"/>
        <w:rPr>
          <w:rFonts w:ascii="Times New Roman;Times;serif" w:hAnsi="Times New Roman;Times;serif"/>
          <w:sz w:val="20"/>
        </w:rPr>
      </w:pPr>
      <w:bookmarkStart w:id="1361" w:name="Tc_ciRPIXkviUaGOQPqsOO-hA_2_5"/>
      <w:bookmarkStart w:id="1362" w:name="Tc_49i6WOd2yUeX69IdqI8vkg_2_3"/>
      <w:bookmarkStart w:id="1363" w:name="Tc_ugqLCbo0ek2ifgP6_P8Mdg_2_0"/>
      <w:bookmarkStart w:id="1364" w:name="Tc_XlMgtTUZdkaosUz0FoWrLA_1_4"/>
      <w:bookmarkStart w:id="1365" w:name="Tc_ty6KtBPUc0OGSmjGBi9MQg_1_2"/>
      <w:bookmarkStart w:id="1366" w:name="Tc_H7w0yrA5AkizN1-k7JaS-w_7_0"/>
      <w:bookmarkStart w:id="1367" w:name="Tc_65eubSYHLk-bVYNgiFmLJw_6_0"/>
      <w:bookmarkStart w:id="1368" w:name="Tc_TDS7-EEq806y2KgkcfuVZw_5_0"/>
      <w:bookmarkStart w:id="1369" w:name="Tc_pQ6vUT4czEq4yyZMhuOfTw_4_0"/>
      <w:bookmarkStart w:id="1370" w:name="Tc_ZhAXcm9ej0-nHyGj0b-9sA_3_0"/>
      <w:bookmarkStart w:id="1371" w:name="Tc_P-s6XY80BU2inCY5Nsjqhg_2_0"/>
      <w:bookmarkStart w:id="1372" w:name="Tc_KlvfHOuqskS0_li2siDbsA_1_6"/>
      <w:bookmarkStart w:id="1373" w:name="Tc_7Es8aLIaD0u17elXEY1tTg_1_4"/>
      <w:bookmarkStart w:id="1374" w:name="Tc_J4YzfaartEuH5DbbZagcWw_1_2"/>
      <w:bookmarkStart w:id="1375" w:name="Tc_I4TQEEIE20GjThBkr5mc2w_1_0"/>
      <w:bookmarkStart w:id="1376" w:name="Tc_ud1qeUwwTEyIHyUduC1OpA_6_0"/>
      <w:bookmarkStart w:id="1377" w:name="Tc__q2XMmZDckKG5UrYhVpCiw_5_2"/>
      <w:bookmarkStart w:id="1378" w:name="Tc_sXdjgYjpqE2qtNk6TeUPyA_5_0"/>
      <w:bookmarkStart w:id="1379" w:name="Tc_EdrqBDTsMUqOg3_Uw5SHmQ_4_0"/>
      <w:bookmarkStart w:id="1380" w:name="Tc_rkMcztEwe0Ge0dgdQ8CPGw_3_0"/>
      <w:bookmarkStart w:id="1381" w:name="Tc_xH0jlT4xMEifoUuF1JeW2w_2_0"/>
      <w:bookmarkStart w:id="1382" w:name="Tc_f23wL8hS-kSUyjRKnSBzlA_1_4"/>
      <w:bookmarkStart w:id="1383" w:name="Tc_dDii_ERXRUy3u0L1LPxP1w_1_2"/>
      <w:bookmarkStart w:id="1384" w:name="Tc_YYGyhq_91EuIk9v9IhmsNA_1_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r>
        <w:rPr>
          <w:rFonts w:ascii="Times New Roman;Times;serif" w:hAnsi="Times New Roman;Times;serif"/>
          <w:sz w:val="20"/>
        </w:rPr>
        <w:t>Reconciliation of the amount recognized in the consolidated statement of financial position:</w:t>
      </w:r>
    </w:p>
    <w:p>
      <w:pPr>
        <w:pStyle w:val="TextBody"/>
        <w:bidi w:val="0"/>
        <w:spacing w:before="0" w:after="240"/>
        <w:ind w:left="200" w:right="200" w:hanging="0"/>
        <w:jc w:val="both"/>
        <w:rPr/>
      </w:pPr>
      <w:r>
        <w:rPr/>
        <w:t>​</w:t>
      </w:r>
    </w:p>
    <w:tbl>
      <w:tblPr>
        <w:tblW w:w="6830" w:type="dxa"/>
        <w:jc w:val="left"/>
        <w:tblInd w:w="200" w:type="dxa"/>
        <w:tblLayout w:type="fixed"/>
        <w:tblCellMar>
          <w:top w:w="0" w:type="dxa"/>
          <w:left w:w="0" w:type="dxa"/>
          <w:bottom w:w="0" w:type="dxa"/>
          <w:right w:w="0" w:type="dxa"/>
        </w:tblCellMar>
      </w:tblPr>
      <w:tblGrid>
        <w:gridCol w:w="5146"/>
        <w:gridCol w:w="346"/>
        <w:gridCol w:w="466"/>
        <w:gridCol w:w="346"/>
        <w:gridCol w:w="526"/>
      </w:tblGrid>
      <w:tr>
        <w:trPr/>
        <w:tc>
          <w:tcPr>
            <w:tcW w:w="5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ind w:left="0" w:right="0" w:hanging="0"/>
              <w:jc w:val="left"/>
              <w:rPr>
                <w:sz w:val="4"/>
                <w:szCs w:val="4"/>
              </w:rPr>
            </w:pPr>
            <w:r>
              <w:rPr>
                <w:sz w:val="4"/>
                <w:szCs w:val="4"/>
              </w:rPr>
            </w:r>
          </w:p>
        </w:tc>
      </w:tr>
      <w:tr>
        <w:trPr/>
        <w:tc>
          <w:tcPr>
            <w:tcW w:w="5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3267710" cy="175260"/>
                      <wp:effectExtent l="0" t="0" r="0" b="0"/>
                      <wp:wrapNone/>
                      <wp:docPr id="428" name="Frame426"/>
                      <a:graphic xmlns:a="http://schemas.openxmlformats.org/drawingml/2006/main">
                        <a:graphicData uri="http://schemas.microsoft.com/office/word/2010/wordprocessingShape">
                          <wps:wsp>
                            <wps:cNvSpPr txBox="1"/>
                            <wps:spPr>
                              <a:xfrm>
                                <a:off x="0" y="0"/>
                                <a:ext cx="3267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19710" cy="175260"/>
                      <wp:effectExtent l="0" t="0" r="0" b="0"/>
                      <wp:wrapNone/>
                      <wp:docPr id="429" name="Frame4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95910" cy="175260"/>
                      <wp:effectExtent l="0" t="0" r="0" b="0"/>
                      <wp:wrapNone/>
                      <wp:docPr id="430" name="Frame42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19710" cy="175260"/>
                      <wp:effectExtent l="0" t="0" r="0" b="0"/>
                      <wp:wrapNone/>
                      <wp:docPr id="431" name="Frame4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334010" cy="175260"/>
                      <wp:effectExtent l="0" t="0" r="0" b="0"/>
                      <wp:wrapNone/>
                      <wp:docPr id="432" name="Frame430"/>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Employee benefit obligations recognized as of January 1</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w:t>
            </w:r>
          </w:p>
        </w:tc>
      </w:tr>
      <w:tr>
        <w:trPr/>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Actuarial adjustments</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other liabilities</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Employee benefit obligations recognized as of December 31</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969</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978</w:t>
            </w:r>
          </w:p>
        </w:tc>
      </w:tr>
    </w:tbl>
    <w:p>
      <w:pPr>
        <w:pStyle w:val="TextBody"/>
        <w:bidi w:val="0"/>
        <w:spacing w:before="0" w:after="0"/>
        <w:ind w:left="200" w:right="200" w:hanging="0"/>
        <w:jc w:val="left"/>
        <w:rPr/>
      </w:pPr>
      <w:r>
        <w:rPr/>
        <w: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expense recognized in the consolidated statements of profit or loss and other comprehensive income is as follows</w:t>
      </w:r>
    </w:p>
    <w:p>
      <w:pPr>
        <w:pStyle w:val="TextBody"/>
        <w:bidi w:val="0"/>
        <w:spacing w:before="0" w:after="240"/>
        <w:ind w:left="200" w:right="200" w:hanging="0"/>
        <w:jc w:val="both"/>
        <w:rPr/>
      </w:pPr>
      <w:r>
        <w:rPr/>
        <w:t>​</w:t>
      </w:r>
    </w:p>
    <w:tbl>
      <w:tblPr>
        <w:tblW w:w="9805" w:type="dxa"/>
        <w:jc w:val="left"/>
        <w:tblInd w:w="200" w:type="dxa"/>
        <w:tblLayout w:type="fixed"/>
        <w:tblCellMar>
          <w:top w:w="0" w:type="dxa"/>
          <w:left w:w="0" w:type="dxa"/>
          <w:bottom w:w="0" w:type="dxa"/>
          <w:right w:w="0" w:type="dxa"/>
        </w:tblCellMar>
      </w:tblPr>
      <w:tblGrid>
        <w:gridCol w:w="7324"/>
        <w:gridCol w:w="346"/>
        <w:gridCol w:w="466"/>
        <w:gridCol w:w="346"/>
        <w:gridCol w:w="466"/>
        <w:gridCol w:w="346"/>
        <w:gridCol w:w="511"/>
      </w:tblGrid>
      <w:tr>
        <w:trPr/>
        <w:tc>
          <w:tcPr>
            <w:tcW w:w="73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7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4650740" cy="175260"/>
                      <wp:effectExtent l="0" t="0" r="0" b="0"/>
                      <wp:wrapNone/>
                      <wp:docPr id="433" name="Frame431"/>
                      <a:graphic xmlns:a="http://schemas.openxmlformats.org/drawingml/2006/main">
                        <a:graphicData uri="http://schemas.microsoft.com/office/word/2010/wordprocessingShape">
                          <wps:wsp>
                            <wps:cNvSpPr txBox="1"/>
                            <wps:spPr>
                              <a:xfrm>
                                <a:off x="0" y="0"/>
                                <a:ext cx="4650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9710" cy="175260"/>
                      <wp:effectExtent l="0" t="0" r="0" b="0"/>
                      <wp:wrapNone/>
                      <wp:docPr id="434" name="Frame4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95910" cy="175260"/>
                      <wp:effectExtent l="0" t="0" r="0" b="0"/>
                      <wp:wrapNone/>
                      <wp:docPr id="435" name="Frame43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36" name="Frame4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95910" cy="175260"/>
                      <wp:effectExtent l="0" t="0" r="0" b="0"/>
                      <wp:wrapNone/>
                      <wp:docPr id="437" name="Frame43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19710" cy="175260"/>
                      <wp:effectExtent l="0" t="0" r="0" b="0"/>
                      <wp:wrapNone/>
                      <wp:docPr id="438" name="Frame4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324485" cy="175260"/>
                      <wp:effectExtent l="0" t="0" r="0" b="0"/>
                      <wp:wrapNone/>
                      <wp:docPr id="439" name="Frame43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24"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3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Actuarial (gains) / losses deriving from changes in financial assumptions</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73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Actuarial (gains) / losses deriving from experience adjustments</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32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Included in other comprehensive income</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3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32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Included in the consolidated statements of profit or loss</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32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included in the consolidated statements of profit or loss and other comprehensive income (loss)</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w:t>
            </w:r>
          </w:p>
        </w:tc>
        <w:tc>
          <w:tcPr>
            <w:tcW w:w="34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interest cost relating to the obligation is a component of the result from financing activities.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following were the principal actuarial assumptions as of:</w:t>
      </w:r>
    </w:p>
    <w:p>
      <w:pPr>
        <w:pStyle w:val="TextBody"/>
        <w:bidi w:val="0"/>
        <w:spacing w:before="0" w:after="240"/>
        <w:ind w:left="200" w:right="200" w:hanging="0"/>
        <w:jc w:val="both"/>
        <w:rPr/>
      </w:pPr>
      <w:r>
        <w:rPr/>
        <w:t>​</w:t>
      </w:r>
    </w:p>
    <w:tbl>
      <w:tblPr>
        <w:tblW w:w="4056" w:type="dxa"/>
        <w:jc w:val="left"/>
        <w:tblInd w:w="200" w:type="dxa"/>
        <w:tblLayout w:type="fixed"/>
        <w:tblCellMar>
          <w:top w:w="0" w:type="dxa"/>
          <w:left w:w="0" w:type="dxa"/>
          <w:bottom w:w="0" w:type="dxa"/>
          <w:right w:w="0" w:type="dxa"/>
        </w:tblCellMar>
      </w:tblPr>
      <w:tblGrid>
        <w:gridCol w:w="1201"/>
        <w:gridCol w:w="346"/>
        <w:gridCol w:w="916"/>
        <w:gridCol w:w="361"/>
        <w:gridCol w:w="916"/>
        <w:gridCol w:w="316"/>
      </w:tblGrid>
      <w:tr>
        <w:trPr/>
        <w:tc>
          <w:tcPr>
            <w:tcW w:w="12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762635" cy="175260"/>
                      <wp:effectExtent l="0" t="0" r="0" b="0"/>
                      <wp:wrapNone/>
                      <wp:docPr id="440" name="Frame438"/>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19710" cy="175260"/>
                      <wp:effectExtent l="0" t="0" r="0" b="0"/>
                      <wp:wrapNone/>
                      <wp:docPr id="441" name="Frame4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581660" cy="175260"/>
                      <wp:effectExtent l="0" t="0" r="0" b="0"/>
                      <wp:wrapNone/>
                      <wp:docPr id="442" name="Frame44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29235" cy="175260"/>
                      <wp:effectExtent l="0" t="0" r="0" b="0"/>
                      <wp:wrapNone/>
                      <wp:docPr id="443" name="Frame44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581660" cy="175260"/>
                      <wp:effectExtent l="0" t="0" r="0" b="0"/>
                      <wp:wrapNone/>
                      <wp:docPr id="444" name="Frame44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00660" cy="175260"/>
                      <wp:effectExtent l="0" t="0" r="0" b="0"/>
                      <wp:wrapNone/>
                      <wp:docPr id="445" name="Frame44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12/31/2025</w:t>
            </w:r>
          </w:p>
        </w:tc>
        <w:tc>
          <w:tcPr>
            <w:tcW w:w="361" w:type="dxa"/>
            <w:tcBorders/>
            <w:vAlign w:val="center"/>
          </w:tcPr>
          <w:p>
            <w:pPr>
              <w:pStyle w:val="TableContents"/>
              <w:bidi w:val="0"/>
              <w:spacing w:before="0" w:after="0"/>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12/31/2024</w:t>
            </w:r>
          </w:p>
        </w:tc>
        <w:tc>
          <w:tcPr>
            <w:tcW w:w="316" w:type="dxa"/>
            <w:tcBorders/>
            <w:vAlign w:val="center"/>
          </w:tcPr>
          <w:p>
            <w:pPr>
              <w:pStyle w:val="TableContents"/>
              <w:bidi w:val="0"/>
              <w:spacing w:before="0" w:after="0"/>
              <w:ind w:left="0" w:right="0" w:hanging="0"/>
              <w:jc w:val="center"/>
              <w:rPr/>
            </w:pPr>
            <w:r>
              <w:rPr/>
              <w:t> </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Duration</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duration of the obligation is 10 years as of December 31, 2025 (December 31, 2024: 11 years).</w:t>
      </w:r>
    </w:p>
    <w:p>
      <w:pPr>
        <w:pStyle w:val="TextBody"/>
        <w:bidi w:val="0"/>
        <w:spacing w:before="0" w:after="0"/>
        <w:ind w:left="200" w:right="200" w:hanging="0"/>
        <w:jc w:val="left"/>
        <w:rPr/>
      </w:pPr>
      <w:r>
        <w:rPr/>
        <w:t>​</w:t>
      </w:r>
    </w:p>
    <w:p>
      <w:pPr>
        <w:pStyle w:val="TextBody"/>
        <w:bidi w:val="0"/>
        <w:spacing w:before="0" w:after="0"/>
        <w:ind w:left="200" w:right="200" w:hanging="0"/>
        <w:jc w:val="left"/>
        <w:rPr>
          <w:rFonts w:ascii="Times New Roman;Times;serif" w:hAnsi="Times New Roman;Times;serif"/>
          <w:sz w:val="20"/>
        </w:rPr>
      </w:pPr>
      <w:bookmarkStart w:id="1385" w:name="Tc_bnNWjTmG6E2o4vNqXExUvw_4_0"/>
      <w:bookmarkStart w:id="1386" w:name="Tc_m2kFQkdByUShOnPb03oLgA_3_0"/>
      <w:bookmarkStart w:id="1387" w:name="Tc_DO81TwNfQUWzX3V5lolcQA_2_0"/>
      <w:bookmarkStart w:id="1388" w:name="Tc_wsB1gx7Pe0mnZoT2RkXyOA_1_4"/>
      <w:bookmarkStart w:id="1389" w:name="Tc_lph1n2ZYIU6oraFUhIpHPg_1_2"/>
      <w:bookmarkStart w:id="1390" w:name="Tc_B-TI9VDdnU6hqdIb76MkIw_1_0"/>
      <w:bookmarkStart w:id="1391" w:name="TRADEANDOTHERPAYABLES_259258"/>
      <w:bookmarkEnd w:id="1385"/>
      <w:bookmarkEnd w:id="1386"/>
      <w:bookmarkEnd w:id="1387"/>
      <w:bookmarkEnd w:id="1388"/>
      <w:bookmarkEnd w:id="1389"/>
      <w:bookmarkEnd w:id="1390"/>
      <w:bookmarkEnd w:id="1391"/>
      <w:r>
        <w:rPr>
          <w:rFonts w:ascii="Times New Roman;Times;serif" w:hAnsi="Times New Roman;Times;serif"/>
          <w:b/>
          <w:i w:val="false"/>
          <w:caps w:val="false"/>
          <w:smallCaps w:val="false"/>
          <w:sz w:val="20"/>
        </w:rPr>
        <w:t>32.</w:t>
      </w:r>
      <w:r>
        <w:rPr>
          <w:rFonts w:ascii="Times New Roman;Times;serif" w:hAnsi="Times New Roman;Times;serif"/>
          <w:b/>
          <w:sz w:val="20"/>
        </w:rPr>
        <w:t>TRADE AND RELATED PARTY PAYABLES</w:t>
      </w:r>
    </w:p>
    <w:p>
      <w:pPr>
        <w:pStyle w:val="TextBody"/>
        <w:bidi w:val="0"/>
        <w:spacing w:before="0" w:after="0"/>
        <w:ind w:left="200" w:right="200" w:hanging="0"/>
        <w:jc w:val="left"/>
        <w:rPr/>
      </w:pPr>
      <w:r>
        <w:rPr/>
        <w:t>​</w:t>
      </w:r>
    </w:p>
    <w:tbl>
      <w:tblPr>
        <w:tblW w:w="5960" w:type="dxa"/>
        <w:jc w:val="left"/>
        <w:tblInd w:w="200" w:type="dxa"/>
        <w:tblLayout w:type="fixed"/>
        <w:tblCellMar>
          <w:top w:w="0" w:type="dxa"/>
          <w:left w:w="0" w:type="dxa"/>
          <w:bottom w:w="0" w:type="dxa"/>
          <w:right w:w="0" w:type="dxa"/>
        </w:tblCellMar>
      </w:tblPr>
      <w:tblGrid>
        <w:gridCol w:w="3391"/>
        <w:gridCol w:w="346"/>
        <w:gridCol w:w="916"/>
        <w:gridCol w:w="346"/>
        <w:gridCol w:w="961"/>
      </w:tblGrid>
      <w:tr>
        <w:trPr/>
        <w:tc>
          <w:tcPr>
            <w:tcW w:w="33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r>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153285" cy="175260"/>
                      <wp:effectExtent l="0" t="0" r="0" b="0"/>
                      <wp:wrapNone/>
                      <wp:docPr id="446" name="Frame444"/>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19710" cy="175260"/>
                      <wp:effectExtent l="0" t="0" r="0" b="0"/>
                      <wp:wrapNone/>
                      <wp:docPr id="447" name="Frame4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581660" cy="175260"/>
                      <wp:effectExtent l="0" t="0" r="0" b="0"/>
                      <wp:wrapNone/>
                      <wp:docPr id="448" name="Frame44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19710" cy="175260"/>
                      <wp:effectExtent l="0" t="0" r="0" b="0"/>
                      <wp:wrapNone/>
                      <wp:docPr id="449" name="Frame4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10235" cy="175260"/>
                      <wp:effectExtent l="0" t="0" r="0" b="0"/>
                      <wp:wrapNone/>
                      <wp:docPr id="450" name="Frame44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1"/>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12/31/2025</w:t>
            </w:r>
          </w:p>
        </w:tc>
        <w:tc>
          <w:tcPr>
            <w:tcW w:w="346" w:type="dxa"/>
            <w:tcBorders/>
            <w:vAlign w:val="center"/>
          </w:tcPr>
          <w:p>
            <w:pPr>
              <w:pStyle w:val="TableContents"/>
              <w:bidi w:val="0"/>
              <w:spacing w:before="0" w:after="1"/>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12/31/2024</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35,408</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27,822</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Associated company payables</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2,663</w:t>
            </w:r>
          </w:p>
        </w:tc>
        <w:tc>
          <w:tcPr>
            <w:tcW w:w="346" w:type="dxa"/>
            <w:tcBorders/>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trade and related party payables</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38,071</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28,179</w:t>
            </w:r>
          </w:p>
        </w:tc>
      </w:tr>
    </w:tbl>
    <w:p>
      <w:pPr>
        <w:pStyle w:val="TextBody"/>
        <w:bidi w:val="0"/>
        <w:spacing w:before="0" w:after="240"/>
        <w:ind w:left="200" w:right="200" w:hanging="0"/>
        <w:jc w:val="both"/>
        <w:rPr/>
      </w:pPr>
      <w:r>
        <w:rPr/>
        <w:t>​</w:t>
      </w:r>
    </w:p>
    <w:p>
      <w:pPr>
        <w:pStyle w:val="TextBody"/>
        <w:bidi w:val="0"/>
        <w:spacing w:before="0" w:after="240"/>
        <w:ind w:left="200" w:right="200" w:hanging="0"/>
        <w:jc w:val="both"/>
        <w:rPr/>
      </w:pPr>
      <w:r>
        <w:rPr/>
        <w:t>​</w:t>
      </w:r>
    </w:p>
    <w:p>
      <w:pPr>
        <w:pStyle w:val="TextBody"/>
        <w:bidi w:val="0"/>
        <w:spacing w:before="0" w:after="240"/>
        <w:ind w:left="200" w:right="200" w:hanging="0"/>
        <w:jc w:val="left"/>
        <w:rPr>
          <w:rFonts w:ascii="Times New Roman;Times;serif" w:hAnsi="Times New Roman;Times;serif"/>
          <w:b/>
          <w:sz w:val="20"/>
        </w:rPr>
      </w:pPr>
      <w:bookmarkStart w:id="1392" w:name="Tc_xWLTgzfaBUanJoJ_8pzx7A_9_0"/>
      <w:bookmarkStart w:id="1393" w:name="Tc_Kc8N1OrrNUun756sPiuC3A_8_0"/>
      <w:bookmarkStart w:id="1394" w:name="Tc_iArwXTJclE-DYcbE7lOJHw_7_0"/>
      <w:bookmarkStart w:id="1395" w:name="Tc_1OVQDF_dlUOGPOXhqgOjug_6_2"/>
      <w:bookmarkStart w:id="1396" w:name="Tc_B6RBRRO0hUaOFUF8BL36cg_6_0"/>
      <w:bookmarkStart w:id="1397" w:name="Tc__v9Wrwj1fUiGW4CVb5y79A_5_0"/>
      <w:bookmarkStart w:id="1398" w:name="Tc_Kgjd5vxKw0CtAilrXDtoJQ_4_0"/>
      <w:bookmarkStart w:id="1399" w:name="Tc_rptJR3mDjkCmTOz9IzihIA_3_0"/>
      <w:bookmarkStart w:id="1400" w:name="Tc_EPg9uRXRFEmSJ6gJsG-0pQ_2_0"/>
      <w:bookmarkStart w:id="1401" w:name="Tc_EnK3ggn-fEeF8rADqv75kA_1_4"/>
      <w:bookmarkStart w:id="1402" w:name="Tc_1zYOrg2TJ0qpUptsg3mYwQ_1_2"/>
      <w:bookmarkStart w:id="1403" w:name="Tc_6gr0Wg7H5EW6SSDVjxv2jA_1_0"/>
      <w:bookmarkStart w:id="1404" w:name="OTHERCURRENTLIABILITIES_117698"/>
      <w:bookmarkEnd w:id="1392"/>
      <w:bookmarkEnd w:id="1393"/>
      <w:bookmarkEnd w:id="1394"/>
      <w:bookmarkEnd w:id="1395"/>
      <w:bookmarkEnd w:id="1396"/>
      <w:bookmarkEnd w:id="1397"/>
      <w:bookmarkEnd w:id="1398"/>
      <w:bookmarkEnd w:id="1399"/>
      <w:bookmarkEnd w:id="1400"/>
      <w:bookmarkEnd w:id="1401"/>
      <w:bookmarkEnd w:id="1402"/>
      <w:bookmarkEnd w:id="1403"/>
      <w:bookmarkEnd w:id="1404"/>
      <w:r>
        <w:rPr>
          <w:rFonts w:ascii="Times New Roman;Times;serif" w:hAnsi="Times New Roman;Times;serif"/>
          <w:b/>
          <w:i w:val="false"/>
          <w:caps w:val="false"/>
          <w:smallCaps w:val="false"/>
          <w:sz w:val="20"/>
        </w:rPr>
        <w:t>33.</w:t>
      </w:r>
      <w:r>
        <w:rPr>
          <w:rFonts w:ascii="Times New Roman;Times;serif" w:hAnsi="Times New Roman;Times;serif"/>
          <w:b/>
          <w:sz w:val="20"/>
        </w:rPr>
        <w:t>OTHER CURRENT LIABILITIES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Other non-financial liabilities are as follows:</w:t>
      </w:r>
    </w:p>
    <w:p>
      <w:pPr>
        <w:pStyle w:val="TextBody"/>
        <w:bidi w:val="0"/>
        <w:spacing w:before="0" w:after="240"/>
        <w:ind w:left="200" w:right="200" w:hanging="0"/>
        <w:jc w:val="both"/>
        <w:rPr/>
      </w:pPr>
      <w:r>
        <w:rPr/>
        <w:t>​</w:t>
      </w:r>
    </w:p>
    <w:tbl>
      <w:tblPr>
        <w:tblW w:w="5780" w:type="dxa"/>
        <w:jc w:val="left"/>
        <w:tblInd w:w="200" w:type="dxa"/>
        <w:tblLayout w:type="fixed"/>
        <w:tblCellMar>
          <w:top w:w="0" w:type="dxa"/>
          <w:left w:w="0" w:type="dxa"/>
          <w:bottom w:w="0" w:type="dxa"/>
          <w:right w:w="0" w:type="dxa"/>
        </w:tblCellMar>
      </w:tblPr>
      <w:tblGrid>
        <w:gridCol w:w="3211"/>
        <w:gridCol w:w="346"/>
        <w:gridCol w:w="916"/>
        <w:gridCol w:w="346"/>
        <w:gridCol w:w="961"/>
      </w:tblGrid>
      <w:tr>
        <w:trPr/>
        <w:tc>
          <w:tcPr>
            <w:tcW w:w="3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r>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38985" cy="175260"/>
                      <wp:effectExtent l="0" t="0" r="0" b="0"/>
                      <wp:wrapNone/>
                      <wp:docPr id="451" name="Frame449"/>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19710" cy="175260"/>
                      <wp:effectExtent l="0" t="0" r="0" b="0"/>
                      <wp:wrapNone/>
                      <wp:docPr id="452" name="Frame4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581660" cy="175260"/>
                      <wp:effectExtent l="0" t="0" r="0" b="0"/>
                      <wp:wrapNone/>
                      <wp:docPr id="453" name="Frame45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19710" cy="175260"/>
                      <wp:effectExtent l="0" t="0" r="0" b="0"/>
                      <wp:wrapNone/>
                      <wp:docPr id="454" name="Frame4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10235" cy="175260"/>
                      <wp:effectExtent l="0" t="0" r="0" b="0"/>
                      <wp:wrapNone/>
                      <wp:docPr id="455" name="Frame45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1"/>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12/31/2025</w:t>
            </w:r>
          </w:p>
        </w:tc>
        <w:tc>
          <w:tcPr>
            <w:tcW w:w="346" w:type="dxa"/>
            <w:tcBorders/>
            <w:vAlign w:val="center"/>
          </w:tcPr>
          <w:p>
            <w:pPr>
              <w:pStyle w:val="TableContents"/>
              <w:bidi w:val="0"/>
              <w:spacing w:before="0" w:after="1"/>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12/31/2024</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Personnel related accruals</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4,621</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2,579</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related accruals</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Audit related accruals</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1,853</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2,400</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Production related accruals</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2,645</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1,596</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 due to reorganization</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2,809</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Legal and consulting fees</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3,140</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Miscellaneous other current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5,142</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4,557</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other current liabilities</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15,505</w:t>
            </w:r>
          </w:p>
        </w:tc>
        <w:tc>
          <w:tcPr>
            <w:tcW w:w="346" w:type="dxa"/>
            <w:tcBorders/>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17,513</w:t>
            </w:r>
          </w:p>
        </w:tc>
      </w:tr>
    </w:tbl>
    <w:p>
      <w:pPr>
        <w:pStyle w:val="TextBody"/>
        <w:bidi w:val="0"/>
        <w:spacing w:before="0" w:after="240"/>
        <w:ind w:left="200" w:right="200" w:hanging="0"/>
        <w:jc w:val="both"/>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bookmarkStart w:id="1405" w:name="Tc_u2WVb93z0Umclweo7VghKA_6_2"/>
      <w:bookmarkStart w:id="1406" w:name="Tc_qhopcDqaa0CUUWe4IXeQ4g_6_0"/>
      <w:bookmarkStart w:id="1407" w:name="Tc_Z1Kd8T3vRE2wwsLS4PKGlw_5_2"/>
      <w:bookmarkStart w:id="1408" w:name="Tc_qo36-JDsoEuWNFteZtsD0A_5_0"/>
      <w:bookmarkStart w:id="1409" w:name="Tc_1Tw3fFZEwUWCeLxVcqYD5g_4_2"/>
      <w:bookmarkStart w:id="1410" w:name="Tc__wqx4kldYkuehmhw7NhU8Q_4_0"/>
      <w:bookmarkStart w:id="1411" w:name="Tc_rsFYtMWz40ywV9W9MWYXNQ_3_2"/>
      <w:bookmarkStart w:id="1412" w:name="Tc_1lHTgHseGUeyDums2WzYkg_3_0"/>
      <w:bookmarkStart w:id="1413" w:name="Tc_BNDXT17_Q0q64k3TSJBy7w_2_4"/>
      <w:bookmarkStart w:id="1414" w:name="Tc_lk4SZBuUcEWnYuejJwtAUQ_2_2"/>
      <w:bookmarkStart w:id="1415" w:name="Tc_mJQ7DaiGU0yzqPJJHZvNgg_2_0"/>
      <w:bookmarkStart w:id="1416" w:name="Tc_2UyZkhp9e0-WCOr2N6_EKA_1_4"/>
      <w:bookmarkStart w:id="1417" w:name="_8ceddea0_9de0_4236_8bac_e61f18e413e9"/>
      <w:bookmarkStart w:id="1418" w:name="Tc_e1RdpEy__keapxZzy19vlA_35_8"/>
      <w:bookmarkStart w:id="1419" w:name="Tc_MbfFJahiHUWjwOh9NW-ENQ_35_6"/>
      <w:bookmarkStart w:id="1420" w:name="Tc_K1-qztex-UG3cHlA3n3-Aw_35_2"/>
      <w:bookmarkStart w:id="1421" w:name="Tc_fqWe3jmVzUGzrflGCAg3Ig_35_0"/>
      <w:bookmarkStart w:id="1422" w:name="Tc_v7htfOnQg0mltifca5kMCg_34_8"/>
      <w:bookmarkStart w:id="1423" w:name="Tc_M47n38YG90-o9pjybbTfEg_34_6"/>
      <w:bookmarkStart w:id="1424" w:name="Tc_YZHNonhOhkaxqn_f-RPWQA_34_2"/>
      <w:bookmarkStart w:id="1425" w:name="Tc_ZchE0CSEwEGjzoFhEKqGtQ_34_0"/>
      <w:bookmarkStart w:id="1426" w:name="Tc_k_HPa6Q0g0uTowbKhROzlg_33_8"/>
      <w:bookmarkStart w:id="1427" w:name="Tc_ejJ1YUtb_UWsDXiLj02p0g_33_6"/>
      <w:bookmarkStart w:id="1428" w:name="Tc_mHJPETK4iEulQf1iH5Er-g_33_2"/>
      <w:bookmarkStart w:id="1429" w:name="Tc_l3LopEziaUi3TWe9Sut25A_33_0"/>
      <w:bookmarkStart w:id="1430" w:name="Tc_SvYs-vbrFEWTwl8xvq1nKA_32_8"/>
      <w:bookmarkStart w:id="1431" w:name="Tc_f0qLc3i6S02cYTT1KrH3Qg_32_6"/>
      <w:bookmarkStart w:id="1432" w:name="Tc_pAQRACNV_UKqKeETEAvNrA_32_2"/>
      <w:bookmarkStart w:id="1433" w:name="Tc_26jODvMF1ky3uz_qBLpe9g_32_0"/>
      <w:bookmarkStart w:id="1434" w:name="Tc_SF9iPeyK_km7UPXcSy-giw_31_8"/>
      <w:bookmarkStart w:id="1435" w:name="Tc_uI_25pjcYk-zYGuA_AKwBw_31_2"/>
      <w:bookmarkStart w:id="1436" w:name="Tc_IWxntEGzE0OavE25G5BUkw_31_0"/>
      <w:bookmarkStart w:id="1437" w:name="Tc_2eLXtoIsC0-3m7JKU2k4SA_30_8"/>
      <w:bookmarkStart w:id="1438" w:name="Tc_q2CaFxq7wUuzjl8vIRvpgg_30_2"/>
      <w:bookmarkStart w:id="1439" w:name="Tc_uhOX5Qo7FUqMFe7fYLL7zw_30_0"/>
      <w:bookmarkStart w:id="1440" w:name="Tc_N4AbyZoSyEmZrI1Hxj98RQ_29_8"/>
      <w:bookmarkStart w:id="1441" w:name="Tc_3D_rW-9OOkeQwqTTjQGAJQ_29_6"/>
      <w:bookmarkStart w:id="1442" w:name="Tc_bgNUynoekU6Lm-IkfPR9dQ_29_2"/>
      <w:bookmarkStart w:id="1443" w:name="Tc_auUSDtWiU0iGE6FmnqjNuQ_29_0"/>
      <w:bookmarkStart w:id="1444" w:name="Tc_Xf7PtmF9J0ubQyhdCLnSRQ_28_0"/>
      <w:bookmarkStart w:id="1445" w:name="Tc_ZGMCIYya5k-VPCf-tSNnPw_26_8"/>
      <w:bookmarkStart w:id="1446" w:name="Tc_No_RNHrEY02FeCrm8uLesQ_26_2"/>
      <w:bookmarkStart w:id="1447" w:name="Tc_NYW0Y1chaEq_erv2KmboeA_26_0"/>
      <w:bookmarkStart w:id="1448" w:name="Tc_wvvp6pDbFEyDaAC-l8w7Zw_25_8"/>
      <w:bookmarkStart w:id="1449" w:name="Tc_ugQyaqrz90ewa6LZb-p6YA_25_6"/>
      <w:bookmarkStart w:id="1450" w:name="Tc_UOyxZLspjE6FpuflRe0Fqw_25_2"/>
      <w:bookmarkStart w:id="1451" w:name="Tc_NaCiR_QT4EOYtpYqxYvTYQ_25_0"/>
      <w:bookmarkStart w:id="1452" w:name="Tc_WOzeJsaB-0KYuo3OFrav8Q_24_8"/>
      <w:bookmarkStart w:id="1453" w:name="Tc_6n-oBlCRLUaZmbE93ITWfw_24_6"/>
      <w:bookmarkStart w:id="1454" w:name="Tc_FpDnSwUsyEao9WQFC2o44Q_24_2"/>
      <w:bookmarkStart w:id="1455" w:name="Tc_TynN-sbztUKV4R3btETCzw_24_0"/>
      <w:bookmarkStart w:id="1456" w:name="Tc_Yi-BCfOWQUmlhHLf6njCDg_23_8"/>
      <w:bookmarkStart w:id="1457" w:name="Tc_vzNY4e_pxkeM28I5ZR8wbg_23_6"/>
      <w:bookmarkStart w:id="1458" w:name="Tc_U4MXfqN7q0KFi57hWmsWRQ_23_2"/>
      <w:bookmarkStart w:id="1459" w:name="Tc_yONNizmxFEisdRSvVwuNqQ_23_0"/>
      <w:bookmarkStart w:id="1460" w:name="Tc_5OFGTSv5Ikmp-SpS5nYTbw_22_8"/>
      <w:bookmarkStart w:id="1461" w:name="Tc_HT44CMxgm0yq3GSuF37vDA_22_2"/>
      <w:bookmarkStart w:id="1462" w:name="Tc_WX1DkvSw-kCswlGuWbSbdg_22_0"/>
      <w:bookmarkStart w:id="1463" w:name="Tc_BNobV7gukE-wkzHDQbzpgQ_21_8"/>
      <w:bookmarkStart w:id="1464" w:name="Tc_n7Z9vc1bXUiRodRVZJZ2lQ_21_6"/>
      <w:bookmarkStart w:id="1465" w:name="Tc_QyTLsRduq0ClcCwL5fjSvw_21_2"/>
      <w:bookmarkStart w:id="1466" w:name="Tc_Z_VcgUCN0UuJ3W5Xl2e3Og_21_0"/>
      <w:bookmarkStart w:id="1467" w:name="Tc_NM8U-zaFeEey-HkL8wRqLg_20_8"/>
      <w:bookmarkStart w:id="1468" w:name="Tc_ROxwpFU9L0KLrUONSvXIGA_20_6"/>
      <w:bookmarkStart w:id="1469" w:name="Tc_07rCRjTw6U-iv6izEWCCgQ_20_2"/>
      <w:bookmarkStart w:id="1470" w:name="Tc_BjAWYTCXP0mWmEMmf4GUdw_20_0"/>
      <w:bookmarkStart w:id="1471" w:name="Tc_8sj9iIJc_ESPHsjJZGwGBQ_19_0"/>
      <w:bookmarkStart w:id="1472" w:name="Tc_bd2TpuoYW0CR4ME4bW3NlA_17_8"/>
      <w:bookmarkStart w:id="1473" w:name="Tc_hoy-XOfRSECJA-Wcq5GJLg_17_6"/>
      <w:bookmarkStart w:id="1474" w:name="Tc_CWtx4v5N8EebieV2kjaiTg_17_2"/>
      <w:bookmarkStart w:id="1475" w:name="Tc_C-jNtmKZq0aB9wU256nVbg_17_0"/>
      <w:bookmarkStart w:id="1476" w:name="Tc_pOcxz9aJF0y6TOSFDWex_Q_16_8"/>
      <w:bookmarkStart w:id="1477" w:name="Tc_GTgiCyNpkEqB2RPjazsxtA_16_6"/>
      <w:bookmarkStart w:id="1478" w:name="Tc_VXuvK3Le00C8sWBPrUMOVg_16_2"/>
      <w:bookmarkStart w:id="1479" w:name="Tc_B1SRsV8LSk-MnEcUvgqnlw_16_0"/>
      <w:bookmarkStart w:id="1480" w:name="Tc_r6Fe09xQAUC1SNfV3L-jyg_15_0"/>
      <w:bookmarkStart w:id="1481" w:name="Tc_x8x68O_1yEGLI2kU-i2c7A_14_8"/>
      <w:bookmarkStart w:id="1482" w:name="Tc_g6I9-U_G0kmLUFjEkTv3aA_14_6"/>
      <w:bookmarkStart w:id="1483" w:name="Tc_Ht-SL7Lys0SRL97iHvkHXw_14_2"/>
      <w:bookmarkStart w:id="1484" w:name="Tc_z8F13od_cEmQ_zEoCjW5mQ_14_0"/>
      <w:bookmarkStart w:id="1485" w:name="Tc_I0HDddeOoEGeNIzmNdhL3Q_13_8"/>
      <w:bookmarkStart w:id="1486" w:name="Tc_3vZPT8MWSUqKkluQY2HccQ_13_6"/>
      <w:bookmarkStart w:id="1487" w:name="Tc_qH7hT02iGkOfPutKHqaH0w_13_2"/>
      <w:bookmarkStart w:id="1488" w:name="Tc_Fal9kf7ABk6lmWJj7hp5Ag_13_0"/>
      <w:bookmarkStart w:id="1489" w:name="Tc_-7qjyqS7okO1Qp5CT1uMUQ_12_8"/>
      <w:bookmarkStart w:id="1490" w:name="Tc_TS-EkEiXE0-ihi5XWiNH6g_12_6"/>
      <w:bookmarkStart w:id="1491" w:name="Tc_MlR04W19GUu_vxZkutTM-g_12_2"/>
      <w:bookmarkStart w:id="1492" w:name="Tc__9YdVz43l0OGcq2M4e89pw_12_0"/>
      <w:bookmarkStart w:id="1493" w:name="Tc_HiSjSZtFC0KWfwiIpsF1kQ_11_0"/>
      <w:bookmarkStart w:id="1494" w:name="Tc_CIhfIxszf0GK2WvOVkGskw_10_0"/>
      <w:bookmarkStart w:id="1495" w:name="Tc_Cz620HZG9EuFihz_b4jycQ_8_8"/>
      <w:bookmarkStart w:id="1496" w:name="Tc_3_PvgkkCYkyznVcjkAdetg_8_6"/>
      <w:bookmarkStart w:id="1497" w:name="Tc_0ZUNWfujS0Kwf7ZxHq5zlg_8_2"/>
      <w:bookmarkStart w:id="1498" w:name="Tc_jmQG7Dar0kiyf0e3HuRndA_8_0"/>
      <w:bookmarkStart w:id="1499" w:name="Tc_NiGEB2DGVEWOh5LMHYqEVw_7_8"/>
      <w:bookmarkStart w:id="1500" w:name="Tc_v_B8zaZXVkmZb8Es_NKESw_7_6"/>
      <w:bookmarkStart w:id="1501" w:name="Tc_4sOHXqZlzUqZnxDeQ9WirQ_7_2"/>
      <w:bookmarkStart w:id="1502" w:name="Tc_pWTl2LcGQ0SPkAljRuWeag_7_0"/>
      <w:bookmarkStart w:id="1503" w:name="Tc_nhW5xr9UHU-Qweumx4TCbg_6_8"/>
      <w:bookmarkStart w:id="1504" w:name="Tc_QUY_zQ0DvUOEpXEo69z1Rw_6_2"/>
      <w:bookmarkStart w:id="1505" w:name="Tc_YCODxsGhUUGzk-o4btUmcg_6_0"/>
      <w:bookmarkStart w:id="1506" w:name="Tc_x5BcIAvBOUqc1xgAa7UpGw_5_8"/>
      <w:bookmarkStart w:id="1507" w:name="Tc_42qM1V9qukmADPHKngPydA_5_2"/>
      <w:bookmarkStart w:id="1508" w:name="Tc_w5hpHRy5GUuIGZoREAMnTw_5_0"/>
      <w:bookmarkStart w:id="1509" w:name="Tc_4npD6WDihkm3aCt-cbMbkQ_4_0"/>
      <w:bookmarkStart w:id="1510" w:name="Tc_f9ztmGPoiU2sPywNIkyNFA_3_8"/>
      <w:bookmarkStart w:id="1511" w:name="Tc_imFcwYBBpkKhfr6x524mmw_3_6"/>
      <w:bookmarkStart w:id="1512" w:name="Tc_iBbNIZQXdESgxfyQp9Y2sw_3_4"/>
      <w:bookmarkStart w:id="1513" w:name="Tc_wzicsYL7vU2vOD0P74tmiA_3_2"/>
      <w:bookmarkStart w:id="1514" w:name="Tc_o9CAYam4aU-clzI0vyH8GA_3_0"/>
      <w:bookmarkStart w:id="1515" w:name="Tc_PtcZtP4oTEaJVVsyk6buhw_2_8"/>
      <w:bookmarkStart w:id="1516" w:name="Tc_JBDpGsua10W1OfTpNb059w_2_4"/>
      <w:bookmarkStart w:id="1517" w:name="Tc_YpoAzBvrgUGhGHyZ0XsXEQ_2_0"/>
      <w:bookmarkStart w:id="1518" w:name="Tc_lWjd_W7I9UmhLynHdha7hg_1_8"/>
      <w:bookmarkStart w:id="1519" w:name="_2ba1ce0d_dc49_4bf7_9ec8_067967ac1fd7"/>
      <w:bookmarkStart w:id="1520" w:name="FINANCIALINSTRUMENTSANDFINANCIALRISKMANA"/>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r>
        <w:rPr>
          <w:rFonts w:ascii="Times New Roman;Times;serif" w:hAnsi="Times New Roman;Times;serif"/>
          <w:b/>
          <w:i w:val="false"/>
          <w:caps w:val="false"/>
          <w:smallCaps w:val="false"/>
          <w:sz w:val="20"/>
        </w:rPr>
        <w:t>34.</w:t>
      </w:r>
      <w:r>
        <w:rPr>
          <w:rFonts w:ascii="Times New Roman;Times;serif" w:hAnsi="Times New Roman;Times;serif"/>
          <w:b/>
          <w:sz w:val="20"/>
        </w:rPr>
        <w:t>FINANCIAL INSTRUMENTS AND FINANCIAL RISK MANAGEMENT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Carrying Amounts and Fair Values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following tables disclose the carrying amounts of each class of financial instruments together with its corresponding fair value and the aggregated carrying amount per category.</w:t>
      </w:r>
    </w:p>
    <w:p>
      <w:pPr>
        <w:pStyle w:val="TextBody"/>
        <w:bidi w:val="0"/>
        <w:spacing w:before="0" w:after="240"/>
        <w:ind w:left="200" w:right="200" w:hanging="0"/>
        <w:jc w:val="both"/>
        <w:rPr/>
      </w:pPr>
      <w:r>
        <w:rPr/>
        <w:t>​</w:t>
      </w:r>
    </w:p>
    <w:tbl>
      <w:tblPr>
        <w:tblW w:w="9069" w:type="dxa"/>
        <w:jc w:val="left"/>
        <w:tblInd w:w="200" w:type="dxa"/>
        <w:tblLayout w:type="fixed"/>
        <w:tblCellMar>
          <w:top w:w="0" w:type="dxa"/>
          <w:left w:w="0" w:type="dxa"/>
          <w:bottom w:w="0" w:type="dxa"/>
          <w:right w:w="0" w:type="dxa"/>
        </w:tblCellMar>
      </w:tblPr>
      <w:tblGrid>
        <w:gridCol w:w="4246"/>
        <w:gridCol w:w="346"/>
        <w:gridCol w:w="796"/>
        <w:gridCol w:w="346"/>
        <w:gridCol w:w="826"/>
        <w:gridCol w:w="346"/>
        <w:gridCol w:w="856"/>
        <w:gridCol w:w="346"/>
        <w:gridCol w:w="961"/>
      </w:tblGrid>
      <w:tr>
        <w:trPr/>
        <w:tc>
          <w:tcPr>
            <w:tcW w:w="42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r>
      <w:tr>
        <w:trPr/>
        <w:tc>
          <w:tcPr>
            <w:tcW w:w="4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696210" cy="175260"/>
                      <wp:effectExtent l="0" t="0" r="0" b="0"/>
                      <wp:wrapNone/>
                      <wp:docPr id="456" name="Frame454"/>
                      <a:graphic xmlns:a="http://schemas.openxmlformats.org/drawingml/2006/main">
                        <a:graphicData uri="http://schemas.microsoft.com/office/word/2010/wordprocessingShape">
                          <wps:wsp>
                            <wps:cNvSpPr txBox="1"/>
                            <wps:spPr>
                              <a:xfrm>
                                <a:off x="0" y="0"/>
                                <a:ext cx="269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19710" cy="175260"/>
                      <wp:effectExtent l="0" t="0" r="0" b="0"/>
                      <wp:wrapNone/>
                      <wp:docPr id="457" name="Frame4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505460" cy="175260"/>
                      <wp:effectExtent l="0" t="0" r="0" b="0"/>
                      <wp:wrapNone/>
                      <wp:docPr id="458" name="Frame45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19710" cy="175260"/>
                      <wp:effectExtent l="0" t="0" r="0" b="0"/>
                      <wp:wrapNone/>
                      <wp:docPr id="459" name="Frame4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524510" cy="175260"/>
                      <wp:effectExtent l="0" t="0" r="0" b="0"/>
                      <wp:wrapNone/>
                      <wp:docPr id="460" name="Frame45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19710" cy="175260"/>
                      <wp:effectExtent l="0" t="0" r="0" b="0"/>
                      <wp:wrapNone/>
                      <wp:docPr id="461" name="Frame4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543560" cy="175260"/>
                      <wp:effectExtent l="0" t="0" r="0" b="0"/>
                      <wp:wrapNone/>
                      <wp:docPr id="462" name="Frame46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19710" cy="175260"/>
                      <wp:effectExtent l="0" t="0" r="0" b="0"/>
                      <wp:wrapNone/>
                      <wp:docPr id="463" name="Frame4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10235" cy="175260"/>
                      <wp:effectExtent l="0" t="0" r="0" b="0"/>
                      <wp:wrapNone/>
                      <wp:docPr id="464" name="Frame46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2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85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12/31/2025</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Financial instruments, analyzed by classes and categories</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Carrying </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value </w:t>
            </w:r>
          </w:p>
        </w:tc>
      </w:tr>
      <w:tr>
        <w:trPr/>
        <w:tc>
          <w:tcPr>
            <w:tcW w:w="42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Category</w:t>
            </w:r>
          </w:p>
        </w:tc>
        <w:tc>
          <w:tcPr>
            <w:tcW w:w="34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hierarchy</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financial assets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Group14 shares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FVTPL</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8,478</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8,478</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Level 3</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XJ Harbour price protection cap derivative </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FVTPL</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7,713</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7,713</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Level 3</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loans and investments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financial assets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financial assets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 and other receivables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28,865</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from equity method investees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4,435</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financial liabilities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banks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FLAC</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Black forest term loan facility</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FLAC</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XJ Harbour price protection derivative</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FVTPL</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9,459</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9,459</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Level 3</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other third parties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FLAC</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shareholders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FLAC</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21,000</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other related parties</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FLAC</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FVTPL</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26,094</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26,094</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Level 1</w:t>
            </w:r>
          </w:p>
        </w:tc>
      </w:tr>
      <w:tr>
        <w:trPr/>
        <w:tc>
          <w:tcPr>
            <w:tcW w:w="4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financial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banks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FLAC</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Black forest term loan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FVTPL</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5,290</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5,290</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Level 3</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XJ Harbour Set-off agreement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FLAC</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64,267</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64,267</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other third parties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FLAC</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3,114</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shareholders</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FLAC</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4,611</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other related parties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FLAC</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8,634</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and related party payables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FLAC</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38,071</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tbl>
      <w:tblPr>
        <w:tblW w:w="6320" w:type="dxa"/>
        <w:jc w:val="left"/>
        <w:tblInd w:w="200" w:type="dxa"/>
        <w:tblLayout w:type="fixed"/>
        <w:tblCellMar>
          <w:top w:w="0" w:type="dxa"/>
          <w:left w:w="0" w:type="dxa"/>
          <w:bottom w:w="0" w:type="dxa"/>
          <w:right w:w="0" w:type="dxa"/>
        </w:tblCellMar>
      </w:tblPr>
      <w:tblGrid>
        <w:gridCol w:w="3946"/>
        <w:gridCol w:w="346"/>
        <w:gridCol w:w="796"/>
        <w:gridCol w:w="346"/>
        <w:gridCol w:w="886"/>
      </w:tblGrid>
      <w:tr>
        <w:trPr/>
        <w:tc>
          <w:tcPr>
            <w:tcW w:w="39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ind w:left="0" w:right="0" w:hanging="0"/>
              <w:jc w:val="left"/>
              <w:rPr>
                <w:sz w:val="4"/>
                <w:szCs w:val="4"/>
              </w:rPr>
            </w:pPr>
            <w:r>
              <w:rPr>
                <w:sz w:val="4"/>
                <w:szCs w:val="4"/>
              </w:rPr>
            </w:r>
          </w:p>
        </w:tc>
      </w:tr>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505710" cy="175260"/>
                      <wp:effectExtent l="0" t="0" r="0" b="0"/>
                      <wp:wrapNone/>
                      <wp:docPr id="465" name="Frame463"/>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19710" cy="175260"/>
                      <wp:effectExtent l="0" t="0" r="0" b="0"/>
                      <wp:wrapNone/>
                      <wp:docPr id="466" name="Frame4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505460" cy="175260"/>
                      <wp:effectExtent l="0" t="0" r="0" b="0"/>
                      <wp:wrapNone/>
                      <wp:docPr id="467" name="Frame46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19710" cy="175260"/>
                      <wp:effectExtent l="0" t="0" r="0" b="0"/>
                      <wp:wrapNone/>
                      <wp:docPr id="468" name="Frame4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562610" cy="175260"/>
                      <wp:effectExtent l="0" t="0" r="0" b="0"/>
                      <wp:wrapNone/>
                      <wp:docPr id="469" name="Frame46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Carrying </w:t>
            </w:r>
          </w:p>
        </w:tc>
      </w:tr>
      <w:tr>
        <w:trPr/>
        <w:tc>
          <w:tcPr>
            <w:tcW w:w="39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Thereof aggregated by categories</w:t>
            </w:r>
          </w:p>
        </w:tc>
        <w:tc>
          <w:tcPr>
            <w:tcW w:w="34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Category</w:t>
            </w:r>
          </w:p>
        </w:tc>
        <w:tc>
          <w:tcPr>
            <w:tcW w:w="34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assets measured at amortized cost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35,286</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assets measured at fair value</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FVTPL</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16,191</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liabilities measured at fair value</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FVTPL</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40,843</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liabilities measured at amortized cost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FLAC</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155,893</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200" w:after="200"/>
        <w:ind w:left="200" w:right="200" w:hanging="0"/>
        <w:jc w:val="left"/>
        <w:rPr>
          <w:sz w:val="4"/>
          <w:szCs w:val="4"/>
        </w:rPr>
      </w:pPr>
      <w:r>
        <w:rPr>
          <w:sz w:val="4"/>
          <w:szCs w:val="4"/>
        </w:rPr>
      </w:r>
      <w:bookmarkStart w:id="1521" w:name="Tc_VAuR7bAWN0GpX6_ly67KzQ_5_2"/>
      <w:bookmarkStart w:id="1522" w:name="Tc_f74eQc_cq0m1FzN3OyGsxw_5_0"/>
      <w:bookmarkStart w:id="1523" w:name="Tc_4VycBr5F5UmQgqCNaKqm8A_4_2"/>
      <w:bookmarkStart w:id="1524" w:name="Tc_FNKukNDdfU-X051BYMUaFw_4_0"/>
      <w:bookmarkStart w:id="1525" w:name="Tc_hClRpYrZ7EK0xcFA8Uv6gg_3_2"/>
      <w:bookmarkStart w:id="1526" w:name="Tc_FRV7FomcWk2f81XuOhcDbQ_3_0"/>
      <w:bookmarkStart w:id="1527" w:name="Tc_s25795oozUKELtkyxaOudQ_2_4"/>
      <w:bookmarkStart w:id="1528" w:name="Tc_auXi0OlrxUmPWnooXagAnA_2_2"/>
      <w:bookmarkStart w:id="1529" w:name="Tc_dwage4Rx802P3H-mt5d5jw_2_0"/>
      <w:bookmarkStart w:id="1530" w:name="Tc_1JFBpRBsMkq9ehuq6X2Hlg_1_4"/>
      <w:bookmarkStart w:id="1531" w:name="_d801f280_655b_4008_9ade_debd739a48a6"/>
      <w:bookmarkStart w:id="1532" w:name="Tc_8PKmPp37TEGQzZw-xwUAJw_34_8"/>
      <w:bookmarkStart w:id="1533" w:name="Tc_P_v0IciNbE-BC9zORoravw_34_6"/>
      <w:bookmarkStart w:id="1534" w:name="Tc_YAoqeZA4ek69oqrdc2CSQg_34_2"/>
      <w:bookmarkStart w:id="1535" w:name="Tc_wiSuykVuAk6J6uYNL2ThVA_34_0"/>
      <w:bookmarkStart w:id="1536" w:name="Tc_XrcQcvcpfEq-IcLOYrhsYg_33_8"/>
      <w:bookmarkStart w:id="1537" w:name="Tc_VZrsLEUnw0ucoHL4PqvkoA_33_6"/>
      <w:bookmarkStart w:id="1538" w:name="Tc_dQYdVP464UqThjb_Z6SHvQ_33_2"/>
      <w:bookmarkStart w:id="1539" w:name="Tc_OLIl8Pu-_UWqX2OqzhaUYQ_33_0"/>
      <w:bookmarkStart w:id="1540" w:name="Tc_3nlRENqtvU-wwqn5JdNJTg_32_8"/>
      <w:bookmarkStart w:id="1541" w:name="Tc_n493V1wyoEqLjRMfFpQS8g_32_6"/>
      <w:bookmarkStart w:id="1542" w:name="Tc_PA2DvAH4QE2zospibTh-7Q_32_2"/>
      <w:bookmarkStart w:id="1543" w:name="Tc_xleRdLiqxki3uF9dHi5P7w_32_0"/>
      <w:bookmarkStart w:id="1544" w:name="Tc_McsV-lQzPkSKeg80CnTkqw_31_8"/>
      <w:bookmarkStart w:id="1545" w:name="Tc_JB2aEkq78EeKm-99Mz5f9g_31_6"/>
      <w:bookmarkStart w:id="1546" w:name="Tc_G4aDEpyu7EyOGjuL9SpMkw_31_2"/>
      <w:bookmarkStart w:id="1547" w:name="Tc_-mmBWpvdSUO-YYxVY3Z2JA_31_0"/>
      <w:bookmarkStart w:id="1548" w:name="Tc_jFnkPnGUFkigTj5Z-dBxqg_30_8"/>
      <w:bookmarkStart w:id="1549" w:name="Tc_cf56DBtM7EmaNW50MLbGsA_30_6"/>
      <w:bookmarkStart w:id="1550" w:name="Tc_RogBZeSEGU2-DowMbpay5A_30_2"/>
      <w:bookmarkStart w:id="1551" w:name="Tc_7dA9wW9HY0-JIgXyh-dJ4Q_30_0"/>
      <w:bookmarkStart w:id="1552" w:name="Tc_l9np85hBEESojghTFXjErg_29_0"/>
      <w:bookmarkStart w:id="1553" w:name="Tc_MsEWFBNCyUqLCLcIPNWZzQ_28_0"/>
      <w:bookmarkStart w:id="1554" w:name="Tc_XmGZAirY4k2_Go3D_tiMKQ_26_8"/>
      <w:bookmarkStart w:id="1555" w:name="Tc_YEru7Ki_H0OwyjQw9sHf5Q_26_2"/>
      <w:bookmarkStart w:id="1556" w:name="Tc_HVbFwLAOjEqzw2T0TONGnQ_26_0"/>
      <w:bookmarkStart w:id="1557" w:name="Tc_003ButumH0uE15VttoGyWA_25_0"/>
      <w:bookmarkStart w:id="1558" w:name="Tc_Xo5gBW57wk62GhLDXpVkkg_24_8"/>
      <w:bookmarkStart w:id="1559" w:name="Tc_dlvKXJ5L50-Q_cq7GCVvgQ_24_2"/>
      <w:bookmarkStart w:id="1560" w:name="Tc_esuvxEof4kKQDgtoUfsXMA_24_0"/>
      <w:bookmarkStart w:id="1561" w:name="Tc_jtHUaClkiEWWgEMWhhmNXg_23_8"/>
      <w:bookmarkStart w:id="1562" w:name="Tc_Xfna-kmoNk2qb87UFV-d4A_23_2"/>
      <w:bookmarkStart w:id="1563" w:name="Tc_AcMFa9BqTEOEmpgefTx9mQ_23_0"/>
      <w:bookmarkStart w:id="1564" w:name="Tc_d0aF37ropUyCUWbR4bJO7Q_22_8"/>
      <w:bookmarkStart w:id="1565" w:name="Tc_67Lgmu6zNECd45ScGwDR6A_22_2"/>
      <w:bookmarkStart w:id="1566" w:name="Tc_r7OKdGieO0CAiThiN9MfaQ_22_0"/>
      <w:bookmarkStart w:id="1567" w:name="Tc_qUZxUqH1CEO6qWmQVAo4tg_21_0"/>
      <w:bookmarkStart w:id="1568" w:name="Tc_lWpf1D_NiUu3Z3Ffx_G_Mg_20_0"/>
      <w:bookmarkStart w:id="1569" w:name="Tc_qDssi_da9kyz4OQ14AfqEg_18_8"/>
      <w:bookmarkStart w:id="1570" w:name="Tc_9yHEH47yb02-mh7mFDek5Q_18_6"/>
      <w:bookmarkStart w:id="1571" w:name="Tc_5nXUc8rwtkS2OgJEaxxshg_18_2"/>
      <w:bookmarkStart w:id="1572" w:name="Tc_PTViZpyUQUKwAT_0T8yoaA_18_0"/>
      <w:bookmarkStart w:id="1573" w:name="Tc_QwHCYPpHk0On0iamfCJwrg_17_8"/>
      <w:bookmarkStart w:id="1574" w:name="Tc_6ui_ZXYjlEqFBI2A5-lnLA_17_6"/>
      <w:bookmarkStart w:id="1575" w:name="Tc_EEnndGU940GS7Hak10C1mA_17_2"/>
      <w:bookmarkStart w:id="1576" w:name="Tc_Hr7_zxCE6U2olJG_Breqww_17_0"/>
      <w:bookmarkStart w:id="1577" w:name="Tc_cmcMsueKVEypILd4n2Ov1w_16_8"/>
      <w:bookmarkStart w:id="1578" w:name="Tc_7UKHVidt20KHXDGjas3Kgw_16_6"/>
      <w:bookmarkStart w:id="1579" w:name="Tc_fCiI8HI4yUuVx945r41ciQ_16_2"/>
      <w:bookmarkStart w:id="1580" w:name="Tc_F__EXLTMeEWggf1sARqesA_16_0"/>
      <w:bookmarkStart w:id="1581" w:name="Tc_-HN3Oo2nLE2680A85CnzCQ_15_0"/>
      <w:bookmarkStart w:id="1582" w:name="Tc_GUZ7KAOUL0eszTm4i1THeg_14_8"/>
      <w:bookmarkStart w:id="1583" w:name="Tc_Vl2VB4dFPE2DWoGOgD7cIw_14_6"/>
      <w:bookmarkStart w:id="1584" w:name="Tc_Yogkl159REK7ihbRzC_RNA_14_2"/>
      <w:bookmarkStart w:id="1585" w:name="Tc_0PE0CGgvC0CTRdzD4G5bTw_14_0"/>
      <w:bookmarkStart w:id="1586" w:name="Tc_nQdz7r77S02fTtTnxj5g9Q_13_8"/>
      <w:bookmarkStart w:id="1587" w:name="Tc_OAgJNtgsukuHmFyMTY_EFA_13_6"/>
      <w:bookmarkStart w:id="1588" w:name="Tc_z_31OlVI8UqZaYOFMEHccA_13_2"/>
      <w:bookmarkStart w:id="1589" w:name="Tc_WuiJzT1ARUWaK-uF7uDHTw_13_0"/>
      <w:bookmarkStart w:id="1590" w:name="Tc_xqW1MjRvMU-ap4_I_3hmvg_12_8"/>
      <w:bookmarkStart w:id="1591" w:name="Tc_IYo_OByg6ECrMs6HUznNSQ_12_6"/>
      <w:bookmarkStart w:id="1592" w:name="Tc_Paq1URXTlUSsfa3WbTaLlQ_12_2"/>
      <w:bookmarkStart w:id="1593" w:name="Tc_QvubiriXXUumzYNtsDX16g_12_0"/>
      <w:bookmarkStart w:id="1594" w:name="Tc_HRmP-R0b9kWKU_KCc0ZRsg_11_8"/>
      <w:bookmarkStart w:id="1595" w:name="Tc_Ai9yl5ws7UW37ucodQwFXw_11_6"/>
      <w:bookmarkStart w:id="1596" w:name="Tc_TGRUyWb_tUiE8HERU6H8MA_11_2"/>
      <w:bookmarkStart w:id="1597" w:name="Tc_OBpLrCOILEe0xpjjmgqFnA_11_0"/>
      <w:bookmarkStart w:id="1598" w:name="Tc_TDMGXSkYkEqznNgvnNodBg_10_0"/>
      <w:bookmarkStart w:id="1599" w:name="Tc_eP5a3KcEok-4TQN1A5HHFQ_9_0"/>
      <w:bookmarkStart w:id="1600" w:name="Tc_2irJJLlIs0Ww-0q2_tSeYQ_7_8"/>
      <w:bookmarkStart w:id="1601" w:name="Tc_6yl-Ya4i9kKzkkWj7YNNoQ_7_6"/>
      <w:bookmarkStart w:id="1602" w:name="Tc_4x7LmeRG9ECMk4q2ET8G-A_7_2"/>
      <w:bookmarkStart w:id="1603" w:name="Tc_xe2DtVnfbU2uwEstns_8QQ_7_0"/>
      <w:bookmarkStart w:id="1604" w:name="Tc_pecclw5WgECJGxSXusPPow_6_8"/>
      <w:bookmarkStart w:id="1605" w:name="Tc_CarTQS96h0uoT-WtTx1qmQ_6_2"/>
      <w:bookmarkStart w:id="1606" w:name="Tc_YrJz72lsEUyKfhXv7hTd1A_6_0"/>
      <w:bookmarkStart w:id="1607" w:name="Tc_xxdUuU44AkWSMCs1zT106w_5_0"/>
      <w:bookmarkStart w:id="1608" w:name="Tc_VqIXIEtRyUSVLc3YeMMZZg_4_0"/>
      <w:bookmarkStart w:id="1609" w:name="Tc_A0PddJx4VUauRYlU8e8BOA_3_8"/>
      <w:bookmarkStart w:id="1610" w:name="Tc_SDMyio_xkkKvSbe6Lfincw_3_6"/>
      <w:bookmarkStart w:id="1611" w:name="Tc_Rap5Ddmhm0CvQ04-uGhLtQ_3_4"/>
      <w:bookmarkStart w:id="1612" w:name="Tc_J1jPaCiOl0muYt7vZ1KVVA_3_2"/>
      <w:bookmarkStart w:id="1613" w:name="Tc_8dbGbdY9n0qmtvJm6bvQPw_3_0"/>
      <w:bookmarkStart w:id="1614" w:name="Tc_L5H59gKUaUuntHPbr4tNdw_2_8"/>
      <w:bookmarkStart w:id="1615" w:name="Tc_gWtDEMB5JUOrAxUujVohfA_2_4"/>
      <w:bookmarkStart w:id="1616" w:name="Tc_4SJG8uOG1E6FlipmK7YfXQ_2_0"/>
      <w:bookmarkStart w:id="1617" w:name="Tc_6D1PFm6-zkuilXPe6qbniw_1_8"/>
      <w:bookmarkStart w:id="1618" w:name="_4e987905_bbfb_4353_9082_e0f6559b7c3f"/>
      <w:bookmarkStart w:id="1619" w:name="Tc_VAuR7bAWN0GpX6_ly67KzQ_5_2"/>
      <w:bookmarkStart w:id="1620" w:name="Tc_f74eQc_cq0m1FzN3OyGsxw_5_0"/>
      <w:bookmarkStart w:id="1621" w:name="Tc_4VycBr5F5UmQgqCNaKqm8A_4_2"/>
      <w:bookmarkStart w:id="1622" w:name="Tc_FNKukNDdfU-X051BYMUaFw_4_0"/>
      <w:bookmarkStart w:id="1623" w:name="Tc_hClRpYrZ7EK0xcFA8Uv6gg_3_2"/>
      <w:bookmarkStart w:id="1624" w:name="Tc_FRV7FomcWk2f81XuOhcDbQ_3_0"/>
      <w:bookmarkStart w:id="1625" w:name="Tc_s25795oozUKELtkyxaOudQ_2_4"/>
      <w:bookmarkStart w:id="1626" w:name="Tc_auXi0OlrxUmPWnooXagAnA_2_2"/>
      <w:bookmarkStart w:id="1627" w:name="Tc_dwage4Rx802P3H-mt5d5jw_2_0"/>
      <w:bookmarkStart w:id="1628" w:name="Tc_1JFBpRBsMkq9ehuq6X2Hlg_1_4"/>
      <w:bookmarkStart w:id="1629" w:name="_d801f280_655b_4008_9ade_debd739a48a6"/>
      <w:bookmarkStart w:id="1630" w:name="Tc_8PKmPp37TEGQzZw-xwUAJw_34_8"/>
      <w:bookmarkStart w:id="1631" w:name="Tc_P_v0IciNbE-BC9zORoravw_34_6"/>
      <w:bookmarkStart w:id="1632" w:name="Tc_YAoqeZA4ek69oqrdc2CSQg_34_2"/>
      <w:bookmarkStart w:id="1633" w:name="Tc_wiSuykVuAk6J6uYNL2ThVA_34_0"/>
      <w:bookmarkStart w:id="1634" w:name="Tc_XrcQcvcpfEq-IcLOYrhsYg_33_8"/>
      <w:bookmarkStart w:id="1635" w:name="Tc_VZrsLEUnw0ucoHL4PqvkoA_33_6"/>
      <w:bookmarkStart w:id="1636" w:name="Tc_dQYdVP464UqThjb_Z6SHvQ_33_2"/>
      <w:bookmarkStart w:id="1637" w:name="Tc_OLIl8Pu-_UWqX2OqzhaUYQ_33_0"/>
      <w:bookmarkStart w:id="1638" w:name="Tc_3nlRENqtvU-wwqn5JdNJTg_32_8"/>
      <w:bookmarkStart w:id="1639" w:name="Tc_n493V1wyoEqLjRMfFpQS8g_32_6"/>
      <w:bookmarkStart w:id="1640" w:name="Tc_PA2DvAH4QE2zospibTh-7Q_32_2"/>
      <w:bookmarkStart w:id="1641" w:name="Tc_xleRdLiqxki3uF9dHi5P7w_32_0"/>
      <w:bookmarkStart w:id="1642" w:name="Tc_McsV-lQzPkSKeg80CnTkqw_31_8"/>
      <w:bookmarkStart w:id="1643" w:name="Tc_JB2aEkq78EeKm-99Mz5f9g_31_6"/>
      <w:bookmarkStart w:id="1644" w:name="Tc_G4aDEpyu7EyOGjuL9SpMkw_31_2"/>
      <w:bookmarkStart w:id="1645" w:name="Tc_-mmBWpvdSUO-YYxVY3Z2JA_31_0"/>
      <w:bookmarkStart w:id="1646" w:name="Tc_jFnkPnGUFkigTj5Z-dBxqg_30_8"/>
      <w:bookmarkStart w:id="1647" w:name="Tc_cf56DBtM7EmaNW50MLbGsA_30_6"/>
      <w:bookmarkStart w:id="1648" w:name="Tc_RogBZeSEGU2-DowMbpay5A_30_2"/>
      <w:bookmarkStart w:id="1649" w:name="Tc_7dA9wW9HY0-JIgXyh-dJ4Q_30_0"/>
      <w:bookmarkStart w:id="1650" w:name="Tc_l9np85hBEESojghTFXjErg_29_0"/>
      <w:bookmarkStart w:id="1651" w:name="Tc_MsEWFBNCyUqLCLcIPNWZzQ_28_0"/>
      <w:bookmarkStart w:id="1652" w:name="Tc_XmGZAirY4k2_Go3D_tiMKQ_26_8"/>
      <w:bookmarkStart w:id="1653" w:name="Tc_YEru7Ki_H0OwyjQw9sHf5Q_26_2"/>
      <w:bookmarkStart w:id="1654" w:name="Tc_HVbFwLAOjEqzw2T0TONGnQ_26_0"/>
      <w:bookmarkStart w:id="1655" w:name="Tc_003ButumH0uE15VttoGyWA_25_0"/>
      <w:bookmarkStart w:id="1656" w:name="Tc_Xo5gBW57wk62GhLDXpVkkg_24_8"/>
      <w:bookmarkStart w:id="1657" w:name="Tc_dlvKXJ5L50-Q_cq7GCVvgQ_24_2"/>
      <w:bookmarkStart w:id="1658" w:name="Tc_esuvxEof4kKQDgtoUfsXMA_24_0"/>
      <w:bookmarkStart w:id="1659" w:name="Tc_jtHUaClkiEWWgEMWhhmNXg_23_8"/>
      <w:bookmarkStart w:id="1660" w:name="Tc_Xfna-kmoNk2qb87UFV-d4A_23_2"/>
      <w:bookmarkStart w:id="1661" w:name="Tc_AcMFa9BqTEOEmpgefTx9mQ_23_0"/>
      <w:bookmarkStart w:id="1662" w:name="Tc_d0aF37ropUyCUWbR4bJO7Q_22_8"/>
      <w:bookmarkStart w:id="1663" w:name="Tc_67Lgmu6zNECd45ScGwDR6A_22_2"/>
      <w:bookmarkStart w:id="1664" w:name="Tc_r7OKdGieO0CAiThiN9MfaQ_22_0"/>
      <w:bookmarkStart w:id="1665" w:name="Tc_qUZxUqH1CEO6qWmQVAo4tg_21_0"/>
      <w:bookmarkStart w:id="1666" w:name="Tc_lWpf1D_NiUu3Z3Ffx_G_Mg_20_0"/>
      <w:bookmarkStart w:id="1667" w:name="Tc_qDssi_da9kyz4OQ14AfqEg_18_8"/>
      <w:bookmarkStart w:id="1668" w:name="Tc_9yHEH47yb02-mh7mFDek5Q_18_6"/>
      <w:bookmarkStart w:id="1669" w:name="Tc_5nXUc8rwtkS2OgJEaxxshg_18_2"/>
      <w:bookmarkStart w:id="1670" w:name="Tc_PTViZpyUQUKwAT_0T8yoaA_18_0"/>
      <w:bookmarkStart w:id="1671" w:name="Tc_QwHCYPpHk0On0iamfCJwrg_17_8"/>
      <w:bookmarkStart w:id="1672" w:name="Tc_6ui_ZXYjlEqFBI2A5-lnLA_17_6"/>
      <w:bookmarkStart w:id="1673" w:name="Tc_EEnndGU940GS7Hak10C1mA_17_2"/>
      <w:bookmarkStart w:id="1674" w:name="Tc_Hr7_zxCE6U2olJG_Breqww_17_0"/>
      <w:bookmarkStart w:id="1675" w:name="Tc_cmcMsueKVEypILd4n2Ov1w_16_8"/>
      <w:bookmarkStart w:id="1676" w:name="Tc_7UKHVidt20KHXDGjas3Kgw_16_6"/>
      <w:bookmarkStart w:id="1677" w:name="Tc_fCiI8HI4yUuVx945r41ciQ_16_2"/>
      <w:bookmarkStart w:id="1678" w:name="Tc_F__EXLTMeEWggf1sARqesA_16_0"/>
      <w:bookmarkStart w:id="1679" w:name="Tc_-HN3Oo2nLE2680A85CnzCQ_15_0"/>
      <w:bookmarkStart w:id="1680" w:name="Tc_GUZ7KAOUL0eszTm4i1THeg_14_8"/>
      <w:bookmarkStart w:id="1681" w:name="Tc_Vl2VB4dFPE2DWoGOgD7cIw_14_6"/>
      <w:bookmarkStart w:id="1682" w:name="Tc_Yogkl159REK7ihbRzC_RNA_14_2"/>
      <w:bookmarkStart w:id="1683" w:name="Tc_0PE0CGgvC0CTRdzD4G5bTw_14_0"/>
      <w:bookmarkStart w:id="1684" w:name="Tc_nQdz7r77S02fTtTnxj5g9Q_13_8"/>
      <w:bookmarkStart w:id="1685" w:name="Tc_OAgJNtgsukuHmFyMTY_EFA_13_6"/>
      <w:bookmarkStart w:id="1686" w:name="Tc_z_31OlVI8UqZaYOFMEHccA_13_2"/>
      <w:bookmarkStart w:id="1687" w:name="Tc_WuiJzT1ARUWaK-uF7uDHTw_13_0"/>
      <w:bookmarkStart w:id="1688" w:name="Tc_xqW1MjRvMU-ap4_I_3hmvg_12_8"/>
      <w:bookmarkStart w:id="1689" w:name="Tc_IYo_OByg6ECrMs6HUznNSQ_12_6"/>
      <w:bookmarkStart w:id="1690" w:name="Tc_Paq1URXTlUSsfa3WbTaLlQ_12_2"/>
      <w:bookmarkStart w:id="1691" w:name="Tc_QvubiriXXUumzYNtsDX16g_12_0"/>
      <w:bookmarkStart w:id="1692" w:name="Tc_HRmP-R0b9kWKU_KCc0ZRsg_11_8"/>
      <w:bookmarkStart w:id="1693" w:name="Tc_Ai9yl5ws7UW37ucodQwFXw_11_6"/>
      <w:bookmarkStart w:id="1694" w:name="Tc_TGRUyWb_tUiE8HERU6H8MA_11_2"/>
      <w:bookmarkStart w:id="1695" w:name="Tc_OBpLrCOILEe0xpjjmgqFnA_11_0"/>
      <w:bookmarkStart w:id="1696" w:name="Tc_TDMGXSkYkEqznNgvnNodBg_10_0"/>
      <w:bookmarkStart w:id="1697" w:name="Tc_eP5a3KcEok-4TQN1A5HHFQ_9_0"/>
      <w:bookmarkStart w:id="1698" w:name="Tc_2irJJLlIs0Ww-0q2_tSeYQ_7_8"/>
      <w:bookmarkStart w:id="1699" w:name="Tc_6yl-Ya4i9kKzkkWj7YNNoQ_7_6"/>
      <w:bookmarkStart w:id="1700" w:name="Tc_4x7LmeRG9ECMk4q2ET8G-A_7_2"/>
      <w:bookmarkStart w:id="1701" w:name="Tc_xe2DtVnfbU2uwEstns_8QQ_7_0"/>
      <w:bookmarkStart w:id="1702" w:name="Tc_pecclw5WgECJGxSXusPPow_6_8"/>
      <w:bookmarkStart w:id="1703" w:name="Tc_CarTQS96h0uoT-WtTx1qmQ_6_2"/>
      <w:bookmarkStart w:id="1704" w:name="Tc_YrJz72lsEUyKfhXv7hTd1A_6_0"/>
      <w:bookmarkStart w:id="1705" w:name="Tc_xxdUuU44AkWSMCs1zT106w_5_0"/>
      <w:bookmarkStart w:id="1706" w:name="Tc_VqIXIEtRyUSVLc3YeMMZZg_4_0"/>
      <w:bookmarkStart w:id="1707" w:name="Tc_A0PddJx4VUauRYlU8e8BOA_3_8"/>
      <w:bookmarkStart w:id="1708" w:name="Tc_SDMyio_xkkKvSbe6Lfincw_3_6"/>
      <w:bookmarkStart w:id="1709" w:name="Tc_Rap5Ddmhm0CvQ04-uGhLtQ_3_4"/>
      <w:bookmarkStart w:id="1710" w:name="Tc_J1jPaCiOl0muYt7vZ1KVVA_3_2"/>
      <w:bookmarkStart w:id="1711" w:name="Tc_8dbGbdY9n0qmtvJm6bvQPw_3_0"/>
      <w:bookmarkStart w:id="1712" w:name="Tc_L5H59gKUaUuntHPbr4tNdw_2_8"/>
      <w:bookmarkStart w:id="1713" w:name="Tc_gWtDEMB5JUOrAxUujVohfA_2_4"/>
      <w:bookmarkStart w:id="1714" w:name="Tc_4SJG8uOG1E6FlipmK7YfXQ_2_0"/>
      <w:bookmarkStart w:id="1715" w:name="Tc_6D1PFm6-zkuilXPe6qbniw_1_8"/>
      <w:bookmarkStart w:id="1716" w:name="_4e987905_bbfb_4353_9082_e0f6559b7c3f"/>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p>
    <w:tbl>
      <w:tblPr>
        <w:tblW w:w="9024" w:type="dxa"/>
        <w:jc w:val="left"/>
        <w:tblInd w:w="200" w:type="dxa"/>
        <w:tblLayout w:type="fixed"/>
        <w:tblCellMar>
          <w:top w:w="0" w:type="dxa"/>
          <w:left w:w="0" w:type="dxa"/>
          <w:bottom w:w="0" w:type="dxa"/>
          <w:right w:w="0" w:type="dxa"/>
        </w:tblCellMar>
      </w:tblPr>
      <w:tblGrid>
        <w:gridCol w:w="4246"/>
        <w:gridCol w:w="346"/>
        <w:gridCol w:w="796"/>
        <w:gridCol w:w="346"/>
        <w:gridCol w:w="781"/>
        <w:gridCol w:w="346"/>
        <w:gridCol w:w="856"/>
        <w:gridCol w:w="346"/>
        <w:gridCol w:w="961"/>
      </w:tblGrid>
      <w:tr>
        <w:trPr/>
        <w:tc>
          <w:tcPr>
            <w:tcW w:w="42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r>
      <w:tr>
        <w:trPr/>
        <w:tc>
          <w:tcPr>
            <w:tcW w:w="4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696210" cy="175260"/>
                      <wp:effectExtent l="0" t="0" r="0" b="0"/>
                      <wp:wrapNone/>
                      <wp:docPr id="470" name="Frame468"/>
                      <a:graphic xmlns:a="http://schemas.openxmlformats.org/drawingml/2006/main">
                        <a:graphicData uri="http://schemas.microsoft.com/office/word/2010/wordprocessingShape">
                          <wps:wsp>
                            <wps:cNvSpPr txBox="1"/>
                            <wps:spPr>
                              <a:xfrm>
                                <a:off x="0" y="0"/>
                                <a:ext cx="269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19710" cy="175260"/>
                      <wp:effectExtent l="0" t="0" r="0" b="0"/>
                      <wp:wrapNone/>
                      <wp:docPr id="471" name="Frame4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505460" cy="175260"/>
                      <wp:effectExtent l="0" t="0" r="0" b="0"/>
                      <wp:wrapNone/>
                      <wp:docPr id="472" name="Frame47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19710" cy="175260"/>
                      <wp:effectExtent l="0" t="0" r="0" b="0"/>
                      <wp:wrapNone/>
                      <wp:docPr id="473" name="Frame4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495935" cy="175260"/>
                      <wp:effectExtent l="0" t="0" r="0" b="0"/>
                      <wp:wrapNone/>
                      <wp:docPr id="474" name="Frame4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19710" cy="175260"/>
                      <wp:effectExtent l="0" t="0" r="0" b="0"/>
                      <wp:wrapNone/>
                      <wp:docPr id="475" name="Frame4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543560" cy="175260"/>
                      <wp:effectExtent l="0" t="0" r="0" b="0"/>
                      <wp:wrapNone/>
                      <wp:docPr id="476" name="Frame47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19710" cy="175260"/>
                      <wp:effectExtent l="0" t="0" r="0" b="0"/>
                      <wp:wrapNone/>
                      <wp:docPr id="477" name="Frame4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10235" cy="175260"/>
                      <wp:effectExtent l="0" t="0" r="0" b="0"/>
                      <wp:wrapNone/>
                      <wp:docPr id="478" name="Frame476"/>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85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12/31/2024</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Financial instruments, analyzed by classes and categories</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42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Category</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hierarchy</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financial assets</w:t>
            </w:r>
          </w:p>
        </w:tc>
        <w:tc>
          <w:tcPr>
            <w:tcW w:w="346"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85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961" w:type="dxa"/>
            <w:tcBorders/>
            <w:shd w:fill="CCEEFF" w:val="clear"/>
            <w:vAlign w:val="center"/>
          </w:tcPr>
          <w:p>
            <w:pPr>
              <w:pStyle w:val="TableContents"/>
              <w:bidi w:val="0"/>
              <w:spacing w:before="0" w:after="0"/>
              <w:ind w:left="0" w:right="0" w:hanging="0"/>
              <w:jc w:val="center"/>
              <w:rPr/>
            </w:pPr>
            <w:r>
              <w:rPr/>
              <w:t>  ​</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assets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loans and other investments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financial assets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financial assets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 and other receivables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24,704</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from equity investees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4,207</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from shareholder</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4,711</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4,599</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5,243</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3,791</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borrowings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other third parties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FLAC</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2,130</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shareholders</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FLAC</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21,000</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22,365</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other related parties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FLAC</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financial liabilities</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FVTPL</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5,053</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5,053</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Level 1</w:t>
            </w:r>
          </w:p>
        </w:tc>
      </w:tr>
      <w:tr>
        <w:trPr/>
        <w:tc>
          <w:tcPr>
            <w:tcW w:w="4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borrowings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banks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FLAC</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2,219</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other third parties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FLAC</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26,547</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shareholders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FLAC</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8,694</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other related parties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FLAC</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2,973</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payables and other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FLAC</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28,179</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200" w:right="200" w:hanging="0"/>
        <w:jc w:val="left"/>
        <w:rPr/>
      </w:pPr>
      <w:r>
        <w:rPr/>
        <w:t>​</w:t>
      </w:r>
    </w:p>
    <w:tbl>
      <w:tblPr>
        <w:tblW w:w="6320" w:type="dxa"/>
        <w:jc w:val="left"/>
        <w:tblInd w:w="200" w:type="dxa"/>
        <w:tblLayout w:type="fixed"/>
        <w:tblCellMar>
          <w:top w:w="0" w:type="dxa"/>
          <w:left w:w="0" w:type="dxa"/>
          <w:bottom w:w="0" w:type="dxa"/>
          <w:right w:w="0" w:type="dxa"/>
        </w:tblCellMar>
      </w:tblPr>
      <w:tblGrid>
        <w:gridCol w:w="3946"/>
        <w:gridCol w:w="346"/>
        <w:gridCol w:w="796"/>
        <w:gridCol w:w="346"/>
        <w:gridCol w:w="886"/>
      </w:tblGrid>
      <w:tr>
        <w:trPr/>
        <w:tc>
          <w:tcPr>
            <w:tcW w:w="39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ind w:left="0" w:right="0" w:hanging="0"/>
              <w:jc w:val="left"/>
              <w:rPr>
                <w:sz w:val="4"/>
                <w:szCs w:val="4"/>
              </w:rPr>
            </w:pPr>
            <w:r>
              <w:rPr>
                <w:sz w:val="4"/>
                <w:szCs w:val="4"/>
              </w:rPr>
            </w:r>
          </w:p>
        </w:tc>
      </w:tr>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505710" cy="175260"/>
                      <wp:effectExtent l="0" t="0" r="0" b="0"/>
                      <wp:wrapNone/>
                      <wp:docPr id="479" name="Frame477"/>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19710" cy="175260"/>
                      <wp:effectExtent l="0" t="0" r="0" b="0"/>
                      <wp:wrapNone/>
                      <wp:docPr id="480" name="Frame4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505460" cy="175260"/>
                      <wp:effectExtent l="0" t="0" r="0" b="0"/>
                      <wp:wrapNone/>
                      <wp:docPr id="481" name="Frame47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19710" cy="175260"/>
                      <wp:effectExtent l="0" t="0" r="0" b="0"/>
                      <wp:wrapNone/>
                      <wp:docPr id="482" name="Frame4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562610" cy="175260"/>
                      <wp:effectExtent l="0" t="0" r="0" b="0"/>
                      <wp:wrapNone/>
                      <wp:docPr id="483" name="Frame48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r>
      <w:tr>
        <w:trPr/>
        <w:tc>
          <w:tcPr>
            <w:tcW w:w="39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Thereof aggregated by categories</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Category</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assets measured at amortized cost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42,212</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liabilities measured at fair value</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FVTPL</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5,053</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liabilities measured at amortized cost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FLAC</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105,612</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carrying amounts of cash and cash equivalents, trade and other receivables, loans from banks and trade payables, are considered reasonable estimates of their fair values because of the short maturities of these items.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fair value of the loan granted to a shareholder was calculated by discounting future cash flows with a risk-adjusted interest rate curve. As the credit risk of the shareholder is unobservable and assumed to be equivalent to the Standard &amp; Poor’s rating class of CCC, the credit risk is considered to have a material impact on the fair value. Therefore, the fair values of the shareholder loan are categorized in level 3 of the fair value hierarchy.</w:t>
      </w:r>
    </w:p>
    <w:p>
      <w:pPr>
        <w:pStyle w:val="TextBody"/>
        <w:bidi w:val="0"/>
        <w:spacing w:before="0" w:after="240"/>
        <w:ind w:left="200" w:right="200" w:hanging="0"/>
        <w:jc w:val="both"/>
        <w:rPr>
          <w:rFonts w:ascii="Times New Roman;Times;serif" w:hAnsi="Times New Roman;Times;serif"/>
          <w:b/>
          <w:sz w:val="20"/>
        </w:rPr>
      </w:pPr>
      <w:r>
        <w:rPr>
          <w:rFonts w:ascii="Times New Roman;Times;serif" w:hAnsi="Times New Roman;Times;serif"/>
          <w:b/>
          <w:sz w:val="20"/>
        </w:rPr>
        <w:t>Derivatives</w:t>
      </w:r>
    </w:p>
    <w:p>
      <w:pPr>
        <w:pStyle w:val="TextBody"/>
        <w:bidi w:val="0"/>
        <w:spacing w:before="0" w:after="240"/>
        <w:ind w:left="200" w:right="200" w:hanging="0"/>
        <w:jc w:val="both"/>
        <w:rPr>
          <w:rFonts w:ascii="Times New Roman;Times;serif" w:hAnsi="Times New Roman;Times;serif"/>
          <w:sz w:val="20"/>
        </w:rPr>
      </w:pPr>
      <w:r>
        <w:rPr>
          <w:rFonts w:ascii="Times New Roman;Times;serif" w:hAnsi="Times New Roman;Times;serif"/>
          <w:sz w:val="20"/>
        </w:rPr>
        <w:t>Incentive options and conversion rights (Black forest term loan facility):</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warrants and the embedded conversion right of the convertible loan are classified as Level 3 of the fair value hierarchy. The warrants are valued using a Monte Carlo simulation model under risk-neutral Geometric Brownian Motion dynamics. A Black–Scholes closed-form valuation is performed as a cross-check. The fair value of the embedded conversion right within the EUR-</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bookmarkStart w:id="1717" w:name="Tc_ymfneywnuEGNYLF45P6cxg_6_0"/>
      <w:bookmarkStart w:id="1718" w:name="Tc_2j0bdTuNLkOPq9Nk6C5fJw_5_0"/>
      <w:bookmarkStart w:id="1719" w:name="Tc_3L8HXGhMIESnDJ1FbAa78w_4_0"/>
      <w:bookmarkStart w:id="1720" w:name="Tc_zdla45naekC_39X3NnR43g_3_8"/>
      <w:bookmarkStart w:id="1721" w:name="Tc_3ZCkMunfLU6e8jyPntXmqg_3_4"/>
      <w:bookmarkStart w:id="1722" w:name="Tc_3BcK8hEOFEedbgK5n5EKLw_3_2"/>
      <w:bookmarkStart w:id="1723" w:name="Tc_xo_uU7qyPkipc6UhXppstg_3_0"/>
      <w:bookmarkStart w:id="1724" w:name="Tc_XlZojVkxOEC6M5cbwk70LA_2_8"/>
      <w:bookmarkStart w:id="1725" w:name="Tc_bPEYLpcm30Ci8x6el1ub0Q_2_6"/>
      <w:bookmarkStart w:id="1726" w:name="Tc_sHqrOMsn-0aaifLqFJ8vpg_2_4"/>
      <w:bookmarkStart w:id="1727" w:name="Tc_bsWmAqXBrUCjs49YExuD1w_2_2"/>
      <w:bookmarkStart w:id="1728" w:name="Tc_5qQTucKIhUe9Swb5fOGpww_2_0"/>
      <w:bookmarkStart w:id="1729" w:name="Tc_sVvFVj-Yh0WOih_djZfqEg_1_6"/>
      <w:bookmarkStart w:id="1730" w:name="Tc_judb35230UyZmbA_xMUmQw_1_4"/>
      <w:bookmarkStart w:id="1731" w:name="Tc_sfqXEVTMLkmUakNp69MWBw_1_2"/>
      <w:bookmarkStart w:id="1732" w:name="Tc_s0YtvUCCvkWgMwSraiuyvA_7_0"/>
      <w:bookmarkStart w:id="1733" w:name="Tc_Z2L_9q-2xUC6T_tBNc4Ljw_6_0"/>
      <w:bookmarkStart w:id="1734" w:name="Tc_pdIPfUFBhk6k6oT_zozJOA_5_0"/>
      <w:bookmarkStart w:id="1735" w:name="Tc_pNtxHLTGY0yhh8gMcBc5_Q_4_6"/>
      <w:bookmarkStart w:id="1736" w:name="Tc_Q8ghd35u1kaR_FBla13hIA_4_4"/>
      <w:bookmarkStart w:id="1737" w:name="Tc_IQ-TjtkDNE2oEKfq92IDSQ_4_2"/>
      <w:bookmarkStart w:id="1738" w:name="Tc_PMYirMS5kEaxVemDymVt8Q_4_0"/>
      <w:bookmarkStart w:id="1739" w:name="Tc_I9-3saI6qEa4KuUcMNJKwg_3_6"/>
      <w:bookmarkStart w:id="1740" w:name="Tc_Ay0bk0rN2kGSnnDmeMFT8A_3_4"/>
      <w:bookmarkStart w:id="1741" w:name="Tc_BsvId8atmk-aIJ0V0wni2A_3_2"/>
      <w:bookmarkStart w:id="1742" w:name="Tc_PlXwTMVT0UeShEYgx2J0YQ_3_0"/>
      <w:bookmarkStart w:id="1743" w:name="Tc_rN0VHF9CUEuUE6w-OHJvAQ_2_4"/>
      <w:bookmarkStart w:id="1744" w:name="Tc_FcpWe6k4zUGvPPYj7W2CJQ_1_4"/>
      <w:bookmarkStart w:id="1745" w:name="Tc_qjCNMAc2mkGFVA5-349B9A_11_0"/>
      <w:bookmarkStart w:id="1746" w:name="Tc_bran1eariEixyzFtBWyrKg_10_0"/>
      <w:bookmarkStart w:id="1747" w:name="Tc_yM1NzXEUPU-7Kff-88So_w_9_0"/>
      <w:bookmarkStart w:id="1748" w:name="Tc_3kFmv4beeEOpOZJSPDZp-w_8_0"/>
      <w:bookmarkStart w:id="1749" w:name="Tc_AFeABAOuo0mzXJz8HCJ6Hw_7_0"/>
      <w:bookmarkStart w:id="1750" w:name="Tc__mJcSe3d2025cL40b3vPxw_6_0"/>
      <w:bookmarkStart w:id="1751" w:name="Tc_3tzMKZeGWUa-23B60jAIQA_5_0"/>
      <w:bookmarkStart w:id="1752" w:name="Tc_ztQKAi4jzke7dstYqvcS0Q_4_0"/>
      <w:bookmarkStart w:id="1753" w:name="Tc_cvX3C1sF7EKJpP5tz2n6AQ_3_0"/>
      <w:bookmarkStart w:id="1754" w:name="Tc_vnaUWRhCxEmmcA9IVtUvtA_2_4"/>
      <w:bookmarkStart w:id="1755" w:name="Tc_acyS1ZK9IECX87yGyumPhQ_2_2"/>
      <w:bookmarkStart w:id="1756" w:name="Tc_1_j_xS2MCU-W66p7UXs1uA_2_0"/>
      <w:bookmarkStart w:id="1757" w:name="Tc_gOPIkr7XCU2ySFE46dNIlg_1_4"/>
      <w:bookmarkStart w:id="1758" w:name="Tc_KhixqY0OCEqEV6AiHwnseQ_1_2"/>
      <w:bookmarkStart w:id="1759" w:name="Tc_v-cinNWWtketpSJJwBlvUA_1_0"/>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r>
        <w:rPr>
          <w:rFonts w:ascii="Times New Roman;Times;serif" w:hAnsi="Times New Roman;Times;serif"/>
          <w:sz w:val="20"/>
        </w:rPr>
        <w:t>denominated convertible loan is determined using a Least-Squares Monte Carlo (Longstaff–Schwartz) simulation model. The conversion payoff depends on two correlated risk factors: the USD-denominated share price and the EUR/USD exchange rate. Both are modeled as correlated Geometric Brownian Motions under risk-neutral dynamics. The host debt component is discounted at a credit-risk adjusted rate calibrated to the transaction price at inception. The main input parameters include the share price at the valuation date, expected share price volatility, risk-free interest rates, EUR/USD spot rate, FX volatility, stock-FX correlation, and the calibrated credit spread. The share price volatility (calculated using historical share price data) and the credit spread are not observable in the market. A sensitivity analysis was performed with respect to the share price, the expected share price volatility, and the credit spread.</w:t>
      </w:r>
    </w:p>
    <w:p>
      <w:pPr>
        <w:pStyle w:val="TextBody"/>
        <w:bidi w:val="0"/>
        <w:spacing w:before="0" w:after="240"/>
        <w:ind w:left="200" w:right="200" w:hanging="0"/>
        <w:jc w:val="both"/>
        <w:rPr>
          <w:rFonts w:ascii="Times New Roman;Times;serif" w:hAnsi="Times New Roman;Times;serif"/>
          <w:sz w:val="20"/>
        </w:rPr>
      </w:pPr>
      <w:r>
        <w:rPr>
          <w:rFonts w:ascii="Times New Roman;Times;serif" w:hAnsi="Times New Roman;Times;serif"/>
          <w:sz w:val="20"/>
        </w:rPr>
        <w:t>XJ Harbour Share Price Protection and Cap:</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derivates resulting from the share price protection arrangement are classified as Level 3 of the fair value hierarchy. The fair value is calculated using a Monte Carlo simulation model under risk-neutral Geometric Brownian Motion dynamics. A Black–Scholes closed-form valuation is performed as a cross-check. The main input parameters include the share price at the valuation date, the contractual strike price, the contractual cap value, the risk-free interest rate, and share price volatility. The share price volatility (calculated using historical share price data) is not observable in the market. A sensitivity analysis was performed with respect to the share price and the expected share price volatility.</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below tables show the effect that an increase in historical volatility of the interest rates would have on the fair values of the embedded derivatives as of December 31, 2025.</w:t>
      </w:r>
    </w:p>
    <w:p>
      <w:pPr>
        <w:pStyle w:val="TextBody"/>
        <w:bidi w:val="0"/>
        <w:spacing w:before="0" w:after="240"/>
        <w:ind w:left="200" w:right="200" w:hanging="0"/>
        <w:jc w:val="both"/>
        <w:rPr/>
      </w:pPr>
      <w:r>
        <w:rPr/>
        <w:t>​</w:t>
      </w:r>
    </w:p>
    <w:tbl>
      <w:tblPr>
        <w:tblW w:w="6335" w:type="dxa"/>
        <w:jc w:val="left"/>
        <w:tblInd w:w="200" w:type="dxa"/>
        <w:tblLayout w:type="fixed"/>
        <w:tblCellMar>
          <w:top w:w="0" w:type="dxa"/>
          <w:left w:w="0" w:type="dxa"/>
          <w:bottom w:w="0" w:type="dxa"/>
          <w:right w:w="0" w:type="dxa"/>
        </w:tblCellMar>
      </w:tblPr>
      <w:tblGrid>
        <w:gridCol w:w="2341"/>
        <w:gridCol w:w="346"/>
        <w:gridCol w:w="1816"/>
        <w:gridCol w:w="346"/>
        <w:gridCol w:w="1486"/>
      </w:tblGrid>
      <w:tr>
        <w:trPr/>
        <w:tc>
          <w:tcPr>
            <w:tcW w:w="23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ind w:left="0" w:right="0" w:hanging="0"/>
              <w:jc w:val="left"/>
              <w:rPr>
                <w:sz w:val="4"/>
                <w:szCs w:val="4"/>
              </w:rPr>
            </w:pPr>
            <w:r>
              <w:rPr>
                <w:sz w:val="4"/>
                <w:szCs w:val="4"/>
              </w:rPr>
            </w:r>
          </w:p>
        </w:tc>
      </w:tr>
      <w:tr>
        <w:trPr/>
        <w:tc>
          <w:tcPr>
            <w:tcW w:w="2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486535" cy="175260"/>
                      <wp:effectExtent l="0" t="0" r="0" b="0"/>
                      <wp:wrapNone/>
                      <wp:docPr id="484" name="Frame482"/>
                      <a:graphic xmlns:a="http://schemas.openxmlformats.org/drawingml/2006/main">
                        <a:graphicData uri="http://schemas.microsoft.com/office/word/2010/wordprocessingShape">
                          <wps:wsp>
                            <wps:cNvSpPr txBox="1"/>
                            <wps:spPr>
                              <a:xfrm>
                                <a:off x="0" y="0"/>
                                <a:ext cx="148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19710" cy="175260"/>
                      <wp:effectExtent l="0" t="0" r="0" b="0"/>
                      <wp:wrapNone/>
                      <wp:docPr id="485" name="Frame4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153160" cy="175260"/>
                      <wp:effectExtent l="0" t="0" r="0" b="0"/>
                      <wp:wrapNone/>
                      <wp:docPr id="486" name="Frame484"/>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19710" cy="175260"/>
                      <wp:effectExtent l="0" t="0" r="0" b="0"/>
                      <wp:wrapNone/>
                      <wp:docPr id="487" name="Frame4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943610" cy="175260"/>
                      <wp:effectExtent l="0" t="0" r="0" b="0"/>
                      <wp:wrapNone/>
                      <wp:docPr id="488" name="Frame486"/>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31.12.2025</w:t>
            </w:r>
          </w:p>
        </w:tc>
        <w:tc>
          <w:tcPr>
            <w:tcW w:w="346" w:type="dxa"/>
            <w:tcBorders/>
            <w:vAlign w:val="center"/>
          </w:tcPr>
          <w:p>
            <w:pPr>
              <w:pStyle w:val="TableContents"/>
              <w:bidi w:val="0"/>
              <w:spacing w:before="0" w:after="1"/>
              <w:ind w:left="0" w:right="0" w:hanging="0"/>
              <w:jc w:val="left"/>
              <w:rPr/>
            </w:pPr>
            <w:r>
              <w:rPr/>
              <w:t>  ​ ​ ​</w:t>
            </w:r>
          </w:p>
        </w:tc>
        <w:tc>
          <w:tcPr>
            <w:tcW w:w="18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of embedded</w:t>
            </w:r>
          </w:p>
        </w:tc>
        <w:tc>
          <w:tcPr>
            <w:tcW w:w="346" w:type="dxa"/>
            <w:tcBorders/>
            <w:vAlign w:val="center"/>
          </w:tcPr>
          <w:p>
            <w:pPr>
              <w:pStyle w:val="TableContents"/>
              <w:bidi w:val="0"/>
              <w:spacing w:before="0" w:after="1"/>
              <w:ind w:left="0" w:right="0" w:hanging="0"/>
              <w:jc w:val="left"/>
              <w:rPr/>
            </w:pPr>
            <w:r>
              <w:rPr/>
              <w:t>  ​ ​ ​</w:t>
            </w:r>
          </w:p>
        </w:tc>
        <w:tc>
          <w:tcPr>
            <w:tcW w:w="14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Effect on financial</w:t>
            </w:r>
          </w:p>
        </w:tc>
      </w:tr>
      <w:tr>
        <w:trPr/>
        <w:tc>
          <w:tcPr>
            <w:tcW w:w="23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1"/>
              <w:ind w:left="0" w:right="0" w:hanging="0"/>
              <w:jc w:val="left"/>
              <w:rPr/>
            </w:pPr>
            <w:r>
              <w:rPr/>
              <w:t>​</w:t>
            </w:r>
          </w:p>
        </w:tc>
        <w:tc>
          <w:tcPr>
            <w:tcW w:w="18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derivatives</w:t>
            </w:r>
          </w:p>
        </w:tc>
        <w:tc>
          <w:tcPr>
            <w:tcW w:w="346" w:type="dxa"/>
            <w:tcBorders/>
            <w:vAlign w:val="center"/>
          </w:tcPr>
          <w:p>
            <w:pPr>
              <w:pStyle w:val="TableContents"/>
              <w:bidi w:val="0"/>
              <w:spacing w:before="0" w:after="1"/>
              <w:ind w:left="0" w:right="0" w:hanging="0"/>
              <w:jc w:val="left"/>
              <w:rPr/>
            </w:pPr>
            <w:r>
              <w:rPr/>
              <w:t>​</w:t>
            </w:r>
          </w:p>
        </w:tc>
        <w:tc>
          <w:tcPr>
            <w:tcW w:w="14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result</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Change in Share Price</w:t>
            </w:r>
          </w:p>
        </w:tc>
        <w:tc>
          <w:tcPr>
            <w:tcW w:w="346" w:type="dxa"/>
            <w:tcBorders/>
            <w:shd w:fill="CCEEFF" w:val="clear"/>
            <w:vAlign w:val="center"/>
          </w:tcPr>
          <w:p>
            <w:pPr>
              <w:pStyle w:val="TableContents"/>
              <w:bidi w:val="0"/>
              <w:spacing w:before="0" w:after="1"/>
              <w:ind w:left="0" w:right="0" w:hanging="0"/>
              <w:jc w:val="left"/>
              <w:rPr/>
            </w:pPr>
            <w:r>
              <w:rPr/>
              <w:t> </w:t>
            </w:r>
          </w:p>
        </w:tc>
        <w:tc>
          <w:tcPr>
            <w:tcW w:w="18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486" w:type="dxa"/>
            <w:tcBorders/>
            <w:shd w:fill="CCEEFF" w:val="clear"/>
            <w:vAlign w:val="center"/>
          </w:tcPr>
          <w:p>
            <w:pPr>
              <w:pStyle w:val="TableContents"/>
              <w:bidi w:val="0"/>
              <w:spacing w:before="0" w:after="1"/>
              <w:ind w:left="0" w:right="0" w:hanging="0"/>
              <w:jc w:val="right"/>
              <w:rPr/>
            </w:pPr>
            <w:r>
              <w:rPr/>
              <w:t>  ​</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 percentage points</w:t>
            </w:r>
          </w:p>
        </w:tc>
        <w:tc>
          <w:tcPr>
            <w:tcW w:w="346" w:type="dxa"/>
            <w:tcBorders/>
            <w:vAlign w:val="center"/>
          </w:tcPr>
          <w:p>
            <w:pPr>
              <w:pStyle w:val="TableContents"/>
              <w:bidi w:val="0"/>
              <w:spacing w:before="0" w:after="1"/>
              <w:ind w:left="0" w:right="0" w:hanging="0"/>
              <w:jc w:val="left"/>
              <w:rPr/>
            </w:pPr>
            <w:r>
              <w:rPr/>
              <w:t> </w:t>
            </w:r>
          </w:p>
        </w:tc>
        <w:tc>
          <w:tcPr>
            <w:tcW w:w="18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11.460</w:t>
            </w:r>
          </w:p>
        </w:tc>
        <w:tc>
          <w:tcPr>
            <w:tcW w:w="346" w:type="dxa"/>
            <w:tcBorders/>
            <w:vAlign w:val="center"/>
          </w:tcPr>
          <w:p>
            <w:pPr>
              <w:pStyle w:val="TableContents"/>
              <w:bidi w:val="0"/>
              <w:spacing w:before="0" w:after="1"/>
              <w:ind w:left="0" w:right="0" w:hanging="0"/>
              <w:jc w:val="left"/>
              <w:rPr/>
            </w:pPr>
            <w:r>
              <w:rPr/>
              <w:t> </w:t>
            </w:r>
          </w:p>
        </w:tc>
        <w:tc>
          <w:tcPr>
            <w:tcW w:w="14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1.031</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 percentage points</w:t>
            </w:r>
          </w:p>
        </w:tc>
        <w:tc>
          <w:tcPr>
            <w:tcW w:w="346" w:type="dxa"/>
            <w:tcBorders/>
            <w:shd w:fill="CCEEFF" w:val="clear"/>
            <w:vAlign w:val="center"/>
          </w:tcPr>
          <w:p>
            <w:pPr>
              <w:pStyle w:val="TableContents"/>
              <w:bidi w:val="0"/>
              <w:spacing w:before="0" w:after="1"/>
              <w:ind w:left="0" w:right="0" w:hanging="0"/>
              <w:jc w:val="left"/>
              <w:rPr/>
            </w:pPr>
            <w:r>
              <w:rPr/>
              <w:t> </w:t>
            </w:r>
          </w:p>
        </w:tc>
        <w:tc>
          <w:tcPr>
            <w:tcW w:w="18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9.434</w:t>
            </w:r>
          </w:p>
        </w:tc>
        <w:tc>
          <w:tcPr>
            <w:tcW w:w="346" w:type="dxa"/>
            <w:tcBorders/>
            <w:shd w:fill="CCEEFF" w:val="clear"/>
            <w:vAlign w:val="center"/>
          </w:tcPr>
          <w:p>
            <w:pPr>
              <w:pStyle w:val="TableContents"/>
              <w:bidi w:val="0"/>
              <w:spacing w:before="0" w:after="1"/>
              <w:ind w:left="0" w:right="0" w:hanging="0"/>
              <w:jc w:val="left"/>
              <w:rPr/>
            </w:pPr>
            <w:r>
              <w:rPr/>
              <w:t> </w:t>
            </w:r>
          </w:p>
        </w:tc>
        <w:tc>
          <w:tcPr>
            <w:tcW w:w="14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(995)</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Change in Share volatility</w:t>
            </w:r>
          </w:p>
        </w:tc>
        <w:tc>
          <w:tcPr>
            <w:tcW w:w="346" w:type="dxa"/>
            <w:tcBorders/>
            <w:vAlign w:val="center"/>
          </w:tcPr>
          <w:p>
            <w:pPr>
              <w:pStyle w:val="TableContents"/>
              <w:bidi w:val="0"/>
              <w:spacing w:before="0" w:after="1"/>
              <w:ind w:left="0" w:right="0" w:hanging="0"/>
              <w:jc w:val="left"/>
              <w:rPr/>
            </w:pPr>
            <w:r>
              <w:rPr/>
              <w:t> </w:t>
            </w:r>
          </w:p>
        </w:tc>
        <w:tc>
          <w:tcPr>
            <w:tcW w:w="181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486" w:type="dxa"/>
            <w:tcBorders/>
            <w:vAlign w:val="center"/>
          </w:tcPr>
          <w:p>
            <w:pPr>
              <w:pStyle w:val="TableContents"/>
              <w:bidi w:val="0"/>
              <w:spacing w:before="0" w:after="1"/>
              <w:ind w:left="0" w:right="0" w:hanging="0"/>
              <w:jc w:val="right"/>
              <w:rPr/>
            </w:pPr>
            <w:r>
              <w:rPr/>
              <w:t>  ​</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 percentage points</w:t>
            </w:r>
          </w:p>
        </w:tc>
        <w:tc>
          <w:tcPr>
            <w:tcW w:w="346" w:type="dxa"/>
            <w:tcBorders/>
            <w:shd w:fill="CCEEFF" w:val="clear"/>
            <w:vAlign w:val="center"/>
          </w:tcPr>
          <w:p>
            <w:pPr>
              <w:pStyle w:val="TableContents"/>
              <w:bidi w:val="0"/>
              <w:spacing w:before="0" w:after="1"/>
              <w:ind w:left="0" w:right="0" w:hanging="0"/>
              <w:jc w:val="left"/>
              <w:rPr/>
            </w:pPr>
            <w:r>
              <w:rPr/>
              <w:t> </w:t>
            </w:r>
          </w:p>
        </w:tc>
        <w:tc>
          <w:tcPr>
            <w:tcW w:w="18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10.846</w:t>
            </w:r>
          </w:p>
        </w:tc>
        <w:tc>
          <w:tcPr>
            <w:tcW w:w="346" w:type="dxa"/>
            <w:tcBorders/>
            <w:shd w:fill="CCEEFF" w:val="clear"/>
            <w:vAlign w:val="center"/>
          </w:tcPr>
          <w:p>
            <w:pPr>
              <w:pStyle w:val="TableContents"/>
              <w:bidi w:val="0"/>
              <w:spacing w:before="0" w:after="1"/>
              <w:ind w:left="0" w:right="0" w:hanging="0"/>
              <w:jc w:val="left"/>
              <w:rPr/>
            </w:pPr>
            <w:r>
              <w:rPr/>
              <w:t> </w:t>
            </w:r>
          </w:p>
        </w:tc>
        <w:tc>
          <w:tcPr>
            <w:tcW w:w="14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 percentage points</w:t>
            </w:r>
          </w:p>
        </w:tc>
        <w:tc>
          <w:tcPr>
            <w:tcW w:w="346" w:type="dxa"/>
            <w:tcBorders/>
            <w:vAlign w:val="center"/>
          </w:tcPr>
          <w:p>
            <w:pPr>
              <w:pStyle w:val="TableContents"/>
              <w:bidi w:val="0"/>
              <w:spacing w:before="0" w:after="1"/>
              <w:ind w:left="0" w:right="0" w:hanging="0"/>
              <w:jc w:val="left"/>
              <w:rPr/>
            </w:pPr>
            <w:r>
              <w:rPr/>
              <w:t> </w:t>
            </w:r>
          </w:p>
        </w:tc>
        <w:tc>
          <w:tcPr>
            <w:tcW w:w="18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9.946</w:t>
            </w:r>
          </w:p>
        </w:tc>
        <w:tc>
          <w:tcPr>
            <w:tcW w:w="346" w:type="dxa"/>
            <w:tcBorders/>
            <w:vAlign w:val="center"/>
          </w:tcPr>
          <w:p>
            <w:pPr>
              <w:pStyle w:val="TableContents"/>
              <w:bidi w:val="0"/>
              <w:spacing w:before="0" w:after="1"/>
              <w:ind w:left="0" w:right="0" w:hanging="0"/>
              <w:jc w:val="left"/>
              <w:rPr/>
            </w:pPr>
            <w:r>
              <w:rPr/>
              <w:t> </w:t>
            </w:r>
          </w:p>
        </w:tc>
        <w:tc>
          <w:tcPr>
            <w:tcW w:w="14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Change in Credit Spread</w:t>
            </w:r>
          </w:p>
        </w:tc>
        <w:tc>
          <w:tcPr>
            <w:tcW w:w="346" w:type="dxa"/>
            <w:tcBorders/>
            <w:shd w:fill="CCEEFF" w:val="clear"/>
            <w:vAlign w:val="center"/>
          </w:tcPr>
          <w:p>
            <w:pPr>
              <w:pStyle w:val="TableContents"/>
              <w:bidi w:val="0"/>
              <w:spacing w:before="0" w:after="1"/>
              <w:ind w:left="0" w:right="0" w:hanging="0"/>
              <w:jc w:val="left"/>
              <w:rPr/>
            </w:pPr>
            <w:r>
              <w:rPr/>
              <w:t> </w:t>
            </w:r>
          </w:p>
        </w:tc>
        <w:tc>
          <w:tcPr>
            <w:tcW w:w="18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486" w:type="dxa"/>
            <w:tcBorders/>
            <w:shd w:fill="CCEEFF" w:val="clear"/>
            <w:vAlign w:val="center"/>
          </w:tcPr>
          <w:p>
            <w:pPr>
              <w:pStyle w:val="TableContents"/>
              <w:bidi w:val="0"/>
              <w:spacing w:before="0" w:after="1"/>
              <w:ind w:left="0" w:right="0" w:hanging="0"/>
              <w:jc w:val="right"/>
              <w:rPr/>
            </w:pPr>
            <w:r>
              <w:rPr/>
              <w:t>  ​</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 percentage points</w:t>
            </w:r>
          </w:p>
        </w:tc>
        <w:tc>
          <w:tcPr>
            <w:tcW w:w="346" w:type="dxa"/>
            <w:tcBorders/>
            <w:vAlign w:val="center"/>
          </w:tcPr>
          <w:p>
            <w:pPr>
              <w:pStyle w:val="TableContents"/>
              <w:bidi w:val="0"/>
              <w:spacing w:before="0" w:after="1"/>
              <w:ind w:left="0" w:right="0" w:hanging="0"/>
              <w:jc w:val="left"/>
              <w:rPr/>
            </w:pPr>
            <w:r>
              <w:rPr/>
              <w:t> </w:t>
            </w:r>
          </w:p>
        </w:tc>
        <w:tc>
          <w:tcPr>
            <w:tcW w:w="18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10.390</w:t>
            </w:r>
          </w:p>
        </w:tc>
        <w:tc>
          <w:tcPr>
            <w:tcW w:w="346" w:type="dxa"/>
            <w:tcBorders/>
            <w:vAlign w:val="center"/>
          </w:tcPr>
          <w:p>
            <w:pPr>
              <w:pStyle w:val="TableContents"/>
              <w:bidi w:val="0"/>
              <w:spacing w:before="0" w:after="1"/>
              <w:ind w:left="0" w:right="0" w:hanging="0"/>
              <w:jc w:val="left"/>
              <w:rPr/>
            </w:pPr>
            <w:r>
              <w:rPr/>
              <w:t> </w:t>
            </w:r>
          </w:p>
        </w:tc>
        <w:tc>
          <w:tcPr>
            <w:tcW w:w="14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 percentage points</w:t>
            </w:r>
          </w:p>
        </w:tc>
        <w:tc>
          <w:tcPr>
            <w:tcW w:w="346" w:type="dxa"/>
            <w:tcBorders/>
            <w:shd w:fill="CCEEFF" w:val="clear"/>
            <w:vAlign w:val="center"/>
          </w:tcPr>
          <w:p>
            <w:pPr>
              <w:pStyle w:val="TableContents"/>
              <w:bidi w:val="0"/>
              <w:spacing w:before="0" w:after="1"/>
              <w:ind w:left="0" w:right="0" w:hanging="0"/>
              <w:jc w:val="left"/>
              <w:rPr/>
            </w:pPr>
            <w:r>
              <w:rPr/>
              <w:t> </w:t>
            </w:r>
          </w:p>
        </w:tc>
        <w:tc>
          <w:tcPr>
            <w:tcW w:w="18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10.468</w:t>
            </w:r>
          </w:p>
        </w:tc>
        <w:tc>
          <w:tcPr>
            <w:tcW w:w="346" w:type="dxa"/>
            <w:tcBorders/>
            <w:shd w:fill="CCEEFF" w:val="clear"/>
            <w:vAlign w:val="center"/>
          </w:tcPr>
          <w:p>
            <w:pPr>
              <w:pStyle w:val="TableContents"/>
              <w:bidi w:val="0"/>
              <w:spacing w:before="0" w:after="1"/>
              <w:ind w:left="0" w:right="0" w:hanging="0"/>
              <w:jc w:val="left"/>
              <w:rPr/>
            </w:pPr>
            <w:r>
              <w:rPr/>
              <w:t> </w:t>
            </w:r>
          </w:p>
        </w:tc>
        <w:tc>
          <w:tcPr>
            <w:tcW w:w="148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39</w:t>
            </w:r>
          </w:p>
        </w:tc>
      </w:tr>
    </w:tbl>
    <w:p>
      <w:pPr>
        <w:pStyle w:val="TextBody"/>
        <w:bidi w:val="0"/>
        <w:spacing w:before="0" w:after="240"/>
        <w:ind w:left="200" w:right="200" w:hanging="0"/>
        <w:jc w:val="both"/>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There were no </w:t>
      </w:r>
      <w:r>
        <w:rPr>
          <w:rFonts w:ascii="Times New Roman;Times;serif" w:hAnsi="Times New Roman;Times;serif"/>
          <w:b w:val="false"/>
          <w:i w:val="false"/>
          <w:caps w:val="false"/>
          <w:smallCaps w:val="false"/>
          <w:sz w:val="20"/>
        </w:rPr>
        <w:t>transfers</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between</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levels</w:t>
      </w:r>
      <w:r>
        <w:rPr>
          <w:rFonts w:ascii="Times New Roman;Times;serif" w:hAnsi="Times New Roman;Times;serif"/>
          <w:sz w:val="20"/>
        </w:rPr>
        <w:t xml:space="preserve"> 1, 2 and 3 for recurring fair value measurements during the year.</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Fair value level 3 assets reconciliation:</w:t>
      </w:r>
    </w:p>
    <w:p>
      <w:pPr>
        <w:pStyle w:val="TextBody"/>
        <w:bidi w:val="0"/>
        <w:spacing w:before="0" w:after="0"/>
        <w:ind w:left="200" w:right="200" w:hanging="0"/>
        <w:jc w:val="left"/>
        <w:rPr/>
      </w:pPr>
      <w:r>
        <w:rPr/>
        <w:t>​</w:t>
      </w:r>
    </w:p>
    <w:tbl>
      <w:tblPr>
        <w:tblW w:w="7807" w:type="dxa"/>
        <w:jc w:val="left"/>
        <w:tblInd w:w="200" w:type="dxa"/>
        <w:tblLayout w:type="fixed"/>
        <w:tblCellMar>
          <w:top w:w="0" w:type="dxa"/>
          <w:left w:w="0" w:type="dxa"/>
          <w:bottom w:w="0" w:type="dxa"/>
          <w:right w:w="0" w:type="dxa"/>
        </w:tblCellMar>
      </w:tblPr>
      <w:tblGrid>
        <w:gridCol w:w="3316"/>
        <w:gridCol w:w="346"/>
        <w:gridCol w:w="1261"/>
        <w:gridCol w:w="346"/>
        <w:gridCol w:w="1411"/>
        <w:gridCol w:w="346"/>
        <w:gridCol w:w="781"/>
      </w:tblGrid>
      <w:tr>
        <w:trPr/>
        <w:tc>
          <w:tcPr>
            <w:tcW w:w="33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105660" cy="175260"/>
                      <wp:effectExtent l="0" t="0" r="0" b="0"/>
                      <wp:wrapNone/>
                      <wp:docPr id="489" name="Frame487"/>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19710" cy="175260"/>
                      <wp:effectExtent l="0" t="0" r="0" b="0"/>
                      <wp:wrapNone/>
                      <wp:docPr id="490" name="Frame4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800735" cy="175260"/>
                      <wp:effectExtent l="0" t="0" r="0" b="0"/>
                      <wp:wrapNone/>
                      <wp:docPr id="491" name="Frame489"/>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19710" cy="175260"/>
                      <wp:effectExtent l="0" t="0" r="0" b="0"/>
                      <wp:wrapNone/>
                      <wp:docPr id="492" name="Frame4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895985" cy="175260"/>
                      <wp:effectExtent l="0" t="0" r="0" b="0"/>
                      <wp:wrapNone/>
                      <wp:docPr id="493" name="Frame491"/>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19710" cy="175260"/>
                      <wp:effectExtent l="0" t="0" r="0" b="0"/>
                      <wp:wrapNone/>
                      <wp:docPr id="494" name="Frame4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495935" cy="175260"/>
                      <wp:effectExtent l="0" t="0" r="0" b="0"/>
                      <wp:wrapNone/>
                      <wp:docPr id="495" name="Frame49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4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XJ Harbour price</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protection cap</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33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  ​ ​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Group14 shares</w:t>
            </w:r>
          </w:p>
        </w:tc>
        <w:tc>
          <w:tcPr>
            <w:tcW w:w="346" w:type="dxa"/>
            <w:tcBorders/>
            <w:vAlign w:val="center"/>
          </w:tcPr>
          <w:p>
            <w:pPr>
              <w:pStyle w:val="TableContents"/>
              <w:bidi w:val="0"/>
              <w:spacing w:before="0" w:after="0"/>
              <w:ind w:left="0" w:right="0" w:hanging="0"/>
              <w:jc w:val="center"/>
              <w:rPr/>
            </w:pPr>
            <w:r>
              <w:rPr/>
              <w:t>  ​ ​ ​</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12/31/2024</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w:t>
            </w:r>
          </w:p>
        </w:tc>
        <w:tc>
          <w:tcPr>
            <w:tcW w:w="3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6,234</w:t>
            </w:r>
          </w:p>
        </w:tc>
        <w:tc>
          <w:tcPr>
            <w:tcW w:w="34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10,808</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17,042</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from fair value remeasurement</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w:t>
            </w:r>
          </w:p>
        </w:tc>
        <w:tc>
          <w:tcPr>
            <w:tcW w:w="34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(3,095)</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12/31/2025</w:t>
            </w:r>
          </w:p>
        </w:tc>
        <w:tc>
          <w:tcPr>
            <w:tcW w:w="3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8,478</w:t>
            </w:r>
          </w:p>
        </w:tc>
        <w:tc>
          <w:tcPr>
            <w:tcW w:w="34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7,713</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16,191</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Fair value level 3 liabilities reconciliation:</w:t>
      </w:r>
    </w:p>
    <w:p>
      <w:pPr>
        <w:pStyle w:val="TextBody"/>
        <w:bidi w:val="0"/>
        <w:spacing w:before="0" w:after="0"/>
        <w:ind w:left="200" w:right="200" w:hanging="0"/>
        <w:jc w:val="left"/>
        <w:rPr/>
      </w:pPr>
      <w:r>
        <w:rPr/>
        <w:t>​</w:t>
      </w:r>
    </w:p>
    <w:tbl>
      <w:tblPr>
        <w:tblW w:w="8844" w:type="dxa"/>
        <w:jc w:val="left"/>
        <w:tblInd w:w="200" w:type="dxa"/>
        <w:tblLayout w:type="fixed"/>
        <w:tblCellMar>
          <w:top w:w="0" w:type="dxa"/>
          <w:left w:w="0" w:type="dxa"/>
          <w:bottom w:w="0" w:type="dxa"/>
          <w:right w:w="0" w:type="dxa"/>
        </w:tblCellMar>
      </w:tblPr>
      <w:tblGrid>
        <w:gridCol w:w="3316"/>
        <w:gridCol w:w="346"/>
        <w:gridCol w:w="1111"/>
        <w:gridCol w:w="346"/>
        <w:gridCol w:w="1111"/>
        <w:gridCol w:w="346"/>
        <w:gridCol w:w="1141"/>
        <w:gridCol w:w="346"/>
        <w:gridCol w:w="781"/>
      </w:tblGrid>
      <w:tr>
        <w:trPr/>
        <w:tc>
          <w:tcPr>
            <w:tcW w:w="33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105660" cy="175260"/>
                      <wp:effectExtent l="0" t="0" r="0" b="0"/>
                      <wp:wrapNone/>
                      <wp:docPr id="496" name="Frame494"/>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19710" cy="175260"/>
                      <wp:effectExtent l="0" t="0" r="0" b="0"/>
                      <wp:wrapNone/>
                      <wp:docPr id="497" name="Frame4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705485" cy="175260"/>
                      <wp:effectExtent l="0" t="0" r="0" b="0"/>
                      <wp:wrapNone/>
                      <wp:docPr id="498" name="Frame496"/>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19710" cy="175260"/>
                      <wp:effectExtent l="0" t="0" r="0" b="0"/>
                      <wp:wrapNone/>
                      <wp:docPr id="499" name="Frame4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705485" cy="175260"/>
                      <wp:effectExtent l="0" t="0" r="0" b="0"/>
                      <wp:wrapNone/>
                      <wp:docPr id="500" name="Frame498"/>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19710" cy="175260"/>
                      <wp:effectExtent l="0" t="0" r="0" b="0"/>
                      <wp:wrapNone/>
                      <wp:docPr id="501" name="Frame4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724535" cy="175260"/>
                      <wp:effectExtent l="0" t="0" r="0" b="0"/>
                      <wp:wrapNone/>
                      <wp:docPr id="502" name="Frame50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19710" cy="175260"/>
                      <wp:effectExtent l="0" t="0" r="0" b="0"/>
                      <wp:wrapNone/>
                      <wp:docPr id="503" name="Frame5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495935" cy="175260"/>
                      <wp:effectExtent l="0" t="0" r="0" b="0"/>
                      <wp:wrapNone/>
                      <wp:docPr id="504" name="Frame5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Black forest –</w:t>
            </w:r>
          </w:p>
        </w:tc>
        <w:tc>
          <w:tcPr>
            <w:tcW w:w="346" w:type="dxa"/>
            <w:tcBorders/>
            <w:vAlign w:val="center"/>
          </w:tcPr>
          <w:p>
            <w:pPr>
              <w:pStyle w:val="TableContents"/>
              <w:bidi w:val="0"/>
              <w:spacing w:before="0" w:after="1"/>
              <w:ind w:left="0" w:right="0" w:hanging="0"/>
              <w:jc w:val="center"/>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Black forest –</w:t>
              <w:br/>
              <w:t>embedded</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XJ Harbour –</w:t>
              <w:br/>
              <w:t>embedded</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33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1"/>
              <w:ind w:left="0" w:right="0" w:hanging="0"/>
              <w:jc w:val="left"/>
              <w:rPr/>
            </w:pPr>
            <w:r>
              <w:rPr/>
              <w:t>  ​ ​ ​</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46" w:type="dxa"/>
            <w:tcBorders/>
            <w:vAlign w:val="center"/>
          </w:tcPr>
          <w:p>
            <w:pPr>
              <w:pStyle w:val="TableContents"/>
              <w:bidi w:val="0"/>
              <w:spacing w:before="0" w:after="1"/>
              <w:ind w:left="0" w:right="0" w:hanging="0"/>
              <w:jc w:val="left"/>
              <w:rPr/>
            </w:pPr>
            <w:r>
              <w:rPr/>
              <w:t>  ​ ​ ​</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derivatives</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12/31/2024</w:t>
            </w:r>
          </w:p>
        </w:tc>
        <w:tc>
          <w:tcPr>
            <w:tcW w:w="3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w:t>
            </w:r>
          </w:p>
        </w:tc>
        <w:tc>
          <w:tcPr>
            <w:tcW w:w="34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3,418</w:t>
            </w:r>
          </w:p>
        </w:tc>
        <w:tc>
          <w:tcPr>
            <w:tcW w:w="34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1,904</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12,964</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18,286</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from fair value remeasurement</w:t>
            </w:r>
          </w:p>
        </w:tc>
        <w:tc>
          <w:tcPr>
            <w:tcW w:w="3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(1,644)</w:t>
            </w:r>
          </w:p>
        </w:tc>
        <w:tc>
          <w:tcPr>
            <w:tcW w:w="3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(3,505)</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(5,466)</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12/31/2025</w:t>
            </w:r>
          </w:p>
        </w:tc>
        <w:tc>
          <w:tcPr>
            <w:tcW w:w="34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1,775</w:t>
            </w:r>
          </w:p>
        </w:tc>
        <w:tc>
          <w:tcPr>
            <w:tcW w:w="34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1,587</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9,459</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12,820</w:t>
            </w:r>
          </w:p>
        </w:tc>
      </w:tr>
    </w:tbl>
    <w:p>
      <w:pPr>
        <w:pStyle w:val="TextBody"/>
        <w:bidi w:val="0"/>
        <w:spacing w:before="0" w:after="240"/>
        <w:ind w:left="200" w:right="200" w:hanging="0"/>
        <w:jc w:val="both"/>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bookmarkStart w:id="1760" w:name="Tc_yBRt0Tkuf0KuG9qHGpVoWQ_6_0"/>
      <w:bookmarkStart w:id="1761" w:name="Tc__Gjwke7yiEWO3A-0MDhplA_5_2"/>
      <w:bookmarkStart w:id="1762" w:name="Tc_YYp5r62PkEibNURlM94Mkw_5_0"/>
      <w:bookmarkStart w:id="1763" w:name="Tc_MaCRxPyu4Uq3TJ23FeK4OQ_4_4"/>
      <w:bookmarkStart w:id="1764" w:name="Tc_u2tCMqGp3Ue_007BKqictQ_4_0"/>
      <w:bookmarkStart w:id="1765" w:name="Tc_3XJLcb-cDUq2kuEMcQpDPQ_3_4"/>
      <w:bookmarkStart w:id="1766" w:name="Tc_BG4ElnFNGU2fkrUKiIsZhg_3_0"/>
      <w:bookmarkStart w:id="1767" w:name="Tc_bDhIYp2QKUOpQEGi7ph96A_2_6"/>
      <w:bookmarkStart w:id="1768" w:name="Tc_alEPq-iQ0kSDWL3maB0h-g_2_4"/>
      <w:bookmarkStart w:id="1769" w:name="Tc_0p8i1hx5WUy0pjE6VE7INA_2_2"/>
      <w:bookmarkStart w:id="1770" w:name="Tc_V-OFyn-Sp0u58WBKYz2f8w_2_0"/>
      <w:bookmarkStart w:id="1771" w:name="Tc_3Dm25iA3OE-qsajKt_n9tg_1_2"/>
      <w:bookmarkStart w:id="1772" w:name="Tc_Ci1jaQUfZ0WtnowyaS9EIw_1_0"/>
      <w:bookmarkStart w:id="1773" w:name="_7a203d50_a296_40bb_a05d_840815d82f67"/>
      <w:bookmarkStart w:id="1774" w:name="Tc_XjJESHSSAEmbIieH5Cj5ug_6_0"/>
      <w:bookmarkStart w:id="1775" w:name="Tc_jruPfsB7-Uu19-v0OyWMpg_5_2"/>
      <w:bookmarkStart w:id="1776" w:name="Tc_jhMrLeS_jU6G1U1VgU70oQ_5_0"/>
      <w:bookmarkStart w:id="1777" w:name="Tc_ijiFD3oI9Eafn62KDpYohw_4_0"/>
      <w:bookmarkStart w:id="1778" w:name="Tc_Vmn24R9VAkmsGWqeZGbPxA_3_4"/>
      <w:bookmarkStart w:id="1779" w:name="Tc_pUaLWtIA10uJsvgA5OVL6A_3_0"/>
      <w:bookmarkStart w:id="1780" w:name="Tc_Y-y9v69O5UuhNjhyZWrR2w_2_6"/>
      <w:bookmarkStart w:id="1781" w:name="Tc_59WrWH2UU0KJvvY7NswaDg_2_4"/>
      <w:bookmarkStart w:id="1782" w:name="Tc_LCuSo6ivUECqponSAKUbdA_2_2"/>
      <w:bookmarkStart w:id="1783" w:name="Tc_XbcFrYBHKU6hC8V46gJfcQ_2_0"/>
      <w:bookmarkStart w:id="1784" w:name="Tc_puxPp5xxNUiYoq2jqJ5Ggw_1_2"/>
      <w:bookmarkStart w:id="1785" w:name="Tc_LUHag13TPU-7zfi4hDScmQ_1_0"/>
      <w:bookmarkStart w:id="1786" w:name="_50af7024_0c80_4fda_9eb4_72782ed2f935"/>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r>
        <w:rPr>
          <w:rFonts w:ascii="Times New Roman;Times;serif" w:hAnsi="Times New Roman;Times;serif"/>
          <w:b/>
          <w:sz w:val="20"/>
        </w:rPr>
        <w:t>Items of income, expenses, gains or losses resulting from financial instruments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net gains or losses for each of the financial instrument measurement categories differentiated by the respective sources were as follows:</w:t>
      </w:r>
    </w:p>
    <w:p>
      <w:pPr>
        <w:pStyle w:val="TextBody"/>
        <w:bidi w:val="0"/>
        <w:spacing w:before="0" w:after="240"/>
        <w:ind w:left="200" w:right="200" w:hanging="0"/>
        <w:jc w:val="both"/>
        <w:rPr/>
      </w:pPr>
      <w:r>
        <w:rPr/>
        <w:t>​</w:t>
      </w:r>
    </w:p>
    <w:tbl>
      <w:tblPr>
        <w:tblW w:w="6832" w:type="dxa"/>
        <w:jc w:val="left"/>
        <w:tblInd w:w="200" w:type="dxa"/>
        <w:tblLayout w:type="fixed"/>
        <w:tblCellMar>
          <w:top w:w="0" w:type="dxa"/>
          <w:left w:w="0" w:type="dxa"/>
          <w:bottom w:w="0" w:type="dxa"/>
          <w:right w:w="0" w:type="dxa"/>
        </w:tblCellMar>
      </w:tblPr>
      <w:tblGrid>
        <w:gridCol w:w="3301"/>
        <w:gridCol w:w="346"/>
        <w:gridCol w:w="796"/>
        <w:gridCol w:w="346"/>
        <w:gridCol w:w="856"/>
        <w:gridCol w:w="346"/>
        <w:gridCol w:w="841"/>
      </w:tblGrid>
      <w:tr>
        <w:trPr/>
        <w:tc>
          <w:tcPr>
            <w:tcW w:w="33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ind w:left="0" w:right="0" w:hanging="0"/>
              <w:jc w:val="left"/>
              <w:rPr>
                <w:sz w:val="4"/>
                <w:szCs w:val="4"/>
              </w:rPr>
            </w:pPr>
            <w:r>
              <w:rPr>
                <w:sz w:val="4"/>
                <w:szCs w:val="4"/>
              </w:rPr>
            </w:r>
          </w:p>
        </w:tc>
      </w:tr>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096135" cy="175260"/>
                      <wp:effectExtent l="0" t="0" r="0" b="0"/>
                      <wp:wrapNone/>
                      <wp:docPr id="505" name="Frame503"/>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19710" cy="175260"/>
                      <wp:effectExtent l="0" t="0" r="0" b="0"/>
                      <wp:wrapNone/>
                      <wp:docPr id="506" name="Frame5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505460" cy="175260"/>
                      <wp:effectExtent l="0" t="0" r="0" b="0"/>
                      <wp:wrapNone/>
                      <wp:docPr id="507" name="Frame50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19710" cy="175260"/>
                      <wp:effectExtent l="0" t="0" r="0" b="0"/>
                      <wp:wrapNone/>
                      <wp:docPr id="508" name="Frame5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543560" cy="175260"/>
                      <wp:effectExtent l="0" t="0" r="0" b="0"/>
                      <wp:wrapNone/>
                      <wp:docPr id="509" name="Frame50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19710" cy="175260"/>
                      <wp:effectExtent l="0" t="0" r="0" b="0"/>
                      <wp:wrapNone/>
                      <wp:docPr id="510" name="Frame5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534035" cy="175260"/>
                      <wp:effectExtent l="0" t="0" r="0" b="0"/>
                      <wp:wrapNone/>
                      <wp:docPr id="511" name="Frame50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31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Subsequent measurement</w:t>
            </w:r>
          </w:p>
        </w:tc>
      </w:tr>
      <w:tr>
        <w:trPr/>
        <w:tc>
          <w:tcPr>
            <w:tcW w:w="33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0"/>
              <w:ind w:left="0" w:right="0" w:hanging="0"/>
              <w:jc w:val="center"/>
              <w:rPr/>
            </w:pPr>
            <w:r>
              <w:rPr/>
              <w:t>  ​ ​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assets - AC</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liabilities - FLAC</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(11,402)</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(11,402)</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assets and liabilities - FVTPL</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(28,076)</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(28,076)</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(2,886)</w:t>
            </w:r>
          </w:p>
        </w:tc>
        <w:tc>
          <w:tcPr>
            <w:tcW w:w="34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(28,076)</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(39,413)</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tbl>
      <w:tblPr>
        <w:tblW w:w="6622" w:type="dxa"/>
        <w:jc w:val="left"/>
        <w:tblInd w:w="200" w:type="dxa"/>
        <w:tblLayout w:type="fixed"/>
        <w:tblCellMar>
          <w:top w:w="0" w:type="dxa"/>
          <w:left w:w="0" w:type="dxa"/>
          <w:bottom w:w="0" w:type="dxa"/>
          <w:right w:w="0" w:type="dxa"/>
        </w:tblCellMar>
      </w:tblPr>
      <w:tblGrid>
        <w:gridCol w:w="3301"/>
        <w:gridCol w:w="346"/>
        <w:gridCol w:w="691"/>
        <w:gridCol w:w="346"/>
        <w:gridCol w:w="856"/>
        <w:gridCol w:w="346"/>
        <w:gridCol w:w="736"/>
      </w:tblGrid>
      <w:tr>
        <w:trPr/>
        <w:tc>
          <w:tcPr>
            <w:tcW w:w="33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r>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096135" cy="175260"/>
                      <wp:effectExtent l="0" t="0" r="0" b="0"/>
                      <wp:wrapNone/>
                      <wp:docPr id="512" name="Frame510"/>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19710" cy="175260"/>
                      <wp:effectExtent l="0" t="0" r="0" b="0"/>
                      <wp:wrapNone/>
                      <wp:docPr id="513" name="Frame5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438785" cy="175260"/>
                      <wp:effectExtent l="0" t="0" r="0" b="0"/>
                      <wp:wrapNone/>
                      <wp:docPr id="514" name="Frame51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19710" cy="175260"/>
                      <wp:effectExtent l="0" t="0" r="0" b="0"/>
                      <wp:wrapNone/>
                      <wp:docPr id="515" name="Frame5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543560" cy="175260"/>
                      <wp:effectExtent l="0" t="0" r="0" b="0"/>
                      <wp:wrapNone/>
                      <wp:docPr id="516" name="Frame51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19710" cy="175260"/>
                      <wp:effectExtent l="0" t="0" r="0" b="0"/>
                      <wp:wrapNone/>
                      <wp:docPr id="517" name="Frame5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467360" cy="175260"/>
                      <wp:effectExtent l="0" t="0" r="0" b="0"/>
                      <wp:wrapNone/>
                      <wp:docPr id="518" name="Frame51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29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Subsequent measurement</w:t>
            </w:r>
          </w:p>
        </w:tc>
      </w:tr>
      <w:tr>
        <w:trPr/>
        <w:tc>
          <w:tcPr>
            <w:tcW w:w="33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0"/>
              <w:ind w:left="0" w:right="0" w:hanging="0"/>
              <w:jc w:val="center"/>
              <w:rPr/>
            </w:pPr>
            <w:r>
              <w:rPr/>
              <w:t>  ​ ​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  ​ ​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assets - AC</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liabilities - FLAC</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(4,863)</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(4,863)</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assets and liabilities - FVTPL</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(4,003)</w:t>
            </w:r>
          </w:p>
        </w:tc>
        <w:tc>
          <w:tcPr>
            <w:tcW w:w="34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1,028</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(2,975)</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total interest income for financial assets that are not measured at FVTPL is €66 thousand as of the year ended December 31, 2025 (2024: €860 thousand). The total interest expense for financial liabilities that are not measured at FVTPL is €2,951 thousand as of the year ended December 31, 2025 (2024: €4,863 thousand).</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Financial Instrument Risk Management Objectives and Policies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Due to its international operational businesses, SCHMID is exposed to market risk (especially foreign currency risk) and credit risk. In the area of financing, liquidity risks and interest rate risks play a major role. SCHMID’s senior management oversees the management of these risks. In prior years no formalized risk management system existed, but financial risks as far as identified were handled case-by-case. Equity price risk is considered insignificant for SCHMID.</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Credit Risk</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Credit risk is the risk that SCHMID might incur a financial loss as a consequence of the non-payment or partial payment of outstanding receivables by counterparties and from replacement risks for open transactions. SCHMID is exposed to credit risks associated with its operating activities, the loan granted to one of its shareholders, trade receivables as well as cash and cash equivalents.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SCHMID applies appropriate measures to manage credit risks inherent to its trade receivables. SCHMID requests customer ratings from well-known rating agencies and responds to higher probabilities of default with modified payment terms. Loss rates are based on actual credit loss experience over the past seven years. These rates are multiplied by scalar factors to reflect differences between economic conditions during the period over which the historical data has been collected, current conditions and SCHMID’s view of economic conditions over the expected lives of the receivables.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firstLine="360"/>
        <w:jc w:val="left"/>
        <w:rPr>
          <w:rFonts w:ascii="Times New Roman;Times;serif" w:hAnsi="Times New Roman;Times;serif"/>
          <w:sz w:val="20"/>
        </w:rPr>
      </w:pPr>
      <w:bookmarkStart w:id="1787" w:name="Tc_fljApNwnGUyymBBd7KJYXw_16_0"/>
      <w:bookmarkStart w:id="1788" w:name="Tc_A02S_oVXzU2tkNOoKNbGAQ_15_4"/>
      <w:bookmarkStart w:id="1789" w:name="Tc_LgVRKajLJ0CHDiUHgCHRMg_15_2"/>
      <w:bookmarkStart w:id="1790" w:name="Tc_hzkZmMVqwUCIwBgEB4r9_g_15_0"/>
      <w:bookmarkStart w:id="1791" w:name="Tc_s0x9QTT9Ykm9buu0CLL83Q_14_6"/>
      <w:bookmarkStart w:id="1792" w:name="Tc_hhz9E5zCC0GYYCdAUt2B5A_14_2"/>
      <w:bookmarkStart w:id="1793" w:name="Tc_hlQLTNsaOESp_iyMUZnGSA_14_0"/>
      <w:bookmarkStart w:id="1794" w:name="Tc_YeK6SYRb80anAiumLnldoQ_13_6"/>
      <w:bookmarkStart w:id="1795" w:name="Tc_ghcaPQNwG0aCxKlYf_gsPA_13_2"/>
      <w:bookmarkStart w:id="1796" w:name="Tc_WkDU_WK63UC-Njb0EzF_CQ_13_0"/>
      <w:bookmarkStart w:id="1797" w:name="Tc_qgGwNzWukUWn9Gg7ytUHdw_12_6"/>
      <w:bookmarkStart w:id="1798" w:name="Tc_QLVuZe5AoEmG3t4m4Mo2ug_12_2"/>
      <w:bookmarkStart w:id="1799" w:name="Tc_h9Mr3kCaWU-r2fXCLFRWTg_12_0"/>
      <w:bookmarkStart w:id="1800" w:name="Tc_0hohGYsgtE6C58BAUuoZaQ_11_6"/>
      <w:bookmarkStart w:id="1801" w:name="Tc_h3svz6EoqUuSWEmo1BuunA_11_2"/>
      <w:bookmarkStart w:id="1802" w:name="Tc_dE4bXTa9MkuJagZCBWDm2g_11_0"/>
      <w:bookmarkStart w:id="1803" w:name="Tc_btKP5zhHNESqza8EYShUNA_10_6"/>
      <w:bookmarkStart w:id="1804" w:name="Tc_IDLyWZEtdkuEAzZWp0hm5A_10_2"/>
      <w:bookmarkStart w:id="1805" w:name="Tc_KJrnTAJtYkGWB9wiVInA_A_10_0"/>
      <w:bookmarkStart w:id="1806" w:name="Tc_zYDwo0fYI0-dtv727D6Ipw_9_0"/>
      <w:bookmarkStart w:id="1807" w:name="Tc_9XYhMi9l1UCfKnvCvak07g_8_0"/>
      <w:bookmarkStart w:id="1808" w:name="Tc_cwdTxG0iKEmCJRTUv7ZM4Q_7_6"/>
      <w:bookmarkStart w:id="1809" w:name="Tc_Qq9vZwzfXE-qdA8npgARGw_7_4"/>
      <w:bookmarkStart w:id="1810" w:name="Tc_XMD3EZVwQEGbTqUVOmInpw_7_2"/>
      <w:bookmarkStart w:id="1811" w:name="Tc_olXAvYvhG0-8-AsaROON0g_7_0"/>
      <w:bookmarkStart w:id="1812" w:name="Tc_4GU4TRUjJ0a_MFMQsWnGJw_6_0"/>
      <w:bookmarkStart w:id="1813" w:name="Tc_lEh49jupLECYs8UUf7k6jA_5_6"/>
      <w:bookmarkStart w:id="1814" w:name="Tc_-6MKL4qfQkCKyOxbggsXAw_5_4"/>
      <w:bookmarkStart w:id="1815" w:name="Tc_KErFXMdGd0aro-CwLGZVZw_5_0"/>
      <w:bookmarkStart w:id="1816" w:name="Tc_uzryflGZl0COv6AvwB9jRQ_4_0"/>
      <w:bookmarkStart w:id="1817" w:name="Tc_FU3Z613WFEuQ3jRaUCU0Cg_3_0"/>
      <w:bookmarkStart w:id="1818" w:name="Tc_c7Kh4XDs00WAFKGlCWXqaQ_2_6"/>
      <w:bookmarkStart w:id="1819" w:name="Tc_1C1TS82zwUe6_5gwso2uzw_2_4"/>
      <w:bookmarkStart w:id="1820" w:name="Tc_1CpjbD0lM0SoNthnau2kdA_2_2"/>
      <w:bookmarkStart w:id="1821" w:name="Tc_uueUXGFm-U2xcMRYj5rfCA_2_0"/>
      <w:bookmarkStart w:id="1822" w:name="Tc_xRwnxlHmO0iPOGGu6dQpFQ_1_6"/>
      <w:bookmarkStart w:id="1823" w:name="Tc_W56NPkkuVUeeAv2B1FcNyw_1_0"/>
      <w:bookmarkStart w:id="1824" w:name="_0c77e1f5_a3e6_45a4_bd8b_500fa85e2430"/>
      <w:bookmarkStart w:id="1825" w:name="Tc_r_-cjN5yukiU3eqoXa1axg_11_0"/>
      <w:bookmarkStart w:id="1826" w:name="Tc__-tRxWnjKEiWJ9pIF-CBwg_10_4"/>
      <w:bookmarkStart w:id="1827" w:name="Tc_ghnj6dZGB0q1LJTVuKH_GA_10_2"/>
      <w:bookmarkStart w:id="1828" w:name="Tc_Co-dhMUTV06In0Vt0phtow_10_0"/>
      <w:bookmarkStart w:id="1829" w:name="Tc_QNGAkDfyUkmx4LkzwZ0LuQ_9_4"/>
      <w:bookmarkStart w:id="1830" w:name="Tc_QANUiymgOkyNxvEzrlgwDA_9_2"/>
      <w:bookmarkStart w:id="1831" w:name="Tc_kM2JGkUvE0K4_LLKQm0Zcw_9_0"/>
      <w:bookmarkStart w:id="1832" w:name="Tc_8wtx4n50NUS9D9NgX1fryw_8_0"/>
      <w:bookmarkStart w:id="1833" w:name="Tc_SbWX6aTv7UatFRusfeKdJw_7_0"/>
      <w:bookmarkStart w:id="1834" w:name="Tc_C3_S-DL9K0GXCqdhwNe-7Q_6_4"/>
      <w:bookmarkStart w:id="1835" w:name="Tc_75GTCw1MWkyzcCf0unHbtg_6_2"/>
      <w:bookmarkStart w:id="1836" w:name="Tc_96dnxeUE6E6tNh_tRdcZeA_6_0"/>
      <w:bookmarkStart w:id="1837" w:name="Tc_fwd_LAgEQE-7KX-n6vie8w_5_0"/>
      <w:bookmarkStart w:id="1838" w:name="Tc_iLjpyrpyqkiQLMPGgLfCaA_4_4"/>
      <w:bookmarkStart w:id="1839" w:name="Tc_bazKuRA8XE6QymOdlBJq7w_4_2"/>
      <w:bookmarkStart w:id="1840" w:name="Tc_xF1GOg4JS0SlkrKTT8ODug_4_0"/>
      <w:bookmarkStart w:id="1841" w:name="Tc_QznmqvUw00-dI01kbeZRhg_3_0"/>
      <w:bookmarkStart w:id="1842" w:name="Tc_b2CkUMFjO0ipQp3_aTjVIQ_2_4"/>
      <w:bookmarkStart w:id="1843" w:name="Tc_uvm0-8N1ekSkCbcvHA3qsQ_2_2"/>
      <w:bookmarkStart w:id="1844" w:name="Tc_3giWY-wpyki7P5nDZ9j5bQ_2_0"/>
      <w:bookmarkStart w:id="1845" w:name="Tc_GoG3nGN4r061ScYoQgpbUw_1_4"/>
      <w:bookmarkStart w:id="1846" w:name="Tc_j0OyywlvY0C70uLrcuoqUw_1_2"/>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r>
        <w:rPr>
          <w:rFonts w:ascii="Times New Roman;Times;serif" w:hAnsi="Times New Roman;Times;serif"/>
          <w:sz w:val="20"/>
        </w:rPr>
        <w:t>The allowances for ECL determined for the different classes of financial assets developed as follows:</w:t>
      </w:r>
    </w:p>
    <w:p>
      <w:pPr>
        <w:pStyle w:val="TextBody"/>
        <w:bidi w:val="0"/>
        <w:spacing w:before="0" w:after="240"/>
        <w:ind w:left="200" w:right="200" w:hanging="0"/>
        <w:jc w:val="both"/>
        <w:rPr/>
      </w:pPr>
      <w:r>
        <w:rPr/>
        <w:t>​</w:t>
      </w:r>
    </w:p>
    <w:tbl>
      <w:tblPr>
        <w:tblW w:w="6275" w:type="dxa"/>
        <w:jc w:val="left"/>
        <w:tblInd w:w="200" w:type="dxa"/>
        <w:tblLayout w:type="fixed"/>
        <w:tblCellMar>
          <w:top w:w="0" w:type="dxa"/>
          <w:left w:w="0" w:type="dxa"/>
          <w:bottom w:w="0" w:type="dxa"/>
          <w:right w:w="0" w:type="dxa"/>
        </w:tblCellMar>
      </w:tblPr>
      <w:tblGrid>
        <w:gridCol w:w="2506"/>
        <w:gridCol w:w="346"/>
        <w:gridCol w:w="1516"/>
        <w:gridCol w:w="346"/>
        <w:gridCol w:w="1561"/>
      </w:tblGrid>
      <w:tr>
        <w:trPr/>
        <w:tc>
          <w:tcPr>
            <w:tcW w:w="25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591310" cy="175260"/>
                      <wp:effectExtent l="0" t="0" r="0" b="0"/>
                      <wp:wrapNone/>
                      <wp:docPr id="519" name="Frame517"/>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19710" cy="175260"/>
                      <wp:effectExtent l="0" t="0" r="0" b="0"/>
                      <wp:wrapNone/>
                      <wp:docPr id="520" name="Frame5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962660" cy="175260"/>
                      <wp:effectExtent l="0" t="0" r="0" b="0"/>
                      <wp:wrapNone/>
                      <wp:docPr id="521" name="Frame519"/>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19710" cy="175260"/>
                      <wp:effectExtent l="0" t="0" r="0" b="0"/>
                      <wp:wrapNone/>
                      <wp:docPr id="522" name="Frame5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991235" cy="175260"/>
                      <wp:effectExtent l="0" t="0" r="0" b="0"/>
                      <wp:wrapNone/>
                      <wp:docPr id="523" name="Frame521"/>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Trade receivables –</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Trade receivables –</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  ​ ​ ​</w:t>
            </w:r>
          </w:p>
        </w:tc>
        <w:tc>
          <w:tcPr>
            <w:tcW w:w="15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 credit impaired</w:t>
            </w:r>
          </w:p>
        </w:tc>
        <w:tc>
          <w:tcPr>
            <w:tcW w:w="346" w:type="dxa"/>
            <w:tcBorders/>
            <w:vAlign w:val="center"/>
          </w:tcPr>
          <w:p>
            <w:pPr>
              <w:pStyle w:val="TableContents"/>
              <w:bidi w:val="0"/>
              <w:spacing w:before="0" w:after="0"/>
              <w:ind w:left="0" w:right="0" w:hanging="0"/>
              <w:jc w:val="center"/>
              <w:rPr/>
            </w:pPr>
            <w:r>
              <w:rP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credit impaired</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Closing Balance 31/12/2023</w:t>
            </w:r>
          </w:p>
        </w:tc>
        <w:tc>
          <w:tcPr>
            <w:tcW w:w="346" w:type="dxa"/>
            <w:tcBorders/>
            <w:shd w:fill="CCEEFF" w:val="clear"/>
            <w:vAlign w:val="center"/>
          </w:tcPr>
          <w:p>
            <w:pPr>
              <w:pStyle w:val="TableContents"/>
              <w:bidi w:val="0"/>
              <w:spacing w:before="0" w:after="0"/>
              <w:ind w:left="0" w:right="0" w:hanging="0"/>
              <w:jc w:val="center"/>
              <w:rPr/>
            </w:pPr>
            <w:r>
              <w:rPr/>
              <w:t>​</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(137)</w:t>
            </w:r>
          </w:p>
        </w:tc>
        <w:tc>
          <w:tcPr>
            <w:tcW w:w="346" w:type="dxa"/>
            <w:tcBorders/>
            <w:shd w:fill="CCEEFF" w:val="clear"/>
            <w:vAlign w:val="center"/>
          </w:tcPr>
          <w:p>
            <w:pPr>
              <w:pStyle w:val="TableContents"/>
              <w:bidi w:val="0"/>
              <w:spacing w:before="0" w:after="0"/>
              <w:ind w:left="0" w:right="0" w:hanging="0"/>
              <w:jc w:val="center"/>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(569)</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vAlign w:val="center"/>
          </w:tcPr>
          <w:p>
            <w:pPr>
              <w:pStyle w:val="TableContents"/>
              <w:bidi w:val="0"/>
              <w:spacing w:before="0" w:after="0"/>
              <w:ind w:left="0" w:right="0" w:hanging="0"/>
              <w:jc w:val="center"/>
              <w:rPr/>
            </w:pPr>
            <w:r>
              <w:rPr/>
              <w:t>​</w:t>
            </w:r>
          </w:p>
        </w:tc>
        <w:tc>
          <w:tcPr>
            <w:tcW w:w="15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561" w:type="dxa"/>
            <w:tcBorders/>
            <w:vAlign w:val="center"/>
          </w:tcPr>
          <w:p>
            <w:pPr>
              <w:pStyle w:val="TableContents"/>
              <w:bidi w:val="0"/>
              <w:spacing w:before="0" w:after="0"/>
              <w:ind w:left="0" w:right="0" w:hanging="0"/>
              <w:jc w:val="righ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Utilization</w:t>
            </w:r>
          </w:p>
        </w:tc>
        <w:tc>
          <w:tcPr>
            <w:tcW w:w="346" w:type="dxa"/>
            <w:tcBorders/>
            <w:shd w:fill="CCEEFF" w:val="clear"/>
            <w:vAlign w:val="center"/>
          </w:tcPr>
          <w:p>
            <w:pPr>
              <w:pStyle w:val="TableContents"/>
              <w:bidi w:val="0"/>
              <w:spacing w:before="0" w:after="0"/>
              <w:ind w:left="0" w:right="0" w:hanging="0"/>
              <w:jc w:val="left"/>
              <w:rPr/>
            </w:pPr>
            <w:r>
              <w:rPr/>
              <w:t> </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Reversal</w:t>
            </w:r>
          </w:p>
        </w:tc>
        <w:tc>
          <w:tcPr>
            <w:tcW w:w="346" w:type="dxa"/>
            <w:tcBorders/>
            <w:vAlign w:val="center"/>
          </w:tcPr>
          <w:p>
            <w:pPr>
              <w:pStyle w:val="TableContents"/>
              <w:bidi w:val="0"/>
              <w:spacing w:before="0" w:after="0"/>
              <w:ind w:left="0" w:right="0" w:hanging="0"/>
              <w:jc w:val="left"/>
              <w:rPr/>
            </w:pPr>
            <w:r>
              <w:rPr/>
              <w:t> </w:t>
            </w:r>
          </w:p>
        </w:tc>
        <w:tc>
          <w:tcPr>
            <w:tcW w:w="15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Closing Balance 31/12/2024</w:t>
            </w:r>
          </w:p>
        </w:tc>
        <w:tc>
          <w:tcPr>
            <w:tcW w:w="346" w:type="dxa"/>
            <w:tcBorders/>
            <w:shd w:fill="CCEEFF" w:val="clear"/>
            <w:vAlign w:val="center"/>
          </w:tcPr>
          <w:p>
            <w:pPr>
              <w:pStyle w:val="TableContents"/>
              <w:bidi w:val="0"/>
              <w:spacing w:before="0" w:after="0"/>
              <w:ind w:left="0" w:right="0" w:hanging="0"/>
              <w:jc w:val="left"/>
              <w:rPr/>
            </w:pPr>
            <w:r>
              <w:rPr/>
              <w:t> </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(376)</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vAlign w:val="center"/>
          </w:tcPr>
          <w:p>
            <w:pPr>
              <w:pStyle w:val="TableContents"/>
              <w:bidi w:val="0"/>
              <w:spacing w:before="0" w:after="0"/>
              <w:ind w:left="0" w:right="0" w:hanging="0"/>
              <w:jc w:val="left"/>
              <w:rPr/>
            </w:pPr>
            <w:r>
              <w:rPr/>
              <w:t> </w:t>
            </w:r>
          </w:p>
        </w:tc>
        <w:tc>
          <w:tcPr>
            <w:tcW w:w="1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Utilization</w:t>
            </w:r>
          </w:p>
        </w:tc>
        <w:tc>
          <w:tcPr>
            <w:tcW w:w="346" w:type="dxa"/>
            <w:tcBorders/>
            <w:shd w:fill="CCEEFF" w:val="clear"/>
            <w:vAlign w:val="center"/>
          </w:tcPr>
          <w:p>
            <w:pPr>
              <w:pStyle w:val="TableContents"/>
              <w:bidi w:val="0"/>
              <w:spacing w:before="0" w:after="0"/>
              <w:ind w:left="0" w:right="0" w:hanging="0"/>
              <w:jc w:val="left"/>
              <w:rPr/>
            </w:pPr>
            <w:r>
              <w:rPr/>
              <w:t> </w:t>
            </w:r>
          </w:p>
        </w:tc>
        <w:tc>
          <w:tcPr>
            <w:tcW w:w="15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righ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Reversal</w:t>
            </w:r>
          </w:p>
        </w:tc>
        <w:tc>
          <w:tcPr>
            <w:tcW w:w="346" w:type="dxa"/>
            <w:tcBorders/>
            <w:vAlign w:val="center"/>
          </w:tcPr>
          <w:p>
            <w:pPr>
              <w:pStyle w:val="TableContents"/>
              <w:bidi w:val="0"/>
              <w:spacing w:before="0" w:after="0"/>
              <w:ind w:left="0" w:right="0" w:hanging="0"/>
              <w:jc w:val="left"/>
              <w:rPr/>
            </w:pPr>
            <w:r>
              <w:rPr/>
              <w:t> </w:t>
            </w:r>
          </w:p>
        </w:tc>
        <w:tc>
          <w:tcPr>
            <w:tcW w:w="15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Closing Balance 31/12/2025</w:t>
            </w:r>
          </w:p>
        </w:tc>
        <w:tc>
          <w:tcPr>
            <w:tcW w:w="346" w:type="dxa"/>
            <w:tcBorders/>
            <w:shd w:fill="CCEEFF" w:val="clear"/>
            <w:vAlign w:val="center"/>
          </w:tcPr>
          <w:p>
            <w:pPr>
              <w:pStyle w:val="TableContents"/>
              <w:bidi w:val="0"/>
              <w:spacing w:before="0" w:after="0"/>
              <w:ind w:left="0" w:right="0" w:hanging="0"/>
              <w:jc w:val="left"/>
              <w:rPr/>
            </w:pPr>
            <w:r>
              <w:rPr/>
              <w:t> </w:t>
            </w:r>
          </w:p>
        </w:tc>
        <w:tc>
          <w:tcPr>
            <w:tcW w:w="15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(319)</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(475)</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With regards to cash and cash equivalents SCHMID allocates the credit risk by using several banks. Furthermore, it is SCHMID policy to hold cash and cash equivalents only with financial institutions that have at least an investment grade rating. SCHMID regularly monitors its cash and cash equivalents and takes corrective actions should it identify any possible changes in creditworthiness of these financial institutions. Therefore and due to its short-term character, no significant credit risk arises from cash and cash equivalents, and no ECL allowance has been recorded for 2025 and 2024 respectively.</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following tables provide information about the gross carrying amounts by credit-risk rating classes for the several types of financial assets that are not measured at FVTPL and therefore generally subject to the impairment regulations of IFRS 9.</w:t>
      </w:r>
    </w:p>
    <w:p>
      <w:pPr>
        <w:pStyle w:val="TextBody"/>
        <w:bidi w:val="0"/>
        <w:spacing w:before="0" w:after="240"/>
        <w:ind w:left="200" w:right="200" w:hanging="0"/>
        <w:jc w:val="both"/>
        <w:rPr/>
      </w:pPr>
      <w:r>
        <w:rPr/>
        <w:t>​</w:t>
      </w:r>
    </w:p>
    <w:tbl>
      <w:tblPr>
        <w:tblW w:w="6832" w:type="dxa"/>
        <w:jc w:val="left"/>
        <w:tblInd w:w="200" w:type="dxa"/>
        <w:tblLayout w:type="fixed"/>
        <w:tblCellMar>
          <w:top w:w="0" w:type="dxa"/>
          <w:left w:w="0" w:type="dxa"/>
          <w:bottom w:w="0" w:type="dxa"/>
          <w:right w:w="0" w:type="dxa"/>
        </w:tblCellMar>
      </w:tblPr>
      <w:tblGrid>
        <w:gridCol w:w="3511"/>
        <w:gridCol w:w="346"/>
        <w:gridCol w:w="646"/>
        <w:gridCol w:w="346"/>
        <w:gridCol w:w="676"/>
        <w:gridCol w:w="346"/>
        <w:gridCol w:w="961"/>
      </w:tblGrid>
      <w:tr>
        <w:trPr/>
        <w:tc>
          <w:tcPr>
            <w:tcW w:w="35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r>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229485" cy="175260"/>
                      <wp:effectExtent l="0" t="0" r="0" b="0"/>
                      <wp:wrapNone/>
                      <wp:docPr id="524" name="Frame522"/>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19710" cy="175260"/>
                      <wp:effectExtent l="0" t="0" r="0" b="0"/>
                      <wp:wrapNone/>
                      <wp:docPr id="525" name="Frame5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410210" cy="175260"/>
                      <wp:effectExtent l="0" t="0" r="0" b="0"/>
                      <wp:wrapNone/>
                      <wp:docPr id="526" name="Frame524"/>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9710" cy="175260"/>
                      <wp:effectExtent l="0" t="0" r="0" b="0"/>
                      <wp:wrapNone/>
                      <wp:docPr id="527" name="Frame5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429260" cy="175260"/>
                      <wp:effectExtent l="0" t="0" r="0" b="0"/>
                      <wp:wrapNone/>
                      <wp:docPr id="528" name="Frame5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19710" cy="175260"/>
                      <wp:effectExtent l="0" t="0" r="0" b="0"/>
                      <wp:wrapNone/>
                      <wp:docPr id="529" name="Frame5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10235" cy="175260"/>
                      <wp:effectExtent l="0" t="0" r="0" b="0"/>
                      <wp:wrapNone/>
                      <wp:docPr id="530" name="Frame52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Gross Carrying Amounts by Rating Class</w:t>
            </w:r>
          </w:p>
        </w:tc>
        <w:tc>
          <w:tcPr>
            <w:tcW w:w="346" w:type="dxa"/>
            <w:tcBorders/>
            <w:vAlign w:val="center"/>
          </w:tcPr>
          <w:p>
            <w:pPr>
              <w:pStyle w:val="TableContents"/>
              <w:bidi w:val="0"/>
              <w:spacing w:before="0" w:after="0"/>
              <w:ind w:left="0" w:right="0" w:hanging="0"/>
              <w:jc w:val="center"/>
              <w:rPr/>
            </w:pPr>
            <w:r>
              <w:rPr/>
              <w:t>  ​ ​ ​</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12/31/2025</w: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Stage 1</w:t>
            </w:r>
          </w:p>
        </w:tc>
        <w:tc>
          <w:tcPr>
            <w:tcW w:w="34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Stage 2</w:t>
            </w:r>
          </w:p>
        </w:tc>
        <w:tc>
          <w:tcPr>
            <w:tcW w:w="346"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Stage 3</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General approach</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AAA to BBB (Investment grade)</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Receivables from shareholders</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BBB- to CCC (Below investment grade)</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Simplified approach</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Trade receivables and other receivables</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(not past due)</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14,538</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1-30 days past due</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31-60 days past due</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61-90 days past due</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More than 90 days past due</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1,924</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credit-impaired</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11,459</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1,574</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17,622</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11,459</w:t>
            </w:r>
          </w:p>
        </w:tc>
      </w:tr>
    </w:tbl>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200" w:after="200"/>
        <w:ind w:left="200" w:right="200" w:hanging="0"/>
        <w:jc w:val="left"/>
        <w:rPr>
          <w:sz w:val="4"/>
          <w:szCs w:val="4"/>
        </w:rPr>
      </w:pPr>
      <w:r>
        <w:rPr>
          <w:sz w:val="4"/>
          <w:szCs w:val="4"/>
        </w:rPr>
      </w:r>
      <w:bookmarkStart w:id="1847" w:name="Tc_jzj8Ad8XD0KgO1e5XZgXmg_10_8"/>
      <w:bookmarkStart w:id="1848" w:name="Tc_-nH4g7weHEGp85gxmJuwWw_10_6"/>
      <w:bookmarkStart w:id="1849" w:name="Tc_6-6DB4ylrEiSu5xVPSTcTA_10_4"/>
      <w:bookmarkStart w:id="1850" w:name="Tc_MeLV6CUA5kSc4cybGUGEnA_10_0"/>
      <w:bookmarkStart w:id="1851" w:name="Tc_cNUyezltQkGAttzNSSWoqw_9_8"/>
      <w:bookmarkStart w:id="1852" w:name="Tc_CR5kO-kW6EmO5rbzwGKXiw_9_6"/>
      <w:bookmarkStart w:id="1853" w:name="Tc_jbr591PJZUCLm0FQcm-tqA_9_0"/>
      <w:bookmarkStart w:id="1854" w:name="Tc_Z3j7wVh3IkiFX2Egu86fVA_8_8"/>
      <w:bookmarkStart w:id="1855" w:name="Tc_fOTvvpMcp0eUNuwD164S1g_8_6"/>
      <w:bookmarkStart w:id="1856" w:name="Tc_EDZdysT_i0O4J6EPbXN6zQ_8_0"/>
      <w:bookmarkStart w:id="1857" w:name="Tc_3vddbH2e_UiVA0KdsnVnUg_7_8"/>
      <w:bookmarkStart w:id="1858" w:name="Tc_Urw3PepAYkOIJh8UHorI-g_7_6"/>
      <w:bookmarkStart w:id="1859" w:name="Tc_-wU-DGWnp0uhb0T56UG_Bw_7_0"/>
      <w:bookmarkStart w:id="1860" w:name="Tc_zGCzk8pH30K3tKWyE9T10Q_6_10"/>
      <w:bookmarkStart w:id="1861" w:name="Tc_lfAItA8aT0ayWEYb9-Y7vQ_6_8"/>
      <w:bookmarkStart w:id="1862" w:name="Tc_j7RxWPyJska8WtiRD5uVkA_6_6"/>
      <w:bookmarkStart w:id="1863" w:name="Tc_DhpXayjqY0CEpHQbstBZ0A_6_4"/>
      <w:bookmarkStart w:id="1864" w:name="Tc_17vnpaKMTUqArpNyXZgFzw_6_2"/>
      <w:bookmarkStart w:id="1865" w:name="Tc_OHyvdi5mD0S2kGliZH8VHw_6_0"/>
      <w:bookmarkStart w:id="1866" w:name="Tc_gqH27J7lyEK8mlVes6ITyQ_5_0"/>
      <w:bookmarkStart w:id="1867" w:name="Tc_sb77niqKRUCLLbD7i5oiGA_4_0"/>
      <w:bookmarkStart w:id="1868" w:name="Tc_VJnCI6jNNUm1wVbXGGb5mg_3_10"/>
      <w:bookmarkStart w:id="1869" w:name="Tc_zu6GDz8gI0uU4J26vtHpSg_3_8"/>
      <w:bookmarkStart w:id="1870" w:name="Tc_tYYkB3iz5EaflNWxXFGZcg_3_6"/>
      <w:bookmarkStart w:id="1871" w:name="Tc_8AlEjMrtHEe4sEMnrvaifA_3_4"/>
      <w:bookmarkStart w:id="1872" w:name="Tc_G2MN5u4h0E6mNGlVgx-9FQ_3_2"/>
      <w:bookmarkStart w:id="1873" w:name="Tc_wQRM54hWjE-UDG3md8eX-g_3_0"/>
      <w:bookmarkStart w:id="1874" w:name="Tc_mq_ZLrO4RkOFlpGhLj2AVw_2_10"/>
      <w:bookmarkStart w:id="1875" w:name="Tc_Y3Xp8BSkAUW8Ai1XyyCb4g_2_2"/>
      <w:bookmarkStart w:id="1876" w:name="Tc_kARUP0_MA0Wof0iYR-lBRA_1_10"/>
      <w:bookmarkStart w:id="1877" w:name="_f8e36120_bdd5_422a_9324_ef54158efb33"/>
      <w:bookmarkStart w:id="1878" w:name="Tc_0zWSyxCxw0q4HiVSb9-stA_10_8"/>
      <w:bookmarkStart w:id="1879" w:name="Tc_-3c_Tqb3O0eqnG6WMP1gRA_10_6"/>
      <w:bookmarkStart w:id="1880" w:name="Tc_nj_sZhr38E-opAjr6JdMbw_10_4"/>
      <w:bookmarkStart w:id="1881" w:name="Tc_AcNXh5pG10mAcqL6X1AV4A_10_0"/>
      <w:bookmarkStart w:id="1882" w:name="Tc_0n5mx-UWmkWeb2cc6tBKXA_9_8"/>
      <w:bookmarkStart w:id="1883" w:name="Tc_zSV8MvqT0k6PhlsfkSp4hA_9_6"/>
      <w:bookmarkStart w:id="1884" w:name="Tc_I9rFpycLcEWAbM9M75k2Ew_9_0"/>
      <w:bookmarkStart w:id="1885" w:name="Tc_yoNtYDjXzUe_nTicAVPYww_8_8"/>
      <w:bookmarkStart w:id="1886" w:name="Tc_Ocb9ayyWv0CiRzDQNdhtOQ_8_6"/>
      <w:bookmarkStart w:id="1887" w:name="Tc_voEEhPTXqk2rlw-iUD_Ing_8_0"/>
      <w:bookmarkStart w:id="1888" w:name="Tc_93xTQwY9gUiZUmj-jZgQmA_7_8"/>
      <w:bookmarkStart w:id="1889" w:name="Tc_RBELtREGREqBDM6vwHLTJw_7_6"/>
      <w:bookmarkStart w:id="1890" w:name="Tc_80WryAhEX0yxSv6GvCUO5g_7_0"/>
      <w:bookmarkStart w:id="1891" w:name="Tc_OyK25P5TZ0G5YM5Zv1ClOg_6_8"/>
      <w:bookmarkStart w:id="1892" w:name="Tc_8bS4PY6Oq0S5Sq_pY0rfmg_6_6"/>
      <w:bookmarkStart w:id="1893" w:name="Tc_abc20_H8R0ygaoPAMhn7ng_6_0"/>
      <w:bookmarkStart w:id="1894" w:name="Tc_8LjGECNru0WhM1T_IZPXpg_5_0"/>
      <w:bookmarkStart w:id="1895" w:name="Tc_MAbBHOBbAkyN7HHB1f1gcg_4_0"/>
      <w:bookmarkStart w:id="1896" w:name="Tc_IKr9IWLBXUacjdHli5MiUg_3_10"/>
      <w:bookmarkStart w:id="1897" w:name="Tc_VcgDZphjK0Gbia1by2kRGw_3_8"/>
      <w:bookmarkStart w:id="1898" w:name="Tc_ZiZdWA5_o0qC6h884m_vqw_3_6"/>
      <w:bookmarkStart w:id="1899" w:name="Tc_LB3kcWtxk0WvLUXIkGC4CA_3_4"/>
      <w:bookmarkStart w:id="1900" w:name="Tc_S86TWbOtzkWQbDylhqvNew_3_2"/>
      <w:bookmarkStart w:id="1901" w:name="Tc_UQ3h_FJmYEeBjMuaTqfOHw_3_0"/>
      <w:bookmarkStart w:id="1902" w:name="Tc_O07h1KTNy0elYJ6WUrcxsQ_2_10"/>
      <w:bookmarkStart w:id="1903" w:name="Tc_TdyoCOmn90eBkcK7KrMUew_2_2"/>
      <w:bookmarkStart w:id="1904" w:name="Tc_48EoScrE7E2WZS6Ja57Isw_1_10"/>
      <w:bookmarkStart w:id="1905" w:name="_19f871e3_1256_4d49_addd_5e6041971b1e"/>
      <w:bookmarkStart w:id="1906" w:name="Tc_jKpE72rUCkiD4knhgY8LxA_16_0"/>
      <w:bookmarkStart w:id="1907" w:name="Tc_7kj7E3eeT02f_QwE51qZCg_15_4"/>
      <w:bookmarkStart w:id="1908" w:name="Tc_lvJ-lsizDUukNc_9Zuohvg_15_2"/>
      <w:bookmarkStart w:id="1909" w:name="Tc_U9VXQsClAkGbs6JWZSu05w_15_0"/>
      <w:bookmarkStart w:id="1910" w:name="Tc_0HG8mk-vSkOPgD5ecK53Vw_14_6"/>
      <w:bookmarkStart w:id="1911" w:name="Tc_vhz7RjWZWUKzCFslqOersg_14_2"/>
      <w:bookmarkStart w:id="1912" w:name="Tc_BDXfSI7Q9EKSmtPprSnYSw_14_0"/>
      <w:bookmarkStart w:id="1913" w:name="Tc_tFVK_SAtjUWSYaUXNNlOsA_13_6"/>
      <w:bookmarkStart w:id="1914" w:name="Tc_20xC9EQw9UyKTTFszc4yWw_13_2"/>
      <w:bookmarkStart w:id="1915" w:name="Tc_FCPJf1YJnUS_B8iUiBY9jw_13_0"/>
      <w:bookmarkStart w:id="1916" w:name="Tc_VP_OlTDJbk6CmCrEI9L76g_12_6"/>
      <w:bookmarkStart w:id="1917" w:name="Tc_8liVcNUJ9EGhY3VIk7vxiQ_12_2"/>
      <w:bookmarkStart w:id="1918" w:name="Tc_nd8hmEVpdU6FPlzgtvty3A_12_0"/>
      <w:bookmarkStart w:id="1919" w:name="Tc_bD6RyAxZYkiP6kVJwEpWGw_11_6"/>
      <w:bookmarkStart w:id="1920" w:name="Tc_782J3F3L6EeXYty-Ti0JBQ_11_2"/>
      <w:bookmarkStart w:id="1921" w:name="Tc_xMTo9UMU406eSQr7DlY_ag_11_0"/>
      <w:bookmarkStart w:id="1922" w:name="Tc_D1p1jn_6JUeA3P_dnVqAmA_10_6"/>
      <w:bookmarkStart w:id="1923" w:name="Tc__Hoa0PW5jkGb18gbe934Lw_10_2"/>
      <w:bookmarkStart w:id="1924" w:name="Tc_MKGu8wT45UW1aHUA8KCJWg_10_0"/>
      <w:bookmarkStart w:id="1925" w:name="Tc_-mzEIUVCUU-MZhJy5FA-GA_9_0"/>
      <w:bookmarkStart w:id="1926" w:name="Tc_nbFraDchz0Ww5qZZXtEiEg_8_0"/>
      <w:bookmarkStart w:id="1927" w:name="Tc_O2LbqgNG0kOgUOX9eKgXew_7_6"/>
      <w:bookmarkStart w:id="1928" w:name="Tc_GxZ8TbgtwEe5JoaPoYZ8tA_7_2"/>
      <w:bookmarkStart w:id="1929" w:name="Tc_o761Rw0JiUydHl8uPPbYYQ_7_0"/>
      <w:bookmarkStart w:id="1930" w:name="Tc_7iyj-2ftN0KKc0eVNjrZAA_6_0"/>
      <w:bookmarkStart w:id="1931" w:name="Tc_p1OI_9XAYk6qlYkS1XTHQA_5_6"/>
      <w:bookmarkStart w:id="1932" w:name="Tc_3VKMlz9s7EKPMg5cbrwPFg_5_4"/>
      <w:bookmarkStart w:id="1933" w:name="Tc_EF_joSc7Z02exBS7xO6FvQ_5_0"/>
      <w:bookmarkStart w:id="1934" w:name="Tc_DGsb5o_cAEeW3JekzF8TEw_4_0"/>
      <w:bookmarkStart w:id="1935" w:name="Tc_86d1vUm7JEeZh3vM9OsgLg_3_0"/>
      <w:bookmarkStart w:id="1936" w:name="Tc_jrv4DLGPHEKjT2vNI2Z2Nw_2_6"/>
      <w:bookmarkStart w:id="1937" w:name="Tc_RaAszP-aLkKA_1mvbYl3Xw_2_4"/>
      <w:bookmarkStart w:id="1938" w:name="Tc_lzP2pr-rHkOgUqtNWB63VQ_2_2"/>
      <w:bookmarkStart w:id="1939" w:name="Tc_hu_jFD-ZxkCSSCteoXGFvg_2_0"/>
      <w:bookmarkStart w:id="1940" w:name="Tc_LjiMKv0CZk6Q1NUj-awbYw_1_6"/>
      <w:bookmarkStart w:id="1941" w:name="Tc_dKx8mSR9n0ScGhNlULNe3w_1_0"/>
      <w:bookmarkStart w:id="1942" w:name="_00081809_ad62_480a_9f75_e3478c5de81f"/>
      <w:bookmarkStart w:id="1943" w:name="Tc_jzj8Ad8XD0KgO1e5XZgXmg_10_8"/>
      <w:bookmarkStart w:id="1944" w:name="Tc_-nH4g7weHEGp85gxmJuwWw_10_6"/>
      <w:bookmarkStart w:id="1945" w:name="Tc_6-6DB4ylrEiSu5xVPSTcTA_10_4"/>
      <w:bookmarkStart w:id="1946" w:name="Tc_MeLV6CUA5kSc4cybGUGEnA_10_0"/>
      <w:bookmarkStart w:id="1947" w:name="Tc_cNUyezltQkGAttzNSSWoqw_9_8"/>
      <w:bookmarkStart w:id="1948" w:name="Tc_CR5kO-kW6EmO5rbzwGKXiw_9_6"/>
      <w:bookmarkStart w:id="1949" w:name="Tc_jbr591PJZUCLm0FQcm-tqA_9_0"/>
      <w:bookmarkStart w:id="1950" w:name="Tc_Z3j7wVh3IkiFX2Egu86fVA_8_8"/>
      <w:bookmarkStart w:id="1951" w:name="Tc_fOTvvpMcp0eUNuwD164S1g_8_6"/>
      <w:bookmarkStart w:id="1952" w:name="Tc_EDZdysT_i0O4J6EPbXN6zQ_8_0"/>
      <w:bookmarkStart w:id="1953" w:name="Tc_3vddbH2e_UiVA0KdsnVnUg_7_8"/>
      <w:bookmarkStart w:id="1954" w:name="Tc_Urw3PepAYkOIJh8UHorI-g_7_6"/>
      <w:bookmarkStart w:id="1955" w:name="Tc_-wU-DGWnp0uhb0T56UG_Bw_7_0"/>
      <w:bookmarkStart w:id="1956" w:name="Tc_zGCzk8pH30K3tKWyE9T10Q_6_10"/>
      <w:bookmarkStart w:id="1957" w:name="Tc_lfAItA8aT0ayWEYb9-Y7vQ_6_8"/>
      <w:bookmarkStart w:id="1958" w:name="Tc_j7RxWPyJska8WtiRD5uVkA_6_6"/>
      <w:bookmarkStart w:id="1959" w:name="Tc_DhpXayjqY0CEpHQbstBZ0A_6_4"/>
      <w:bookmarkStart w:id="1960" w:name="Tc_17vnpaKMTUqArpNyXZgFzw_6_2"/>
      <w:bookmarkStart w:id="1961" w:name="Tc_OHyvdi5mD0S2kGliZH8VHw_6_0"/>
      <w:bookmarkStart w:id="1962" w:name="Tc_gqH27J7lyEK8mlVes6ITyQ_5_0"/>
      <w:bookmarkStart w:id="1963" w:name="Tc_sb77niqKRUCLLbD7i5oiGA_4_0"/>
      <w:bookmarkStart w:id="1964" w:name="Tc_VJnCI6jNNUm1wVbXGGb5mg_3_10"/>
      <w:bookmarkStart w:id="1965" w:name="Tc_zu6GDz8gI0uU4J26vtHpSg_3_8"/>
      <w:bookmarkStart w:id="1966" w:name="Tc_tYYkB3iz5EaflNWxXFGZcg_3_6"/>
      <w:bookmarkStart w:id="1967" w:name="Tc_8AlEjMrtHEe4sEMnrvaifA_3_4"/>
      <w:bookmarkStart w:id="1968" w:name="Tc_G2MN5u4h0E6mNGlVgx-9FQ_3_2"/>
      <w:bookmarkStart w:id="1969" w:name="Tc_wQRM54hWjE-UDG3md8eX-g_3_0"/>
      <w:bookmarkStart w:id="1970" w:name="Tc_mq_ZLrO4RkOFlpGhLj2AVw_2_10"/>
      <w:bookmarkStart w:id="1971" w:name="Tc_Y3Xp8BSkAUW8Ai1XyyCb4g_2_2"/>
      <w:bookmarkStart w:id="1972" w:name="Tc_kARUP0_MA0Wof0iYR-lBRA_1_10"/>
      <w:bookmarkStart w:id="1973" w:name="_f8e36120_bdd5_422a_9324_ef54158efb33"/>
      <w:bookmarkStart w:id="1974" w:name="Tc_0zWSyxCxw0q4HiVSb9-stA_10_8"/>
      <w:bookmarkStart w:id="1975" w:name="Tc_-3c_Tqb3O0eqnG6WMP1gRA_10_6"/>
      <w:bookmarkStart w:id="1976" w:name="Tc_nj_sZhr38E-opAjr6JdMbw_10_4"/>
      <w:bookmarkStart w:id="1977" w:name="Tc_AcNXh5pG10mAcqL6X1AV4A_10_0"/>
      <w:bookmarkStart w:id="1978" w:name="Tc_0n5mx-UWmkWeb2cc6tBKXA_9_8"/>
      <w:bookmarkStart w:id="1979" w:name="Tc_zSV8MvqT0k6PhlsfkSp4hA_9_6"/>
      <w:bookmarkStart w:id="1980" w:name="Tc_I9rFpycLcEWAbM9M75k2Ew_9_0"/>
      <w:bookmarkStart w:id="1981" w:name="Tc_yoNtYDjXzUe_nTicAVPYww_8_8"/>
      <w:bookmarkStart w:id="1982" w:name="Tc_Ocb9ayyWv0CiRzDQNdhtOQ_8_6"/>
      <w:bookmarkStart w:id="1983" w:name="Tc_voEEhPTXqk2rlw-iUD_Ing_8_0"/>
      <w:bookmarkStart w:id="1984" w:name="Tc_93xTQwY9gUiZUmj-jZgQmA_7_8"/>
      <w:bookmarkStart w:id="1985" w:name="Tc_RBELtREGREqBDM6vwHLTJw_7_6"/>
      <w:bookmarkStart w:id="1986" w:name="Tc_80WryAhEX0yxSv6GvCUO5g_7_0"/>
      <w:bookmarkStart w:id="1987" w:name="Tc_OyK25P5TZ0G5YM5Zv1ClOg_6_8"/>
      <w:bookmarkStart w:id="1988" w:name="Tc_8bS4PY6Oq0S5Sq_pY0rfmg_6_6"/>
      <w:bookmarkStart w:id="1989" w:name="Tc_abc20_H8R0ygaoPAMhn7ng_6_0"/>
      <w:bookmarkStart w:id="1990" w:name="Tc_8LjGECNru0WhM1T_IZPXpg_5_0"/>
      <w:bookmarkStart w:id="1991" w:name="Tc_MAbBHOBbAkyN7HHB1f1gcg_4_0"/>
      <w:bookmarkStart w:id="1992" w:name="Tc_IKr9IWLBXUacjdHli5MiUg_3_10"/>
      <w:bookmarkStart w:id="1993" w:name="Tc_VcgDZphjK0Gbia1by2kRGw_3_8"/>
      <w:bookmarkStart w:id="1994" w:name="Tc_ZiZdWA5_o0qC6h884m_vqw_3_6"/>
      <w:bookmarkStart w:id="1995" w:name="Tc_LB3kcWtxk0WvLUXIkGC4CA_3_4"/>
      <w:bookmarkStart w:id="1996" w:name="Tc_S86TWbOtzkWQbDylhqvNew_3_2"/>
      <w:bookmarkStart w:id="1997" w:name="Tc_UQ3h_FJmYEeBjMuaTqfOHw_3_0"/>
      <w:bookmarkStart w:id="1998" w:name="Tc_O07h1KTNy0elYJ6WUrcxsQ_2_10"/>
      <w:bookmarkStart w:id="1999" w:name="Tc_TdyoCOmn90eBkcK7KrMUew_2_2"/>
      <w:bookmarkStart w:id="2000" w:name="Tc_48EoScrE7E2WZS6Ja57Isw_1_10"/>
      <w:bookmarkStart w:id="2001" w:name="_19f871e3_1256_4d49_addd_5e6041971b1e"/>
      <w:bookmarkStart w:id="2002" w:name="Tc_jKpE72rUCkiD4knhgY8LxA_16_0"/>
      <w:bookmarkStart w:id="2003" w:name="Tc_7kj7E3eeT02f_QwE51qZCg_15_4"/>
      <w:bookmarkStart w:id="2004" w:name="Tc_lvJ-lsizDUukNc_9Zuohvg_15_2"/>
      <w:bookmarkStart w:id="2005" w:name="Tc_U9VXQsClAkGbs6JWZSu05w_15_0"/>
      <w:bookmarkStart w:id="2006" w:name="Tc_0HG8mk-vSkOPgD5ecK53Vw_14_6"/>
      <w:bookmarkStart w:id="2007" w:name="Tc_vhz7RjWZWUKzCFslqOersg_14_2"/>
      <w:bookmarkStart w:id="2008" w:name="Tc_BDXfSI7Q9EKSmtPprSnYSw_14_0"/>
      <w:bookmarkStart w:id="2009" w:name="Tc_tFVK_SAtjUWSYaUXNNlOsA_13_6"/>
      <w:bookmarkStart w:id="2010" w:name="Tc_20xC9EQw9UyKTTFszc4yWw_13_2"/>
      <w:bookmarkStart w:id="2011" w:name="Tc_FCPJf1YJnUS_B8iUiBY9jw_13_0"/>
      <w:bookmarkStart w:id="2012" w:name="Tc_VP_OlTDJbk6CmCrEI9L76g_12_6"/>
      <w:bookmarkStart w:id="2013" w:name="Tc_8liVcNUJ9EGhY3VIk7vxiQ_12_2"/>
      <w:bookmarkStart w:id="2014" w:name="Tc_nd8hmEVpdU6FPlzgtvty3A_12_0"/>
      <w:bookmarkStart w:id="2015" w:name="Tc_bD6RyAxZYkiP6kVJwEpWGw_11_6"/>
      <w:bookmarkStart w:id="2016" w:name="Tc_782J3F3L6EeXYty-Ti0JBQ_11_2"/>
      <w:bookmarkStart w:id="2017" w:name="Tc_xMTo9UMU406eSQr7DlY_ag_11_0"/>
      <w:bookmarkStart w:id="2018" w:name="Tc_D1p1jn_6JUeA3P_dnVqAmA_10_6"/>
      <w:bookmarkStart w:id="2019" w:name="Tc__Hoa0PW5jkGb18gbe934Lw_10_2"/>
      <w:bookmarkStart w:id="2020" w:name="Tc_MKGu8wT45UW1aHUA8KCJWg_10_0"/>
      <w:bookmarkStart w:id="2021" w:name="Tc_-mzEIUVCUU-MZhJy5FA-GA_9_0"/>
      <w:bookmarkStart w:id="2022" w:name="Tc_nbFraDchz0Ww5qZZXtEiEg_8_0"/>
      <w:bookmarkStart w:id="2023" w:name="Tc_O2LbqgNG0kOgUOX9eKgXew_7_6"/>
      <w:bookmarkStart w:id="2024" w:name="Tc_GxZ8TbgtwEe5JoaPoYZ8tA_7_2"/>
      <w:bookmarkStart w:id="2025" w:name="Tc_o761Rw0JiUydHl8uPPbYYQ_7_0"/>
      <w:bookmarkStart w:id="2026" w:name="Tc_7iyj-2ftN0KKc0eVNjrZAA_6_0"/>
      <w:bookmarkStart w:id="2027" w:name="Tc_p1OI_9XAYk6qlYkS1XTHQA_5_6"/>
      <w:bookmarkStart w:id="2028" w:name="Tc_3VKMlz9s7EKPMg5cbrwPFg_5_4"/>
      <w:bookmarkStart w:id="2029" w:name="Tc_EF_joSc7Z02exBS7xO6FvQ_5_0"/>
      <w:bookmarkStart w:id="2030" w:name="Tc_DGsb5o_cAEeW3JekzF8TEw_4_0"/>
      <w:bookmarkStart w:id="2031" w:name="Tc_86d1vUm7JEeZh3vM9OsgLg_3_0"/>
      <w:bookmarkStart w:id="2032" w:name="Tc_jrv4DLGPHEKjT2vNI2Z2Nw_2_6"/>
      <w:bookmarkStart w:id="2033" w:name="Tc_RaAszP-aLkKA_1mvbYl3Xw_2_4"/>
      <w:bookmarkStart w:id="2034" w:name="Tc_lzP2pr-rHkOgUqtNWB63VQ_2_2"/>
      <w:bookmarkStart w:id="2035" w:name="Tc_hu_jFD-ZxkCSSCteoXGFvg_2_0"/>
      <w:bookmarkStart w:id="2036" w:name="Tc_LjiMKv0CZk6Q1NUj-awbYw_1_6"/>
      <w:bookmarkStart w:id="2037" w:name="Tc_dKx8mSR9n0ScGhNlULNe3w_1_0"/>
      <w:bookmarkStart w:id="2038" w:name="_00081809_ad62_480a_9f75_e3478c5de81f"/>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p>
    <w:tbl>
      <w:tblPr>
        <w:tblW w:w="6832" w:type="dxa"/>
        <w:jc w:val="left"/>
        <w:tblInd w:w="200" w:type="dxa"/>
        <w:tblLayout w:type="fixed"/>
        <w:tblCellMar>
          <w:top w:w="0" w:type="dxa"/>
          <w:left w:w="0" w:type="dxa"/>
          <w:bottom w:w="0" w:type="dxa"/>
          <w:right w:w="0" w:type="dxa"/>
        </w:tblCellMar>
      </w:tblPr>
      <w:tblGrid>
        <w:gridCol w:w="3511"/>
        <w:gridCol w:w="346"/>
        <w:gridCol w:w="646"/>
        <w:gridCol w:w="346"/>
        <w:gridCol w:w="676"/>
        <w:gridCol w:w="346"/>
        <w:gridCol w:w="961"/>
      </w:tblGrid>
      <w:tr>
        <w:trPr/>
        <w:tc>
          <w:tcPr>
            <w:tcW w:w="35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r>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229485" cy="175260"/>
                      <wp:effectExtent l="0" t="0" r="0" b="0"/>
                      <wp:wrapNone/>
                      <wp:docPr id="531" name="Frame529"/>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19710" cy="175260"/>
                      <wp:effectExtent l="0" t="0" r="0" b="0"/>
                      <wp:wrapNone/>
                      <wp:docPr id="532" name="Frame5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410210" cy="175260"/>
                      <wp:effectExtent l="0" t="0" r="0" b="0"/>
                      <wp:wrapNone/>
                      <wp:docPr id="533" name="Frame531"/>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19710" cy="175260"/>
                      <wp:effectExtent l="0" t="0" r="0" b="0"/>
                      <wp:wrapNone/>
                      <wp:docPr id="534" name="Frame5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429260" cy="175260"/>
                      <wp:effectExtent l="0" t="0" r="0" b="0"/>
                      <wp:wrapNone/>
                      <wp:docPr id="535" name="Frame53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19710" cy="175260"/>
                      <wp:effectExtent l="0" t="0" r="0" b="0"/>
                      <wp:wrapNone/>
                      <wp:docPr id="536" name="Frame5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10235" cy="175260"/>
                      <wp:effectExtent l="0" t="0" r="0" b="0"/>
                      <wp:wrapNone/>
                      <wp:docPr id="537" name="Frame53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Gross Carrying Amounts by Rating Class</w:t>
            </w:r>
          </w:p>
        </w:tc>
        <w:tc>
          <w:tcPr>
            <w:tcW w:w="346" w:type="dxa"/>
            <w:tcBorders/>
            <w:vAlign w:val="center"/>
          </w:tcPr>
          <w:p>
            <w:pPr>
              <w:pStyle w:val="TableContents"/>
              <w:bidi w:val="0"/>
              <w:spacing w:before="0" w:after="0"/>
              <w:ind w:left="0" w:right="0" w:hanging="0"/>
              <w:jc w:val="center"/>
              <w:rPr/>
            </w:pPr>
            <w:r>
              <w:rPr/>
              <w:t>  ​ ​ ​</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12/31/2024</w: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Stage 1</w:t>
            </w:r>
          </w:p>
        </w:tc>
        <w:tc>
          <w:tcPr>
            <w:tcW w:w="34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Stage 2</w:t>
            </w:r>
          </w:p>
        </w:tc>
        <w:tc>
          <w:tcPr>
            <w:tcW w:w="346"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Stage 3</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General approach</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AAA to BBB (Investment grade)</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3,791</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Receivables from shareholders</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BBB- to CCC (Below investment grade)</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4,711</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Simplified approach</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Trade receivables and other receivables</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(not past due)</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9,829</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1-30 days past due</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31-60 days past due</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61-90 days past due</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More than 90 days past due</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2,822</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credit-impaired</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5,473</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3,791</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18,635</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5,473</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Liquidity Risk</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Liquidity risk is the risk that a company will encounter difficulty in meeting its obligations associated with its financial liabilities as they fall due. SCHMID is constantly working to ensure that the supply of liquidity is mainly sufficient to settle financial liabilities that are due for payment. Liquidity is evaluated and maintained using forecasts based on fixed planning horizons covering several months and through the cash and cash equivalent balances that are available.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For more detail on the financial situation, please refer to the explanation on Going Concern (see note 2. Basis of Presentation).</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following table provides details of the (undiscounted) cash outflows of financial liabilities (including interest payments).</w:t>
      </w:r>
    </w:p>
    <w:p>
      <w:pPr>
        <w:pStyle w:val="TextBody"/>
        <w:bidi w:val="0"/>
        <w:spacing w:before="0" w:after="240"/>
        <w:ind w:left="200" w:right="200" w:hanging="0"/>
        <w:jc w:val="both"/>
        <w:rPr/>
      </w:pPr>
      <w:r>
        <w:rPr/>
        <w:t>​</w:t>
      </w:r>
    </w:p>
    <w:tbl>
      <w:tblPr>
        <w:tblW w:w="9805" w:type="dxa"/>
        <w:jc w:val="left"/>
        <w:tblInd w:w="200" w:type="dxa"/>
        <w:tblLayout w:type="fixed"/>
        <w:tblCellMar>
          <w:top w:w="0" w:type="dxa"/>
          <w:left w:w="0" w:type="dxa"/>
          <w:bottom w:w="0" w:type="dxa"/>
          <w:right w:w="0" w:type="dxa"/>
        </w:tblCellMar>
      </w:tblPr>
      <w:tblGrid>
        <w:gridCol w:w="3519"/>
        <w:gridCol w:w="346"/>
        <w:gridCol w:w="766"/>
        <w:gridCol w:w="346"/>
        <w:gridCol w:w="1036"/>
        <w:gridCol w:w="346"/>
        <w:gridCol w:w="1036"/>
        <w:gridCol w:w="346"/>
        <w:gridCol w:w="766"/>
        <w:gridCol w:w="346"/>
        <w:gridCol w:w="952"/>
      </w:tblGrid>
      <w:tr>
        <w:trPr/>
        <w:tc>
          <w:tcPr>
            <w:tcW w:w="351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ind w:left="0" w:right="0" w:hanging="0"/>
              <w:jc w:val="left"/>
              <w:rPr>
                <w:sz w:val="4"/>
                <w:szCs w:val="4"/>
              </w:rPr>
            </w:pPr>
            <w:r>
              <w:rPr>
                <w:sz w:val="4"/>
                <w:szCs w:val="4"/>
              </w:rPr>
            </w:r>
          </w:p>
        </w:tc>
      </w:tr>
      <w:tr>
        <w:trPr/>
        <w:tc>
          <w:tcPr>
            <w:tcW w:w="3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234565" cy="175260"/>
                      <wp:effectExtent l="0" t="0" r="0" b="0"/>
                      <wp:wrapNone/>
                      <wp:docPr id="538" name="Frame536"/>
                      <a:graphic xmlns:a="http://schemas.openxmlformats.org/drawingml/2006/main">
                        <a:graphicData uri="http://schemas.microsoft.com/office/word/2010/wordprocessingShape">
                          <wps:wsp>
                            <wps:cNvSpPr txBox="1"/>
                            <wps:spPr>
                              <a:xfrm>
                                <a:off x="0" y="0"/>
                                <a:ext cx="2234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19710" cy="175260"/>
                      <wp:effectExtent l="0" t="0" r="0" b="0"/>
                      <wp:wrapNone/>
                      <wp:docPr id="539" name="Frame5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486410" cy="175260"/>
                      <wp:effectExtent l="0" t="0" r="0" b="0"/>
                      <wp:wrapNone/>
                      <wp:docPr id="540" name="Frame53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19710" cy="175260"/>
                      <wp:effectExtent l="0" t="0" r="0" b="0"/>
                      <wp:wrapNone/>
                      <wp:docPr id="541" name="Frame5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57860" cy="175260"/>
                      <wp:effectExtent l="0" t="0" r="0" b="0"/>
                      <wp:wrapNone/>
                      <wp:docPr id="542" name="Frame54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19710" cy="175260"/>
                      <wp:effectExtent l="0" t="0" r="0" b="0"/>
                      <wp:wrapNone/>
                      <wp:docPr id="543" name="Frame5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57860" cy="175260"/>
                      <wp:effectExtent l="0" t="0" r="0" b="0"/>
                      <wp:wrapNone/>
                      <wp:docPr id="544" name="Frame54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19710" cy="175260"/>
                      <wp:effectExtent l="0" t="0" r="0" b="0"/>
                      <wp:wrapNone/>
                      <wp:docPr id="545" name="Frame5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486410" cy="175260"/>
                      <wp:effectExtent l="0" t="0" r="0" b="0"/>
                      <wp:wrapNone/>
                      <wp:docPr id="546" name="Frame54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19710" cy="175260"/>
                      <wp:effectExtent l="0" t="0" r="0" b="0"/>
                      <wp:wrapNone/>
                      <wp:docPr id="547" name="Frame5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04520" cy="175260"/>
                      <wp:effectExtent l="0" t="0" r="0" b="0"/>
                      <wp:wrapNone/>
                      <wp:docPr id="548" name="Frame546"/>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5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12/31/2025</w:t>
            </w:r>
          </w:p>
        </w:tc>
      </w:tr>
      <w:tr>
        <w:trPr/>
        <w:tc>
          <w:tcPr>
            <w:tcW w:w="35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4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outflows within</w:t>
            </w:r>
          </w:p>
        </w:tc>
        <w:tc>
          <w:tcPr>
            <w:tcW w:w="346" w:type="dxa"/>
            <w:tcBorders/>
            <w:vAlign w:val="center"/>
          </w:tcPr>
          <w:p>
            <w:pPr>
              <w:pStyle w:val="TableContents"/>
              <w:bidi w:val="0"/>
              <w:spacing w:before="0" w:after="0"/>
              <w:ind w:left="0" w:right="0" w:hanging="0"/>
              <w:jc w:val="center"/>
              <w:rPr/>
            </w:pPr>
            <w:r>
              <w:rPr/>
              <w:t>​</w:t>
            </w:r>
          </w:p>
        </w:tc>
        <w:tc>
          <w:tcPr>
            <w:tcW w:w="95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cash</w:t>
            </w:r>
          </w:p>
        </w:tc>
      </w:tr>
      <w:tr>
        <w:trPr/>
        <w:tc>
          <w:tcPr>
            <w:tcW w:w="351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1 year</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&gt; 1 ≤ 2 years</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&gt; 2 ≤ 5 years</w:t>
            </w:r>
          </w:p>
        </w:tc>
        <w:tc>
          <w:tcPr>
            <w:tcW w:w="346" w:type="dxa"/>
            <w:tcBorders/>
            <w:vAlign w:val="center"/>
          </w:tcPr>
          <w:p>
            <w:pPr>
              <w:pStyle w:val="TableContents"/>
              <w:bidi w:val="0"/>
              <w:spacing w:before="0" w:after="0"/>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&gt; 5 years</w:t>
            </w:r>
          </w:p>
        </w:tc>
        <w:tc>
          <w:tcPr>
            <w:tcW w:w="346" w:type="dxa"/>
            <w:tcBorders/>
            <w:vAlign w:val="center"/>
          </w:tcPr>
          <w:p>
            <w:pPr>
              <w:pStyle w:val="TableContents"/>
              <w:bidi w:val="0"/>
              <w:spacing w:before="0" w:after="0"/>
              <w:ind w:left="0" w:right="0" w:hanging="0"/>
              <w:jc w:val="center"/>
              <w:rPr/>
            </w:pPr>
            <w:r>
              <w:rPr/>
              <w:t>  ​ ​ ​</w:t>
            </w:r>
          </w:p>
        </w:tc>
        <w:tc>
          <w:tcPr>
            <w:tcW w:w="9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flows</w:t>
            </w:r>
          </w:p>
        </w:tc>
      </w:tr>
      <w:tr>
        <w:trPr/>
        <w:tc>
          <w:tcPr>
            <w:tcW w:w="35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 liabilities</w:t>
            </w:r>
          </w:p>
        </w:tc>
        <w:tc>
          <w:tcPr>
            <w:tcW w:w="346" w:type="dxa"/>
            <w:tcBorders/>
            <w:shd w:fill="CCEEFF" w:val="clear"/>
            <w:vAlign w:val="center"/>
          </w:tcPr>
          <w:p>
            <w:pPr>
              <w:pStyle w:val="TableContents"/>
              <w:bidi w:val="0"/>
              <w:spacing w:before="0" w:after="0"/>
              <w:ind w:left="0" w:right="0" w:hanging="0"/>
              <w:jc w:val="center"/>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1,902</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1,452</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3,733</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3,600</w:t>
            </w:r>
          </w:p>
        </w:tc>
        <w:tc>
          <w:tcPr>
            <w:tcW w:w="346"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10,688</w:t>
            </w:r>
          </w:p>
        </w:tc>
      </w:tr>
      <w:tr>
        <w:trPr/>
        <w:tc>
          <w:tcPr>
            <w:tcW w:w="351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Borrowings (including embedded derivatives)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left"/>
              <w:rPr/>
            </w:pPr>
            <w:r>
              <w:rPr/>
              <w:t>​</w:t>
            </w:r>
          </w:p>
        </w:tc>
      </w:tr>
      <w:tr>
        <w:trPr/>
        <w:tc>
          <w:tcPr>
            <w:tcW w:w="35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banks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2,423</w:t>
            </w:r>
          </w:p>
        </w:tc>
      </w:tr>
      <w:tr>
        <w:trPr/>
        <w:tc>
          <w:tcPr>
            <w:tcW w:w="3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other third parties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3,114</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5,234</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8,348</w:t>
            </w:r>
          </w:p>
        </w:tc>
      </w:tr>
      <w:tr>
        <w:trPr/>
        <w:tc>
          <w:tcPr>
            <w:tcW w:w="35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shareholders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4,611</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21,651</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26,261</w:t>
            </w:r>
          </w:p>
        </w:tc>
      </w:tr>
      <w:tr>
        <w:trPr/>
        <w:tc>
          <w:tcPr>
            <w:tcW w:w="3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other related parties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8,634</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11,341</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19,975</w:t>
            </w:r>
          </w:p>
        </w:tc>
      </w:tr>
      <w:tr>
        <w:trPr/>
        <w:tc>
          <w:tcPr>
            <w:tcW w:w="35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Trade payables and other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28,179</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52"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28,179</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On April 24, 2026 SCHMID entered into separate subscription, set</w:t>
        <w:noBreakHyphen/>
        <w:t>off and debt assumption agreements with Anette Schmid, Christian Schmid, Christine Schmid and Schmid Grundstücke GmbH &amp; Co. KG, all of whom are shareholders or related parties of the Company. Under these arrangements, existing financial liabilities with an aggregate amount of €30.8 million (Loans from shareholders: €21.9 million; Loans from related parties: €6.5 million; Loans from other third parties: €2.4 million) are intended to be settled through the issuance of new ordinary shares of the Company (see note 28. Events after the reporting period).</w:t>
      </w:r>
    </w:p>
    <w:p>
      <w:pPr>
        <w:pStyle w:val="TextBody"/>
        <w:bidi w:val="0"/>
        <w:spacing w:before="0" w:after="0"/>
        <w:ind w:left="200" w:right="200" w:hanging="0"/>
        <w:jc w:val="left"/>
        <w:rPr/>
      </w:pPr>
      <w:r>
        <w:rPr/>
        <w:t>​</w:t>
      </w:r>
    </w:p>
    <w:tbl>
      <w:tblPr>
        <w:tblW w:w="9805" w:type="dxa"/>
        <w:jc w:val="left"/>
        <w:tblInd w:w="200" w:type="dxa"/>
        <w:tblLayout w:type="fixed"/>
        <w:tblCellMar>
          <w:top w:w="0" w:type="dxa"/>
          <w:left w:w="0" w:type="dxa"/>
          <w:bottom w:w="0" w:type="dxa"/>
          <w:right w:w="0" w:type="dxa"/>
        </w:tblCellMar>
      </w:tblPr>
      <w:tblGrid>
        <w:gridCol w:w="3519"/>
        <w:gridCol w:w="346"/>
        <w:gridCol w:w="766"/>
        <w:gridCol w:w="346"/>
        <w:gridCol w:w="1036"/>
        <w:gridCol w:w="346"/>
        <w:gridCol w:w="1036"/>
        <w:gridCol w:w="346"/>
        <w:gridCol w:w="766"/>
        <w:gridCol w:w="346"/>
        <w:gridCol w:w="952"/>
      </w:tblGrid>
      <w:tr>
        <w:trPr/>
        <w:tc>
          <w:tcPr>
            <w:tcW w:w="351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ind w:left="0" w:right="0" w:hanging="0"/>
              <w:jc w:val="left"/>
              <w:rPr>
                <w:sz w:val="4"/>
                <w:szCs w:val="4"/>
              </w:rPr>
            </w:pPr>
            <w:r>
              <w:rPr>
                <w:sz w:val="4"/>
                <w:szCs w:val="4"/>
              </w:rPr>
            </w:r>
          </w:p>
        </w:tc>
      </w:tr>
      <w:tr>
        <w:trPr/>
        <w:tc>
          <w:tcPr>
            <w:tcW w:w="3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234565" cy="175260"/>
                      <wp:effectExtent l="0" t="0" r="0" b="0"/>
                      <wp:wrapNone/>
                      <wp:docPr id="549" name="Frame547"/>
                      <a:graphic xmlns:a="http://schemas.openxmlformats.org/drawingml/2006/main">
                        <a:graphicData uri="http://schemas.microsoft.com/office/word/2010/wordprocessingShape">
                          <wps:wsp>
                            <wps:cNvSpPr txBox="1"/>
                            <wps:spPr>
                              <a:xfrm>
                                <a:off x="0" y="0"/>
                                <a:ext cx="2234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19710" cy="175260"/>
                      <wp:effectExtent l="0" t="0" r="0" b="0"/>
                      <wp:wrapNone/>
                      <wp:docPr id="550" name="Frame5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486410" cy="175260"/>
                      <wp:effectExtent l="0" t="0" r="0" b="0"/>
                      <wp:wrapNone/>
                      <wp:docPr id="551" name="Frame54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19710" cy="175260"/>
                      <wp:effectExtent l="0" t="0" r="0" b="0"/>
                      <wp:wrapNone/>
                      <wp:docPr id="552" name="Frame5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657860" cy="175260"/>
                      <wp:effectExtent l="0" t="0" r="0" b="0"/>
                      <wp:wrapNone/>
                      <wp:docPr id="553" name="Frame55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19710" cy="175260"/>
                      <wp:effectExtent l="0" t="0" r="0" b="0"/>
                      <wp:wrapNone/>
                      <wp:docPr id="554" name="Frame5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57860" cy="175260"/>
                      <wp:effectExtent l="0" t="0" r="0" b="0"/>
                      <wp:wrapNone/>
                      <wp:docPr id="555" name="Frame55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19710" cy="175260"/>
                      <wp:effectExtent l="0" t="0" r="0" b="0"/>
                      <wp:wrapNone/>
                      <wp:docPr id="556" name="Frame5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486410" cy="175260"/>
                      <wp:effectExtent l="0" t="0" r="0" b="0"/>
                      <wp:wrapNone/>
                      <wp:docPr id="557" name="Frame555"/>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19710" cy="175260"/>
                      <wp:effectExtent l="0" t="0" r="0" b="0"/>
                      <wp:wrapNone/>
                      <wp:docPr id="558" name="Frame5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04520" cy="175260"/>
                      <wp:effectExtent l="0" t="0" r="0" b="0"/>
                      <wp:wrapNone/>
                      <wp:docPr id="559" name="Frame557"/>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5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12/31/2024</w:t>
            </w:r>
          </w:p>
        </w:tc>
      </w:tr>
      <w:tr>
        <w:trPr/>
        <w:tc>
          <w:tcPr>
            <w:tcW w:w="35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4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outflows within</w:t>
            </w:r>
          </w:p>
        </w:tc>
        <w:tc>
          <w:tcPr>
            <w:tcW w:w="346" w:type="dxa"/>
            <w:tcBorders/>
            <w:vAlign w:val="center"/>
          </w:tcPr>
          <w:p>
            <w:pPr>
              <w:pStyle w:val="TableContents"/>
              <w:bidi w:val="0"/>
              <w:spacing w:before="0" w:after="0"/>
              <w:ind w:left="0" w:right="0" w:hanging="0"/>
              <w:jc w:val="center"/>
              <w:rPr/>
            </w:pPr>
            <w:r>
              <w:rPr/>
              <w:t>​</w:t>
            </w:r>
          </w:p>
        </w:tc>
        <w:tc>
          <w:tcPr>
            <w:tcW w:w="95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cash</w:t>
            </w:r>
          </w:p>
        </w:tc>
      </w:tr>
      <w:tr>
        <w:trPr/>
        <w:tc>
          <w:tcPr>
            <w:tcW w:w="351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1 year</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&gt; 1 ≤ 2 years</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&gt; 2 ≤ 5 years</w:t>
            </w:r>
          </w:p>
        </w:tc>
        <w:tc>
          <w:tcPr>
            <w:tcW w:w="346" w:type="dxa"/>
            <w:tcBorders/>
            <w:vAlign w:val="center"/>
          </w:tcPr>
          <w:p>
            <w:pPr>
              <w:pStyle w:val="TableContents"/>
              <w:bidi w:val="0"/>
              <w:spacing w:before="0" w:after="0"/>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&gt; 5 years</w:t>
            </w:r>
          </w:p>
        </w:tc>
        <w:tc>
          <w:tcPr>
            <w:tcW w:w="346" w:type="dxa"/>
            <w:tcBorders/>
            <w:vAlign w:val="center"/>
          </w:tcPr>
          <w:p>
            <w:pPr>
              <w:pStyle w:val="TableContents"/>
              <w:bidi w:val="0"/>
              <w:spacing w:before="0" w:after="0"/>
              <w:ind w:left="0" w:right="0" w:hanging="0"/>
              <w:jc w:val="center"/>
              <w:rPr/>
            </w:pPr>
            <w:r>
              <w:rPr/>
              <w:t>  ​ ​ ​</w:t>
            </w:r>
          </w:p>
        </w:tc>
        <w:tc>
          <w:tcPr>
            <w:tcW w:w="9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flows</w:t>
            </w:r>
          </w:p>
        </w:tc>
      </w:tr>
      <w:tr>
        <w:trPr/>
        <w:tc>
          <w:tcPr>
            <w:tcW w:w="35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 liabilities</w:t>
            </w:r>
          </w:p>
        </w:tc>
        <w:tc>
          <w:tcPr>
            <w:tcW w:w="346" w:type="dxa"/>
            <w:tcBorders/>
            <w:shd w:fill="CCEEFF" w:val="clear"/>
            <w:vAlign w:val="center"/>
          </w:tcPr>
          <w:p>
            <w:pPr>
              <w:pStyle w:val="TableContents"/>
              <w:bidi w:val="0"/>
              <w:spacing w:before="0" w:after="0"/>
              <w:ind w:left="0" w:right="0" w:hanging="0"/>
              <w:jc w:val="center"/>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2,108</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1,928</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4,081</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6,014</w:t>
            </w:r>
          </w:p>
        </w:tc>
        <w:tc>
          <w:tcPr>
            <w:tcW w:w="346"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14,131</w:t>
            </w:r>
          </w:p>
        </w:tc>
      </w:tr>
      <w:tr>
        <w:trPr/>
        <w:tc>
          <w:tcPr>
            <w:tcW w:w="351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Borrowings (including embedded derivatives)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left"/>
              <w:rPr/>
            </w:pPr>
            <w:r>
              <w:rPr/>
              <w:t>​</w:t>
            </w:r>
          </w:p>
        </w:tc>
      </w:tr>
      <w:tr>
        <w:trPr/>
        <w:tc>
          <w:tcPr>
            <w:tcW w:w="35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banks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52" w:type="dxa"/>
            <w:tcBorders/>
            <w:shd w:fill="CCEEFF" w:val="clear"/>
            <w:vAlign w:val="center"/>
          </w:tcPr>
          <w:p>
            <w:pPr>
              <w:pStyle w:val="TableContents"/>
              <w:bidi w:val="0"/>
              <w:spacing w:before="0" w:after="0"/>
              <w:ind w:left="0" w:right="0" w:hanging="0"/>
              <w:jc w:val="right"/>
              <w:rPr/>
            </w:pPr>
            <w:r>
              <w:rPr/>
              <w:t>—</w:t>
            </w:r>
          </w:p>
        </w:tc>
      </w:tr>
      <w:tr>
        <w:trPr/>
        <w:tc>
          <w:tcPr>
            <w:tcW w:w="3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other third parties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2,063</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w:t>
            </w:r>
          </w:p>
        </w:tc>
      </w:tr>
      <w:tr>
        <w:trPr/>
        <w:tc>
          <w:tcPr>
            <w:tcW w:w="35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shareholders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9,216</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21,661</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30,877</w:t>
            </w:r>
          </w:p>
        </w:tc>
      </w:tr>
      <w:tr>
        <w:trPr/>
        <w:tc>
          <w:tcPr>
            <w:tcW w:w="3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from other related parties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24,971</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14,394</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39,365</w:t>
            </w:r>
          </w:p>
        </w:tc>
      </w:tr>
      <w:tr>
        <w:trPr/>
        <w:tc>
          <w:tcPr>
            <w:tcW w:w="35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Trade payables and other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28,179</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52"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28,179</w:t>
            </w:r>
          </w:p>
        </w:tc>
      </w:tr>
    </w:tbl>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bookmarkStart w:id="2039" w:name="Tc_41eBK8GoBUaf7RzjWFwy2g_8_0"/>
      <w:bookmarkStart w:id="2040" w:name="Tc_0u6WWwdcZkOByGcL6Pf-Gw_7_0"/>
      <w:bookmarkStart w:id="2041" w:name="Tc_r-p2X5JNbUui2ALThbezww_6_0"/>
      <w:bookmarkStart w:id="2042" w:name="Tc_wOhu1GscvEmGSbsWG7Cy2w_5_0"/>
      <w:bookmarkStart w:id="2043" w:name="Tc_2ZpElSJXE0ObKsj3lwix9A_4_0"/>
      <w:bookmarkStart w:id="2044" w:name="Tc_HprjbKnpIUKsESwjKnbojw_3_0"/>
      <w:bookmarkStart w:id="2045" w:name="Tc_SzFfUq3Cs0Owki4B3d6Fxg_2_2"/>
      <w:bookmarkStart w:id="2046" w:name="Tc_6IcJVE-cVES4mkKcQMBr0A_2_0"/>
      <w:bookmarkStart w:id="2047" w:name="Tc_DDhRsCximUusjFjRvvy0MQ_1_2"/>
      <w:bookmarkStart w:id="2048" w:name="Tc_mY8uCheK3EGSLxUsGHgQiA_4_0"/>
      <w:bookmarkStart w:id="2049" w:name="Tc_GldU9Yuq0Ue0Crs8F-FJEA_3_0"/>
      <w:bookmarkStart w:id="2050" w:name="Tc_nOWWUaGqN0-IBLNMUDMjUA_1_7"/>
      <w:bookmarkStart w:id="2051" w:name="Tc_jQykNHaW-0O92xXCpYTuFw_1_2"/>
      <w:bookmarkStart w:id="2052" w:name="Tc_0FcZbRws506DiwT4uuYGDA_1_0"/>
      <w:bookmarkStart w:id="2053" w:name="Tc_PlL4kk4imUO9ABF95h2p7A_8_17"/>
      <w:bookmarkStart w:id="2054" w:name="Tc_XLo0PVIUA0GhiL3cKiG8IQ_8_8"/>
      <w:bookmarkStart w:id="2055" w:name="Tc_nd0Uz95wRUWipl0HjsT3nQ_8_0"/>
      <w:bookmarkStart w:id="2056" w:name="Tc_TXHiF2SKJk2vZ3I6T6dSqQ_7_0"/>
      <w:bookmarkStart w:id="2057" w:name="Tc_59WW3vI5KE-PbRklR7dl1A_6_8"/>
      <w:bookmarkStart w:id="2058" w:name="Tc_ztPqcsNPYUKvKLYFhH-OMw_6_0"/>
      <w:bookmarkStart w:id="2059" w:name="Tc_G8bpmkMoGU2f81J4BmDFPA_5_17"/>
      <w:bookmarkStart w:id="2060" w:name="Tc_LlLL6MZ5zkW5hI-yoWhwEA_5_8"/>
      <w:bookmarkStart w:id="2061" w:name="Tc_09-dCZvqskCNy3qe_7DzPA_5_0"/>
      <w:bookmarkStart w:id="2062" w:name="Tc_ktTk2225lk2o-77Yh9dX4w_4_0"/>
      <w:bookmarkStart w:id="2063" w:name="Tc_MasS7jhZ70uWBYa3VYuTRQ_3_0"/>
      <w:bookmarkStart w:id="2064" w:name="Tc_YgMC9XLc6kS2-0BoXjpsTw_2_17"/>
      <w:bookmarkStart w:id="2065" w:name="Tc_HBdpwZlcWEObXjGP7ZeeJA_2_15"/>
      <w:bookmarkStart w:id="2066" w:name="Tc_eOTEJAr0rkWi8806eDN-Pg_2_13"/>
      <w:bookmarkStart w:id="2067" w:name="Tc_94sfrdEqM0GMGbTb7YKY3g_2_11"/>
      <w:bookmarkStart w:id="2068" w:name="Tc_tkVKYx0ea0iojS20EVUOqQ_2_8"/>
      <w:bookmarkStart w:id="2069" w:name="Tc_IpsXSiZsnk6NyhMbnQEHUA_2_6"/>
      <w:bookmarkStart w:id="2070" w:name="Tc_MbNIRW5m_EGptegY4fpskA_2_4"/>
      <w:bookmarkStart w:id="2071" w:name="Tc_wJnQ5xc4rUyt-iS59bX0Uw_2_2"/>
      <w:bookmarkStart w:id="2072" w:name="Tc_NyC7k0Ty5UG2f7KwW8S61Q_1_11"/>
      <w:bookmarkStart w:id="2073" w:name="Tc_8VVo-xuMoEOzl9UQPTMoNA_1_2"/>
      <w:bookmarkStart w:id="2074" w:name="Tc_B0Cfe0RId0mCbkJE20RiAA_1_0"/>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r>
        <w:rPr>
          <w:rFonts w:ascii="Times New Roman;Times;serif" w:hAnsi="Times New Roman;Times;serif"/>
          <w:sz w:val="20"/>
        </w:rPr>
        <w:t>Foreign Currency Risk</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SCHMID operates globally and is exposed to foreign exchange risk arising from exposure to various currencies in the ordinary course of business. SCHMID’s exposures primarily consist of the Euro (“EUR”) and US Dollar (“USD”), Chinese Yen (“CNY”), Hong Kong Dollar (“HKD”) and Korean Won (“KRW”). Foreign exchange risk arises from commercial transactions that resulted in recognized financial assets and liabilities denominated in a currency other than the local functional currency. In addition, SCHMID is exposed to foreign exchange rate risk due to several financing contracts that are denominated in foreign currency or that are dependent on foreign currency exchange rates.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following table demonstrates the material net exposures SCHMID entities have due to trade receivables and payables, cash and cash equivalents as well as other financial assets in a currency different their local functional currency. Due to consolidation these exposures would also have an impact to SCHMID’s profit or loss.</w:t>
      </w:r>
    </w:p>
    <w:p>
      <w:pPr>
        <w:pStyle w:val="TextBody"/>
        <w:bidi w:val="0"/>
        <w:spacing w:before="0" w:after="240"/>
        <w:ind w:left="200" w:right="200" w:hanging="0"/>
        <w:jc w:val="both"/>
        <w:rPr/>
      </w:pPr>
      <w:r>
        <w:rPr/>
        <w:t>​</w:t>
      </w:r>
    </w:p>
    <w:tbl>
      <w:tblPr>
        <w:tblW w:w="9805" w:type="dxa"/>
        <w:jc w:val="left"/>
        <w:tblInd w:w="200" w:type="dxa"/>
        <w:tblLayout w:type="fixed"/>
        <w:tblCellMar>
          <w:top w:w="0" w:type="dxa"/>
          <w:left w:w="0" w:type="dxa"/>
          <w:bottom w:w="0" w:type="dxa"/>
          <w:right w:w="0" w:type="dxa"/>
        </w:tblCellMar>
      </w:tblPr>
      <w:tblGrid>
        <w:gridCol w:w="1472"/>
        <w:gridCol w:w="346"/>
        <w:gridCol w:w="684"/>
        <w:gridCol w:w="346"/>
        <w:gridCol w:w="663"/>
        <w:gridCol w:w="346"/>
        <w:gridCol w:w="768"/>
        <w:gridCol w:w="346"/>
        <w:gridCol w:w="520"/>
        <w:gridCol w:w="226"/>
        <w:gridCol w:w="226"/>
        <w:gridCol w:w="684"/>
        <w:gridCol w:w="346"/>
        <w:gridCol w:w="768"/>
        <w:gridCol w:w="346"/>
        <w:gridCol w:w="663"/>
        <w:gridCol w:w="346"/>
        <w:gridCol w:w="709"/>
      </w:tblGrid>
      <w:tr>
        <w:trPr/>
        <w:tc>
          <w:tcPr>
            <w:tcW w:w="147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ind w:left="0" w:right="0" w:hanging="0"/>
              <w:jc w:val="left"/>
              <w:rPr>
                <w:sz w:val="4"/>
                <w:szCs w:val="4"/>
              </w:rPr>
            </w:pPr>
            <w:r>
              <w:rPr>
                <w:sz w:val="4"/>
                <w:szCs w:val="4"/>
              </w:rPr>
            </w:r>
          </w:p>
        </w:tc>
      </w:tr>
      <w:tr>
        <w:trPr/>
        <w:tc>
          <w:tcPr>
            <w:tcW w:w="1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934720" cy="175260"/>
                      <wp:effectExtent l="0" t="0" r="0" b="0"/>
                      <wp:wrapNone/>
                      <wp:docPr id="560" name="Frame558"/>
                      <a:graphic xmlns:a="http://schemas.openxmlformats.org/drawingml/2006/main">
                        <a:graphicData uri="http://schemas.microsoft.com/office/word/2010/wordprocessingShape">
                          <wps:wsp>
                            <wps:cNvSpPr txBox="1"/>
                            <wps:spPr>
                              <a:xfrm>
                                <a:off x="0" y="0"/>
                                <a:ext cx="934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219710" cy="175260"/>
                      <wp:effectExtent l="0" t="0" r="0" b="0"/>
                      <wp:wrapNone/>
                      <wp:docPr id="561" name="Frame5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434340" cy="175260"/>
                      <wp:effectExtent l="0" t="0" r="0" b="0"/>
                      <wp:wrapNone/>
                      <wp:docPr id="562" name="Frame560"/>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19710" cy="175260"/>
                      <wp:effectExtent l="0" t="0" r="0" b="0"/>
                      <wp:wrapNone/>
                      <wp:docPr id="563" name="Frame5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421005" cy="175260"/>
                      <wp:effectExtent l="0" t="0" r="0" b="0"/>
                      <wp:wrapNone/>
                      <wp:docPr id="564" name="Frame562"/>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19710" cy="175260"/>
                      <wp:effectExtent l="0" t="0" r="0" b="0"/>
                      <wp:wrapNone/>
                      <wp:docPr id="565" name="Frame5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487680" cy="175260"/>
                      <wp:effectExtent l="0" t="0" r="0" b="0"/>
                      <wp:wrapNone/>
                      <wp:docPr id="566" name="Frame564"/>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19710" cy="175260"/>
                      <wp:effectExtent l="0" t="0" r="0" b="0"/>
                      <wp:wrapNone/>
                      <wp:docPr id="567" name="Frame5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330200" cy="175260"/>
                      <wp:effectExtent l="0" t="0" r="0" b="0"/>
                      <wp:wrapNone/>
                      <wp:docPr id="568" name="Frame566"/>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143510" cy="175260"/>
                      <wp:effectExtent l="0" t="0" r="0" b="0"/>
                      <wp:wrapNone/>
                      <wp:docPr id="569" name="Frame56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43510" cy="175260"/>
                      <wp:effectExtent l="0" t="0" r="0" b="0"/>
                      <wp:wrapNone/>
                      <wp:docPr id="570" name="Frame56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434340" cy="175260"/>
                      <wp:effectExtent l="0" t="0" r="0" b="0"/>
                      <wp:wrapNone/>
                      <wp:docPr id="571" name="Frame569"/>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19710" cy="175260"/>
                      <wp:effectExtent l="0" t="0" r="0" b="0"/>
                      <wp:wrapNone/>
                      <wp:docPr id="572" name="Frame5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487680" cy="175260"/>
                      <wp:effectExtent l="0" t="0" r="0" b="0"/>
                      <wp:wrapNone/>
                      <wp:docPr id="573" name="Frame571"/>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19710" cy="175260"/>
                      <wp:effectExtent l="0" t="0" r="0" b="0"/>
                      <wp:wrapNone/>
                      <wp:docPr id="574" name="Frame5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421005" cy="175260"/>
                      <wp:effectExtent l="0" t="0" r="0" b="0"/>
                      <wp:wrapNone/>
                      <wp:docPr id="575" name="Frame573"/>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19710" cy="175260"/>
                      <wp:effectExtent l="0" t="0" r="0" b="0"/>
                      <wp:wrapNone/>
                      <wp:docPr id="576" name="Frame5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450215" cy="175260"/>
                      <wp:effectExtent l="0" t="0" r="0" b="0"/>
                      <wp:wrapNone/>
                      <wp:docPr id="577" name="Frame575"/>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functional currency entity</w:t>
            </w:r>
          </w:p>
        </w:tc>
        <w:tc>
          <w:tcPr>
            <w:tcW w:w="346" w:type="dxa"/>
            <w:tcBorders/>
            <w:vAlign w:val="center"/>
          </w:tcPr>
          <w:p>
            <w:pPr>
              <w:pStyle w:val="TableContents"/>
              <w:bidi w:val="0"/>
              <w:spacing w:before="0" w:after="0"/>
              <w:ind w:left="0" w:right="0" w:hanging="0"/>
              <w:jc w:val="left"/>
              <w:rPr/>
            </w:pPr>
            <w:r>
              <w:rPr/>
              <w:t>  ​ ​ ​</w:t>
            </w:r>
          </w:p>
        </w:tc>
        <w:tc>
          <w:tcPr>
            <w:tcW w:w="3673"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12/31/2025</w:t>
            </w:r>
          </w:p>
        </w:tc>
        <w:tc>
          <w:tcPr>
            <w:tcW w:w="226" w:type="dxa"/>
            <w:tcBorders>
              <w:right w:val="single" w:sz="2" w:space="0" w:color="000000"/>
            </w:tcBorders>
            <w:tcMar>
              <w:right w:w="28" w:type="dxa"/>
            </w:tcMar>
            <w:vAlign w:val="center"/>
          </w:tcPr>
          <w:p>
            <w:pPr>
              <w:pStyle w:val="TableContents"/>
              <w:bidi w:val="0"/>
              <w:spacing w:before="0" w:after="0"/>
              <w:ind w:left="0" w:right="0" w:hanging="0"/>
              <w:jc w:val="center"/>
              <w:rPr/>
            </w:pPr>
            <w:r>
              <w:rPr/>
              <w:t>  ​</w:t>
            </w:r>
          </w:p>
        </w:tc>
        <w:tc>
          <w:tcPr>
            <w:tcW w:w="226" w:type="dxa"/>
            <w:tcBorders>
              <w:left w:val="single" w:sz="2" w:space="0" w:color="000000"/>
            </w:tcBorders>
            <w:tcMar>
              <w:left w:w="28" w:type="dxa"/>
            </w:tcMar>
            <w:vAlign w:val="center"/>
          </w:tcPr>
          <w:p>
            <w:pPr>
              <w:pStyle w:val="TableContents"/>
              <w:bidi w:val="0"/>
              <w:spacing w:before="0" w:after="0"/>
              <w:ind w:left="0" w:right="0" w:hanging="0"/>
              <w:jc w:val="center"/>
              <w:rPr/>
            </w:pPr>
            <w:r>
              <w:rPr/>
              <w:t>  ​</w:t>
            </w:r>
          </w:p>
        </w:tc>
        <w:tc>
          <w:tcPr>
            <w:tcW w:w="386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12/31/2024</w:t>
            </w:r>
          </w:p>
        </w:tc>
      </w:tr>
      <w:tr>
        <w:trPr/>
        <w:tc>
          <w:tcPr>
            <w:tcW w:w="14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EUR</w:t>
            </w:r>
          </w:p>
        </w:tc>
        <w:tc>
          <w:tcPr>
            <w:tcW w:w="346" w:type="dxa"/>
            <w:tcBorders/>
            <w:vAlign w:val="center"/>
          </w:tcPr>
          <w:p>
            <w:pPr>
              <w:pStyle w:val="TableContents"/>
              <w:bidi w:val="0"/>
              <w:spacing w:before="0" w:after="0"/>
              <w:ind w:left="0" w:right="0" w:hanging="0"/>
              <w:jc w:val="left"/>
              <w:rPr/>
            </w:pPr>
            <w:r>
              <w:rPr/>
              <w:t>  ​ ​ ​</w:t>
            </w:r>
          </w:p>
        </w:tc>
        <w:tc>
          <w:tcPr>
            <w:tcW w:w="66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CNY</w:t>
            </w:r>
          </w:p>
        </w:tc>
        <w:tc>
          <w:tcPr>
            <w:tcW w:w="346" w:type="dxa"/>
            <w:tcBorders/>
            <w:vAlign w:val="center"/>
          </w:tcPr>
          <w:p>
            <w:pPr>
              <w:pStyle w:val="TableContents"/>
              <w:bidi w:val="0"/>
              <w:spacing w:before="0" w:after="0"/>
              <w:ind w:left="0" w:right="0" w:hanging="0"/>
              <w:jc w:val="left"/>
              <w:rPr/>
            </w:pPr>
            <w:r>
              <w:rPr/>
              <w:t>  ​ ​ ​</w:t>
            </w:r>
          </w:p>
        </w:tc>
        <w:tc>
          <w:tcPr>
            <w:tcW w:w="76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USD</w:t>
            </w:r>
          </w:p>
        </w:tc>
        <w:tc>
          <w:tcPr>
            <w:tcW w:w="346" w:type="dxa"/>
            <w:tcBorders/>
            <w:vAlign w:val="center"/>
          </w:tcPr>
          <w:p>
            <w:pPr>
              <w:pStyle w:val="TableContents"/>
              <w:bidi w:val="0"/>
              <w:spacing w:before="0" w:after="0"/>
              <w:ind w:left="0" w:right="0" w:hanging="0"/>
              <w:jc w:val="left"/>
              <w:rPr/>
            </w:pPr>
            <w:r>
              <w:rPr/>
              <w:t>  ​ ​ ​</w:t>
            </w:r>
          </w:p>
        </w:tc>
        <w:tc>
          <w:tcPr>
            <w:tcW w:w="52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HKD</w:t>
            </w:r>
          </w:p>
        </w:tc>
        <w:tc>
          <w:tcPr>
            <w:tcW w:w="226"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EUR</w:t>
            </w:r>
          </w:p>
        </w:tc>
        <w:tc>
          <w:tcPr>
            <w:tcW w:w="346" w:type="dxa"/>
            <w:tcBorders/>
            <w:vAlign w:val="center"/>
          </w:tcPr>
          <w:p>
            <w:pPr>
              <w:pStyle w:val="TableContents"/>
              <w:bidi w:val="0"/>
              <w:spacing w:before="0" w:after="0"/>
              <w:ind w:left="0" w:right="0" w:hanging="0"/>
              <w:jc w:val="left"/>
              <w:rPr/>
            </w:pPr>
            <w:r>
              <w:rPr/>
              <w:t>  ​ ​ ​</w:t>
            </w:r>
          </w:p>
        </w:tc>
        <w:tc>
          <w:tcPr>
            <w:tcW w:w="76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CNY</w:t>
            </w:r>
          </w:p>
        </w:tc>
        <w:tc>
          <w:tcPr>
            <w:tcW w:w="346" w:type="dxa"/>
            <w:tcBorders/>
            <w:vAlign w:val="center"/>
          </w:tcPr>
          <w:p>
            <w:pPr>
              <w:pStyle w:val="TableContents"/>
              <w:bidi w:val="0"/>
              <w:spacing w:before="0" w:after="0"/>
              <w:ind w:left="0" w:right="0" w:hanging="0"/>
              <w:jc w:val="left"/>
              <w:rPr/>
            </w:pPr>
            <w:r>
              <w:rPr/>
              <w:t>  ​ ​ ​</w:t>
            </w:r>
          </w:p>
        </w:tc>
        <w:tc>
          <w:tcPr>
            <w:tcW w:w="66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USD</w:t>
            </w:r>
          </w:p>
        </w:tc>
        <w:tc>
          <w:tcPr>
            <w:tcW w:w="346" w:type="dxa"/>
            <w:tcBorders/>
            <w:vAlign w:val="center"/>
          </w:tcPr>
          <w:p>
            <w:pPr>
              <w:pStyle w:val="TableContents"/>
              <w:bidi w:val="0"/>
              <w:spacing w:before="0" w:after="0"/>
              <w:ind w:left="0" w:right="0" w:hanging="0"/>
              <w:jc w:val="left"/>
              <w:rPr/>
            </w:pPr>
            <w:r>
              <w:rPr/>
              <w:t>  ​ ​ ​</w:t>
            </w:r>
          </w:p>
        </w:tc>
        <w:tc>
          <w:tcPr>
            <w:tcW w:w="70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HKD</w:t>
            </w:r>
          </w:p>
        </w:tc>
      </w:tr>
      <w:tr>
        <w:trPr/>
        <w:tc>
          <w:tcPr>
            <w:tcW w:w="147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EUR</w:t>
            </w:r>
          </w:p>
        </w:tc>
        <w:tc>
          <w:tcPr>
            <w:tcW w:w="346"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3,657</w:t>
            </w:r>
          </w:p>
        </w:tc>
        <w:tc>
          <w:tcPr>
            <w:tcW w:w="346" w:type="dxa"/>
            <w:tcBorders/>
            <w:shd w:fill="CCEEFF" w:val="clear"/>
            <w:vAlign w:val="center"/>
          </w:tcPr>
          <w:p>
            <w:pPr>
              <w:pStyle w:val="TableContents"/>
              <w:bidi w:val="0"/>
              <w:spacing w:before="0" w:after="0"/>
              <w:ind w:left="0" w:right="0" w:hanging="0"/>
              <w:jc w:val="left"/>
              <w:rPr/>
            </w:pPr>
            <w:r>
              <w:rPr/>
              <w:t> </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(62,449)</w:t>
            </w:r>
          </w:p>
        </w:tc>
        <w:tc>
          <w:tcPr>
            <w:tcW w:w="346" w:type="dxa"/>
            <w:tcBorders/>
            <w:shd w:fill="CCEEFF" w:val="clear"/>
            <w:vAlign w:val="center"/>
          </w:tcPr>
          <w:p>
            <w:pPr>
              <w:pStyle w:val="TableContents"/>
              <w:bidi w:val="0"/>
              <w:spacing w:before="0" w:after="0"/>
              <w:ind w:left="0" w:right="0" w:hanging="0"/>
              <w:jc w:val="left"/>
              <w:rPr/>
            </w:pPr>
            <w:r>
              <w:rPr/>
              <w:t> </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27,201</w:t>
            </w:r>
          </w:p>
        </w:tc>
        <w:tc>
          <w:tcPr>
            <w:tcW w:w="346"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w:t>
            </w:r>
          </w:p>
        </w:tc>
        <w:tc>
          <w:tcPr>
            <w:tcW w:w="346" w:type="dxa"/>
            <w:tcBorders/>
            <w:shd w:fill="CCEEFF" w:val="clear"/>
            <w:vAlign w:val="center"/>
          </w:tcPr>
          <w:p>
            <w:pPr>
              <w:pStyle w:val="TableContents"/>
              <w:bidi w:val="0"/>
              <w:spacing w:before="0" w:after="0"/>
              <w:ind w:left="0" w:right="0" w:hanging="0"/>
              <w:jc w:val="left"/>
              <w:rPr/>
            </w:pPr>
            <w:r>
              <w:rPr/>
              <w:t> </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147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CNY</w:t>
            </w:r>
          </w:p>
        </w:tc>
        <w:tc>
          <w:tcPr>
            <w:tcW w:w="34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23,164</w:t>
            </w:r>
          </w:p>
        </w:tc>
        <w:tc>
          <w:tcPr>
            <w:tcW w:w="346"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w:t>
            </w:r>
          </w:p>
        </w:tc>
        <w:tc>
          <w:tcPr>
            <w:tcW w:w="346"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22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13,120</w:t>
            </w:r>
          </w:p>
        </w:tc>
        <w:tc>
          <w:tcPr>
            <w:tcW w:w="346"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w:t>
            </w:r>
          </w:p>
        </w:tc>
        <w:tc>
          <w:tcPr>
            <w:tcW w:w="3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(2,071)</w:t>
            </w:r>
          </w:p>
        </w:tc>
      </w:tr>
      <w:tr>
        <w:trPr/>
        <w:tc>
          <w:tcPr>
            <w:tcW w:w="147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USD</w:t>
            </w:r>
          </w:p>
        </w:tc>
        <w:tc>
          <w:tcPr>
            <w:tcW w:w="346"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(2,302)</w:t>
            </w:r>
          </w:p>
        </w:tc>
        <w:tc>
          <w:tcPr>
            <w:tcW w:w="346"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shd w:fill="CCEEFF" w:val="clear"/>
            <w:vAlign w:val="center"/>
          </w:tcPr>
          <w:p>
            <w:pPr>
              <w:pStyle w:val="TableContents"/>
              <w:bidi w:val="0"/>
              <w:spacing w:before="0" w:after="0"/>
              <w:ind w:left="0" w:right="0" w:hanging="0"/>
              <w:jc w:val="left"/>
              <w:rPr/>
            </w:pPr>
            <w:r>
              <w:rPr/>
              <w:t> </w:t>
            </w:r>
          </w:p>
        </w:tc>
        <w:tc>
          <w:tcPr>
            <w:tcW w:w="7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w:t>
            </w:r>
          </w:p>
        </w:tc>
        <w:tc>
          <w:tcPr>
            <w:tcW w:w="346" w:type="dxa"/>
            <w:tcBorders/>
            <w:shd w:fill="CCEEFF" w:val="clear"/>
            <w:vAlign w:val="center"/>
          </w:tcPr>
          <w:p>
            <w:pPr>
              <w:pStyle w:val="TableContents"/>
              <w:bidi w:val="0"/>
              <w:spacing w:before="0" w:after="0"/>
              <w:ind w:left="0" w:right="0" w:hanging="0"/>
              <w:jc w:val="left"/>
              <w:rPr/>
            </w:pPr>
            <w:r>
              <w:rPr/>
              <w:t> </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w:t>
            </w:r>
          </w:p>
        </w:tc>
        <w:tc>
          <w:tcPr>
            <w:tcW w:w="346"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09" w:type="dxa"/>
            <w:tcBorders/>
            <w:shd w:fill="CCEEFF" w:val="clear"/>
            <w:vAlign w:val="center"/>
          </w:tcPr>
          <w:p>
            <w:pPr>
              <w:pStyle w:val="TableContents"/>
              <w:bidi w:val="0"/>
              <w:spacing w:before="0" w:after="0"/>
              <w:ind w:left="0" w:right="0" w:hanging="0"/>
              <w:jc w:val="right"/>
              <w:rPr/>
            </w:pPr>
            <w:r>
              <w:rPr/>
              <w:t>—</w:t>
            </w:r>
          </w:p>
        </w:tc>
      </w:tr>
      <w:tr>
        <w:trPr/>
        <w:tc>
          <w:tcPr>
            <w:tcW w:w="147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TWD</w:t>
            </w:r>
          </w:p>
        </w:tc>
        <w:tc>
          <w:tcPr>
            <w:tcW w:w="34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w:t>
            </w:r>
          </w:p>
        </w:tc>
        <w:tc>
          <w:tcPr>
            <w:tcW w:w="346"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w:t>
            </w:r>
          </w:p>
        </w:tc>
        <w:tc>
          <w:tcPr>
            <w:tcW w:w="346"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r>
      <w:tr>
        <w:trPr/>
        <w:tc>
          <w:tcPr>
            <w:tcW w:w="147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HKD</w:t>
            </w:r>
          </w:p>
        </w:tc>
        <w:tc>
          <w:tcPr>
            <w:tcW w:w="346"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(2,851)</w:t>
            </w:r>
          </w:p>
        </w:tc>
        <w:tc>
          <w:tcPr>
            <w:tcW w:w="346"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(3,344)</w:t>
            </w:r>
          </w:p>
        </w:tc>
        <w:tc>
          <w:tcPr>
            <w:tcW w:w="346" w:type="dxa"/>
            <w:tcBorders/>
            <w:shd w:fill="CCEEFF" w:val="clear"/>
            <w:vAlign w:val="center"/>
          </w:tcPr>
          <w:p>
            <w:pPr>
              <w:pStyle w:val="TableContents"/>
              <w:bidi w:val="0"/>
              <w:spacing w:before="0" w:after="0"/>
              <w:ind w:left="0" w:right="0" w:hanging="0"/>
              <w:jc w:val="left"/>
              <w:rPr/>
            </w:pPr>
            <w:r>
              <w:rPr/>
              <w:t> </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46" w:type="dxa"/>
            <w:tcBorders/>
            <w:shd w:fill="CCEEFF" w:val="clear"/>
            <w:vAlign w:val="center"/>
          </w:tcPr>
          <w:p>
            <w:pPr>
              <w:pStyle w:val="TableContents"/>
              <w:bidi w:val="0"/>
              <w:spacing w:before="0" w:after="0"/>
              <w:ind w:left="0" w:right="0" w:hanging="0"/>
              <w:jc w:val="left"/>
              <w:rPr/>
            </w:pPr>
            <w:r>
              <w:rPr/>
              <w:t> </w:t>
            </w:r>
          </w:p>
        </w:tc>
        <w:tc>
          <w:tcPr>
            <w:tcW w:w="520"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(6,887)</w:t>
            </w:r>
          </w:p>
        </w:tc>
        <w:tc>
          <w:tcPr>
            <w:tcW w:w="346" w:type="dxa"/>
            <w:tcBorders/>
            <w:shd w:fill="CCEEFF" w:val="clear"/>
            <w:vAlign w:val="center"/>
          </w:tcPr>
          <w:p>
            <w:pPr>
              <w:pStyle w:val="TableContents"/>
              <w:bidi w:val="0"/>
              <w:spacing w:before="0" w:after="0"/>
              <w:ind w:left="0" w:right="0" w:hanging="0"/>
              <w:jc w:val="left"/>
              <w:rPr/>
            </w:pPr>
            <w:r>
              <w:rPr/>
              <w:t> </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(17,794)</w:t>
            </w:r>
          </w:p>
        </w:tc>
        <w:tc>
          <w:tcPr>
            <w:tcW w:w="346"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w:t>
            </w:r>
          </w:p>
        </w:tc>
        <w:tc>
          <w:tcPr>
            <w:tcW w:w="346" w:type="dxa"/>
            <w:tcBorders/>
            <w:shd w:fill="CCEEFF" w:val="clear"/>
            <w:vAlign w:val="center"/>
          </w:tcPr>
          <w:p>
            <w:pPr>
              <w:pStyle w:val="TableContents"/>
              <w:bidi w:val="0"/>
              <w:spacing w:before="0" w:after="0"/>
              <w:ind w:left="0" w:right="0" w:hanging="0"/>
              <w:jc w:val="left"/>
              <w:rPr/>
            </w:pPr>
            <w:r>
              <w:rPr/>
              <w:t> </w:t>
            </w:r>
          </w:p>
        </w:tc>
        <w:tc>
          <w:tcPr>
            <w:tcW w:w="709" w:type="dxa"/>
            <w:tcBorders/>
            <w:shd w:fill="CCEEFF" w:val="clear"/>
            <w:vAlign w:val="center"/>
          </w:tcPr>
          <w:p>
            <w:pPr>
              <w:pStyle w:val="TableContents"/>
              <w:bidi w:val="0"/>
              <w:spacing w:before="0" w:after="0"/>
              <w:ind w:left="0" w:right="0" w:hanging="0"/>
              <w:jc w:val="right"/>
              <w:rPr/>
            </w:pPr>
            <w:r>
              <w:rPr/>
              <w:t>​</w:t>
            </w:r>
          </w:p>
        </w:tc>
      </w:tr>
      <w:tr>
        <w:trPr/>
        <w:tc>
          <w:tcPr>
            <w:tcW w:w="147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KRW</w:t>
            </w:r>
          </w:p>
        </w:tc>
        <w:tc>
          <w:tcPr>
            <w:tcW w:w="34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(2,541)</w:t>
            </w:r>
          </w:p>
        </w:tc>
        <w:tc>
          <w:tcPr>
            <w:tcW w:w="346"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46"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(2,658)</w:t>
            </w:r>
          </w:p>
        </w:tc>
        <w:tc>
          <w:tcPr>
            <w:tcW w:w="346"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w:t>
            </w:r>
          </w:p>
        </w:tc>
        <w:tc>
          <w:tcPr>
            <w:tcW w:w="346"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200" w:right="200" w:hanging="0"/>
        <w:jc w:val="left"/>
        <w:rPr/>
      </w:pPr>
      <w:r>
        <w:rPr/>
        <w: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following table demonstrates the impact that a reasonably possible change in each material currency pair would have on SCHMID’s profit or loss before tax. Therefore, for each currency exchange rate, the foreign currency is shifted against the respective local entity’s functional currency. The resulting impact in local currency is then translated into EUR.</w:t>
      </w:r>
    </w:p>
    <w:p>
      <w:pPr>
        <w:pStyle w:val="TextBody"/>
        <w:bidi w:val="0"/>
        <w:spacing w:before="0" w:after="240"/>
        <w:ind w:left="200" w:right="200" w:hanging="0"/>
        <w:jc w:val="both"/>
        <w:rPr/>
      </w:pPr>
      <w:r>
        <w:rPr/>
        <w:t>​</w:t>
      </w:r>
    </w:p>
    <w:tbl>
      <w:tblPr>
        <w:tblW w:w="5005" w:type="dxa"/>
        <w:jc w:val="left"/>
        <w:tblInd w:w="200" w:type="dxa"/>
        <w:tblLayout w:type="fixed"/>
        <w:tblCellMar>
          <w:top w:w="0" w:type="dxa"/>
          <w:left w:w="0" w:type="dxa"/>
          <w:bottom w:w="0" w:type="dxa"/>
          <w:right w:w="0" w:type="dxa"/>
        </w:tblCellMar>
      </w:tblPr>
      <w:tblGrid>
        <w:gridCol w:w="1096"/>
        <w:gridCol w:w="346"/>
        <w:gridCol w:w="571"/>
        <w:gridCol w:w="346"/>
        <w:gridCol w:w="691"/>
        <w:gridCol w:w="226"/>
        <w:gridCol w:w="226"/>
        <w:gridCol w:w="541"/>
        <w:gridCol w:w="226"/>
        <w:gridCol w:w="736"/>
      </w:tblGrid>
      <w:tr>
        <w:trPr/>
        <w:tc>
          <w:tcPr>
            <w:tcW w:w="10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r>
      <w:tr>
        <w:trPr/>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95960" cy="175260"/>
                      <wp:effectExtent l="0" t="0" r="0" b="0"/>
                      <wp:wrapNone/>
                      <wp:docPr id="578" name="Frame576"/>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19710" cy="175260"/>
                      <wp:effectExtent l="0" t="0" r="0" b="0"/>
                      <wp:wrapNone/>
                      <wp:docPr id="579" name="Frame5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362585" cy="175260"/>
                      <wp:effectExtent l="0" t="0" r="0" b="0"/>
                      <wp:wrapNone/>
                      <wp:docPr id="580" name="Frame57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19710" cy="175260"/>
                      <wp:effectExtent l="0" t="0" r="0" b="0"/>
                      <wp:wrapNone/>
                      <wp:docPr id="581" name="Frame5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438785" cy="175260"/>
                      <wp:effectExtent l="0" t="0" r="0" b="0"/>
                      <wp:wrapNone/>
                      <wp:docPr id="582" name="Frame58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143510" cy="175260"/>
                      <wp:effectExtent l="0" t="0" r="0" b="0"/>
                      <wp:wrapNone/>
                      <wp:docPr id="583" name="Frame58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143510" cy="175260"/>
                      <wp:effectExtent l="0" t="0" r="0" b="0"/>
                      <wp:wrapNone/>
                      <wp:docPr id="584" name="Frame58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343535" cy="175260"/>
                      <wp:effectExtent l="0" t="0" r="0" b="0"/>
                      <wp:wrapNone/>
                      <wp:docPr id="585" name="Frame58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143510" cy="175260"/>
                      <wp:effectExtent l="0" t="0" r="0" b="0"/>
                      <wp:wrapNone/>
                      <wp:docPr id="586" name="Frame58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467360" cy="175260"/>
                      <wp:effectExtent l="0" t="0" r="0" b="0"/>
                      <wp:wrapNone/>
                      <wp:docPr id="587" name="Frame58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left"/>
              <w:rPr/>
            </w:pPr>
            <w:r>
              <w:rPr/>
              <w:t>  ​ ​ ​</w:t>
            </w:r>
          </w:p>
        </w:tc>
        <w:tc>
          <w:tcPr>
            <w:tcW w:w="16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12/31/2025</w:t>
            </w:r>
          </w:p>
        </w:tc>
        <w:tc>
          <w:tcPr>
            <w:tcW w:w="226"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50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12/31/2024</w:t>
            </w:r>
          </w:p>
        </w:tc>
      </w:tr>
      <w:tr>
        <w:trPr/>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+10%</w:t>
            </w:r>
          </w:p>
        </w:tc>
        <w:tc>
          <w:tcPr>
            <w:tcW w:w="346" w:type="dxa"/>
            <w:tcBorders/>
            <w:vAlign w:val="center"/>
          </w:tcPr>
          <w:p>
            <w:pPr>
              <w:pStyle w:val="TableContents"/>
              <w:bidi w:val="0"/>
              <w:spacing w:before="0" w:after="0"/>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-10%</w:t>
            </w:r>
          </w:p>
        </w:tc>
        <w:tc>
          <w:tcPr>
            <w:tcW w:w="226" w:type="dxa"/>
            <w:tcBorders>
              <w:right w:val="single" w:sz="2" w:space="0" w:color="000000"/>
            </w:tcBorders>
            <w:tcMar>
              <w:right w:w="28" w:type="dxa"/>
            </w:tcMar>
            <w:vAlign w:val="center"/>
          </w:tcPr>
          <w:p>
            <w:pPr>
              <w:pStyle w:val="TableContents"/>
              <w:bidi w:val="0"/>
              <w:spacing w:before="0" w:after="0"/>
              <w:ind w:left="0" w:right="0" w:hanging="0"/>
              <w:jc w:val="center"/>
              <w:rPr/>
            </w:pPr>
            <w:r>
              <w:rPr/>
              <w:t>  ​</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+10%</w:t>
            </w:r>
          </w:p>
        </w:tc>
        <w:tc>
          <w:tcPr>
            <w:tcW w:w="2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-10%</w:t>
            </w:r>
          </w:p>
        </w:tc>
      </w:tr>
      <w:tr>
        <w:trPr/>
        <w:tc>
          <w:tcPr>
            <w:tcW w:w="109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CNY/EUR</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1,773</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(2,167)</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w:t>
            </w:r>
          </w:p>
        </w:tc>
        <w:tc>
          <w:tcPr>
            <w:tcW w:w="2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w:t>
            </w:r>
          </w:p>
        </w:tc>
      </w:tr>
      <w:tr>
        <w:trPr/>
        <w:tc>
          <w:tcPr>
            <w:tcW w:w="10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USD/EUR</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5,468</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(6,683)</w:t>
            </w:r>
          </w:p>
        </w:tc>
        <w:tc>
          <w:tcPr>
            <w:tcW w:w="22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2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384</w:t>
            </w:r>
          </w:p>
        </w:tc>
      </w:tr>
    </w:tbl>
    <w:p>
      <w:pPr>
        <w:pStyle w:val="TextBody"/>
        <w:bidi w:val="0"/>
        <w:spacing w:before="0" w:after="240"/>
        <w:ind w:left="200" w:right="200" w:hanging="0"/>
        <w:jc w:val="left"/>
        <w:rPr/>
      </w:pPr>
      <w:r>
        <w:rPr/>
        <w:t>​</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Interest Rate Risk</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Interest rate risk is the risk that the fair value or future cash flows of a financial instrument will fluctuate because of changes in market interest rates. As SCHMID in 2025 has no loans with variable interest rates, the exposure to interest rate risk is insignificant.</w:t>
      </w:r>
    </w:p>
    <w:p>
      <w:pPr>
        <w:pStyle w:val="TextBody"/>
        <w:bidi w:val="0"/>
        <w:spacing w:before="0" w:after="240"/>
        <w:ind w:left="200" w:right="200" w:hanging="0"/>
        <w:jc w:val="both"/>
        <w:rPr/>
      </w:pPr>
      <w:r>
        <w:rPr/>
        <w:t>​</w:t>
      </w:r>
    </w:p>
    <w:tbl>
      <w:tblPr>
        <w:tblW w:w="4623" w:type="dxa"/>
        <w:jc w:val="left"/>
        <w:tblInd w:w="200" w:type="dxa"/>
        <w:tblLayout w:type="fixed"/>
        <w:tblCellMar>
          <w:top w:w="0" w:type="dxa"/>
          <w:left w:w="0" w:type="dxa"/>
          <w:bottom w:w="0" w:type="dxa"/>
          <w:right w:w="0" w:type="dxa"/>
        </w:tblCellMar>
      </w:tblPr>
      <w:tblGrid>
        <w:gridCol w:w="2371"/>
        <w:gridCol w:w="346"/>
        <w:gridCol w:w="1906"/>
      </w:tblGrid>
      <w:tr>
        <w:trPr/>
        <w:tc>
          <w:tcPr>
            <w:tcW w:w="23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ind w:left="0" w:right="0" w:hanging="0"/>
              <w:jc w:val="left"/>
              <w:rPr>
                <w:sz w:val="4"/>
                <w:szCs w:val="4"/>
              </w:rPr>
            </w:pPr>
            <w:r>
              <w:rPr>
                <w:sz w:val="4"/>
                <w:szCs w:val="4"/>
              </w:rPr>
            </w:r>
          </w:p>
        </w:tc>
      </w:tr>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1505585" cy="175260"/>
                      <wp:effectExtent l="0" t="0" r="0" b="0"/>
                      <wp:wrapNone/>
                      <wp:docPr id="588" name="Frame586"/>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19710" cy="175260"/>
                      <wp:effectExtent l="0" t="0" r="0" b="0"/>
                      <wp:wrapNone/>
                      <wp:docPr id="589" name="Frame5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1210310" cy="175260"/>
                      <wp:effectExtent l="0" t="0" r="0" b="0"/>
                      <wp:wrapNone/>
                      <wp:docPr id="590" name="Frame588"/>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9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Impact to P/L</w:t>
            </w:r>
          </w:p>
        </w:tc>
      </w:tr>
      <w:tr>
        <w:trPr/>
        <w:tc>
          <w:tcPr>
            <w:tcW w:w="23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left"/>
              <w:rPr/>
            </w:pPr>
            <w:r>
              <w:rPr/>
              <w:t>​</w:t>
            </w:r>
          </w:p>
        </w:tc>
        <w:tc>
          <w:tcPr>
            <w:tcW w:w="19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 expense (-))</w:t>
            </w:r>
          </w:p>
        </w:tc>
      </w:tr>
      <w:tr>
        <w:trPr/>
        <w:tc>
          <w:tcPr>
            <w:tcW w:w="237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12/31/2025</w:t>
            </w:r>
          </w:p>
        </w:tc>
        <w:tc>
          <w:tcPr>
            <w:tcW w:w="346" w:type="dxa"/>
            <w:tcBorders/>
            <w:shd w:fill="CCEEFF" w:val="clear"/>
            <w:vAlign w:val="center"/>
          </w:tcPr>
          <w:p>
            <w:pPr>
              <w:pStyle w:val="TableContents"/>
              <w:bidi w:val="0"/>
              <w:spacing w:before="0" w:after="0"/>
              <w:ind w:left="0" w:right="0" w:hanging="0"/>
              <w:jc w:val="left"/>
              <w:rPr/>
            </w:pPr>
            <w:r>
              <w:rPr/>
              <w:t> </w:t>
            </w:r>
          </w:p>
        </w:tc>
        <w:tc>
          <w:tcPr>
            <w:tcW w:w="1906" w:type="dxa"/>
            <w:tcBorders/>
            <w:shd w:fill="CCEEFF" w:val="clear"/>
            <w:vAlign w:val="center"/>
          </w:tcPr>
          <w:p>
            <w:pPr>
              <w:pStyle w:val="TableContents"/>
              <w:bidi w:val="0"/>
              <w:spacing w:before="0" w:after="0"/>
              <w:ind w:left="0" w:right="0" w:hanging="0"/>
              <w:jc w:val="center"/>
              <w:rPr/>
            </w:pPr>
            <w:r>
              <w:rPr/>
              <w:t>​</w:t>
            </w:r>
          </w:p>
        </w:tc>
      </w:tr>
      <w:tr>
        <w:trPr/>
        <w:tc>
          <w:tcPr>
            <w:tcW w:w="23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 in interest rate +1%</w:t>
            </w:r>
          </w:p>
        </w:tc>
        <w:tc>
          <w:tcPr>
            <w:tcW w:w="346" w:type="dxa"/>
            <w:tcBorders/>
            <w:vAlign w:val="center"/>
          </w:tcPr>
          <w:p>
            <w:pPr>
              <w:pStyle w:val="TableContents"/>
              <w:bidi w:val="0"/>
              <w:spacing w:before="0" w:after="0"/>
              <w:ind w:left="0" w:right="0" w:hanging="0"/>
              <w:jc w:val="left"/>
              <w:rPr/>
            </w:pPr>
            <w:r>
              <w:rPr/>
              <w:t>​</w:t>
            </w:r>
          </w:p>
        </w:tc>
        <w:tc>
          <w:tcPr>
            <w:tcW w:w="19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(388)</w:t>
            </w:r>
          </w:p>
        </w:tc>
      </w:tr>
      <w:tr>
        <w:trPr/>
        <w:tc>
          <w:tcPr>
            <w:tcW w:w="237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 in interest rate -1%</w:t>
            </w:r>
          </w:p>
        </w:tc>
        <w:tc>
          <w:tcPr>
            <w:tcW w:w="346" w:type="dxa"/>
            <w:tcBorders/>
            <w:shd w:fill="CCEEFF" w:val="clear"/>
            <w:vAlign w:val="center"/>
          </w:tcPr>
          <w:p>
            <w:pPr>
              <w:pStyle w:val="TableContents"/>
              <w:bidi w:val="0"/>
              <w:spacing w:before="0" w:after="0"/>
              <w:ind w:left="0" w:right="0" w:hanging="0"/>
              <w:jc w:val="left"/>
              <w:rPr/>
            </w:pPr>
            <w:r>
              <w:rPr/>
              <w:t>​</w:t>
            </w:r>
          </w:p>
        </w:tc>
        <w:tc>
          <w:tcPr>
            <w:tcW w:w="19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388</w:t>
            </w:r>
          </w:p>
        </w:tc>
      </w:tr>
      <w:tr>
        <w:trPr/>
        <w:tc>
          <w:tcPr>
            <w:tcW w:w="237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12/31/2024</w:t>
            </w:r>
          </w:p>
        </w:tc>
        <w:tc>
          <w:tcPr>
            <w:tcW w:w="346" w:type="dxa"/>
            <w:tcBorders/>
            <w:vAlign w:val="center"/>
          </w:tcPr>
          <w:p>
            <w:pPr>
              <w:pStyle w:val="TableContents"/>
              <w:bidi w:val="0"/>
              <w:spacing w:before="0" w:after="0"/>
              <w:ind w:left="0" w:right="0" w:hanging="0"/>
              <w:jc w:val="left"/>
              <w:rPr/>
            </w:pPr>
            <w:r>
              <w:rPr/>
              <w:t>​</w:t>
            </w:r>
          </w:p>
        </w:tc>
        <w:tc>
          <w:tcPr>
            <w:tcW w:w="1906" w:type="dxa"/>
            <w:tcBorders/>
            <w:vAlign w:val="center"/>
          </w:tcPr>
          <w:p>
            <w:pPr>
              <w:pStyle w:val="TableContents"/>
              <w:bidi w:val="0"/>
              <w:spacing w:before="0" w:after="0"/>
              <w:ind w:left="0" w:right="0" w:hanging="0"/>
              <w:jc w:val="center"/>
              <w:rPr/>
            </w:pPr>
            <w:r>
              <w:rPr/>
              <w:t>​</w:t>
            </w:r>
          </w:p>
        </w:tc>
      </w:tr>
      <w:tr>
        <w:trPr/>
        <w:tc>
          <w:tcPr>
            <w:tcW w:w="237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 in interest rate +1%</w:t>
            </w:r>
          </w:p>
        </w:tc>
        <w:tc>
          <w:tcPr>
            <w:tcW w:w="346" w:type="dxa"/>
            <w:tcBorders/>
            <w:shd w:fill="CCEEFF" w:val="clear"/>
            <w:vAlign w:val="center"/>
          </w:tcPr>
          <w:p>
            <w:pPr>
              <w:pStyle w:val="TableContents"/>
              <w:bidi w:val="0"/>
              <w:spacing w:before="0" w:after="0"/>
              <w:ind w:left="0" w:right="0" w:hanging="0"/>
              <w:jc w:val="left"/>
              <w:rPr/>
            </w:pPr>
            <w:r>
              <w:rPr/>
              <w:t>​</w:t>
            </w:r>
          </w:p>
        </w:tc>
        <w:tc>
          <w:tcPr>
            <w:tcW w:w="19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(378)</w:t>
            </w:r>
          </w:p>
        </w:tc>
      </w:tr>
      <w:tr>
        <w:trPr/>
        <w:tc>
          <w:tcPr>
            <w:tcW w:w="23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 in interest rate -1%</w:t>
            </w:r>
          </w:p>
        </w:tc>
        <w:tc>
          <w:tcPr>
            <w:tcW w:w="346" w:type="dxa"/>
            <w:tcBorders/>
            <w:vAlign w:val="center"/>
          </w:tcPr>
          <w:p>
            <w:pPr>
              <w:pStyle w:val="TableContents"/>
              <w:bidi w:val="0"/>
              <w:spacing w:before="0" w:after="0"/>
              <w:ind w:left="0" w:right="0" w:hanging="0"/>
              <w:jc w:val="left"/>
              <w:rPr/>
            </w:pPr>
            <w:r>
              <w:rPr/>
              <w:t>​</w:t>
            </w:r>
          </w:p>
        </w:tc>
        <w:tc>
          <w:tcPr>
            <w:tcW w:w="1906" w:type="dxa"/>
            <w:tcBorders/>
            <w:vAlign w:val="center"/>
          </w:tcPr>
          <w:p>
            <w:pPr>
              <w:pStyle w:val="TableContents"/>
              <w:bidi w:val="0"/>
              <w:spacing w:before="0" w:after="0"/>
              <w:ind w:left="0" w:right="60" w:hanging="0"/>
              <w:jc w:val="center"/>
              <w:rPr>
                <w:rFonts w:ascii="Times New Roman;Times;serif" w:hAnsi="Times New Roman;Times;serif"/>
                <w:sz w:val="20"/>
              </w:rPr>
            </w:pPr>
            <w:r>
              <w:rPr>
                <w:rFonts w:ascii="Times New Roman;Times;serif" w:hAnsi="Times New Roman;Times;serif"/>
                <w:sz w:val="20"/>
              </w:rPr>
              <w:t>378</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Capital Management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For the purpose of SCHMID’s capital management, capital includes all share capital, and other equity reserves attributable to the equity holders. The primary objectives of capital management are to support operating activities and maximize shareholder value through investment in the development activities of SCHMID.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SCHMID’s finance department reviews the total amount of cash of SCHMID on a monthly basis. As part of this review, management considers the total cash and cash equivalents, the cash outflow, currency translation differences and funding activities.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bookmarkStart w:id="2075" w:name="Tc_VNpzVp0hD0WyaK-GpjQhjw_16_0"/>
      <w:bookmarkStart w:id="2076" w:name="Tc_MCXApVnErUe2AIpzpCFjyw_15_4"/>
      <w:bookmarkStart w:id="2077" w:name="Tc_ztdjxpySik2Xi2lARzE_LQ_15_0"/>
      <w:bookmarkStart w:id="2078" w:name="Tc_Odrj4lcbgESnvX94WEWGTA_14_0"/>
      <w:bookmarkStart w:id="2079" w:name="Tc_7YquknRPSU2HOcSb33LgWA_13_2"/>
      <w:bookmarkStart w:id="2080" w:name="Tc_x88H4FT7dkOp1UanLBkPQg_13_0"/>
      <w:bookmarkStart w:id="2081" w:name="Tc_o6ERJwb2-kK4vocRR4TayQ_12_2"/>
      <w:bookmarkStart w:id="2082" w:name="Tc_n4VPFSjQSUGWZPu0a9LUJA_12_0"/>
      <w:bookmarkStart w:id="2083" w:name="Tc_EsKdbCp3qkm4OK3PUyQL0g_11_0"/>
      <w:bookmarkStart w:id="2084" w:name="Tc_h48S4JnUxkGFKl5zt49W7g_10_4"/>
      <w:bookmarkStart w:id="2085" w:name="Tc_JrBKbJuSFEuGV66jht0k6w_10_0"/>
      <w:bookmarkStart w:id="2086" w:name="Tc_FIlQS9aN2UqSLvbplGqFfg_9_0"/>
      <w:bookmarkStart w:id="2087" w:name="Tc_aYMz2PujCUWuvS2iDaz1RA_8_2"/>
      <w:bookmarkStart w:id="2088" w:name="Tc_PXURPWai20GITrMQ-jxa1w_8_0"/>
      <w:bookmarkStart w:id="2089" w:name="Tc_FRQLam69MkSmomFhgKvnkQ_7_4"/>
      <w:bookmarkStart w:id="2090" w:name="Tc_wdeYzqZcXE6FFkvdak9uew_7_0"/>
      <w:bookmarkStart w:id="2091" w:name="Tc_koJ2ITSZ0kSIma9E937MQw_6_4"/>
      <w:bookmarkStart w:id="2092" w:name="Tc_mNo8pgYpMUucYX2HKjzLxQ_6_0"/>
      <w:bookmarkStart w:id="2093" w:name="Tc_z3UE6FA2bE2dReEpi5Po9g_5_4"/>
      <w:bookmarkStart w:id="2094" w:name="Tc_GHDhcOcbk0exfjLSutXmzA_5_0"/>
      <w:bookmarkStart w:id="2095" w:name="Tc_Scb5udYOx0WW6ecfLkr1aA_4_0"/>
      <w:bookmarkStart w:id="2096" w:name="Tc_Qm7VWGrRzUepnyCDJ48o5g_3_0"/>
      <w:bookmarkStart w:id="2097" w:name="Tc_svMSSk5teEqgwN0lAPGAhw_2_6"/>
      <w:bookmarkStart w:id="2098" w:name="Tc_chTuDg2ehEq-Y62ITtm-GQ_2_4"/>
      <w:bookmarkStart w:id="2099" w:name="Tc_IZWpGnEh4UmUqrXaMKu0Eg_2_2"/>
      <w:bookmarkStart w:id="2100" w:name="Tc_alGCgS7C4EaNYjqtU4SzTw_2_0"/>
      <w:bookmarkStart w:id="2101" w:name="Tc_2tzP4KFeaUi8jb2y-zipIQ_1_4"/>
      <w:bookmarkStart w:id="2102" w:name="_e28d5b92_e312_4ddc_b8d4_3a62a5203539"/>
      <w:bookmarkStart w:id="2103" w:name="Tc_6AEePOx-tUmtdoFKPy1www_15_0"/>
      <w:bookmarkStart w:id="2104" w:name="Tc_GJ5n9mC28UC__cU7fuiUog_14_4"/>
      <w:bookmarkStart w:id="2105" w:name="Tc_rHodGN3iCEO0FK9__TfxUA_14_0"/>
      <w:bookmarkStart w:id="2106" w:name="Tc_9Ibzj2rt9UyrR1lLpbZH0A_13_0"/>
      <w:bookmarkStart w:id="2107" w:name="Tc_-zPcotSEaEGsGgw6JgIH-g_12_0"/>
      <w:bookmarkStart w:id="2108" w:name="Tc_s6E4xhcEh0C17ljQDR5c0Q_11_2"/>
      <w:bookmarkStart w:id="2109" w:name="Tc_xV7ZwBABR0qRsRV8t7ecJw_11_0"/>
      <w:bookmarkStart w:id="2110" w:name="Tc_vuJSavDJMkGlNj6zn7tk_g_10_0"/>
      <w:bookmarkStart w:id="2111" w:name="Tc_1lzADgNil0WS5k1F88WjKg_9_0"/>
      <w:bookmarkStart w:id="2112" w:name="Tc_Ld8yUycCNkmYs_Knqx90bw_8_0"/>
      <w:bookmarkStart w:id="2113" w:name="Tc_fSX2q6J0rkW3SBEeddDiSA_7_2"/>
      <w:bookmarkStart w:id="2114" w:name="Tc_cnkbbw3MXkGVJz25qpSZTA_7_0"/>
      <w:bookmarkStart w:id="2115" w:name="Tc_86fFY1gmP0SbJXrTL03_LA_6_4"/>
      <w:bookmarkStart w:id="2116" w:name="Tc_XflWI6TH8ECFKl6m7DngKw_6_0"/>
      <w:bookmarkStart w:id="2117" w:name="Tc_8F7t9hHKf0uFbNbcIKmjJw_5_4"/>
      <w:bookmarkStart w:id="2118" w:name="Tc_s0Y3RDpnl06_KTkWvvixLA_5_0"/>
      <w:bookmarkStart w:id="2119" w:name="Tc_iiqH4CL6R0Wu-qcxOLXhbw_4_0"/>
      <w:bookmarkStart w:id="2120" w:name="Tc_H1IT32-raU2jwpPz4hBIuQ_3_0"/>
      <w:bookmarkStart w:id="2121" w:name="Tc_C_UNTwzHaUuLttgq_SkUnQ_2_6"/>
      <w:bookmarkStart w:id="2122" w:name="Tc_25SuXIntgUGI2lf6M5L3kw_2_4"/>
      <w:bookmarkStart w:id="2123" w:name="Tc_ld3DlBE4F0-k9fxQYskN9A_2_2"/>
      <w:bookmarkStart w:id="2124" w:name="Tc_KZ23qC4bJU63jyVUjpP0cg_2_0"/>
      <w:bookmarkStart w:id="2125" w:name="Tc_gVHmrFDRcU6zL0S56BbZ7Q_1_4"/>
      <w:bookmarkStart w:id="2126" w:name="_19f59cf8_8b4b_418c_a6dc_5297c851798f"/>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r>
        <w:rPr>
          <w:rFonts w:ascii="Times New Roman;Times;serif" w:hAnsi="Times New Roman;Times;serif"/>
          <w:sz w:val="20"/>
        </w:rPr>
        <w:t>The Company is not subject to externally imposed capital requirements see note 29. Non-current and current financial liabilities for further details. No changes were made in the objectives, policies or processes for managing cash during the years ended December 31, 2025 and 2024.</w:t>
      </w:r>
    </w:p>
    <w:p>
      <w:pPr>
        <w:pStyle w:val="TextBody"/>
        <w:bidi w:val="0"/>
        <w:spacing w:before="0" w:after="0"/>
        <w:ind w:left="200" w:right="200" w:hanging="0"/>
        <w:jc w:val="left"/>
        <w:rPr>
          <w:rFonts w:ascii="Times New Roman;Times;serif" w:hAnsi="Times New Roman;Times;serif"/>
          <w:b/>
          <w:sz w:val="20"/>
        </w:rPr>
      </w:pPr>
      <w:r>
        <w:rPr>
          <w:rFonts w:ascii="Times New Roman;Times;serif" w:hAnsi="Times New Roman;Times;serif"/>
          <w:b/>
          <w:sz w:val="20"/>
        </w:rPr>
        <w:t>Reconciliation of changes in liabilities arising from financing activities</w:t>
      </w:r>
    </w:p>
    <w:p>
      <w:pPr>
        <w:pStyle w:val="TextBody"/>
        <w:bidi w:val="0"/>
        <w:spacing w:before="0" w:after="0"/>
        <w:ind w:left="200" w:right="200" w:hanging="0"/>
        <w:jc w:val="left"/>
        <w:rPr/>
      </w:pPr>
      <w:r>
        <w:rPr/>
        <w:t>​</w:t>
      </w:r>
    </w:p>
    <w:tbl>
      <w:tblPr>
        <w:tblW w:w="9805" w:type="dxa"/>
        <w:jc w:val="left"/>
        <w:tblInd w:w="200" w:type="dxa"/>
        <w:tblLayout w:type="fixed"/>
        <w:tblCellMar>
          <w:top w:w="0" w:type="dxa"/>
          <w:left w:w="0" w:type="dxa"/>
          <w:bottom w:w="0" w:type="dxa"/>
          <w:right w:w="0" w:type="dxa"/>
        </w:tblCellMar>
      </w:tblPr>
      <w:tblGrid>
        <w:gridCol w:w="6381"/>
        <w:gridCol w:w="346"/>
        <w:gridCol w:w="794"/>
        <w:gridCol w:w="346"/>
        <w:gridCol w:w="751"/>
        <w:gridCol w:w="346"/>
        <w:gridCol w:w="841"/>
      </w:tblGrid>
      <w:tr>
        <w:trPr/>
        <w:tc>
          <w:tcPr>
            <w:tcW w:w="63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ind w:left="0" w:right="0" w:hanging="0"/>
              <w:jc w:val="left"/>
              <w:rPr>
                <w:sz w:val="4"/>
                <w:szCs w:val="4"/>
              </w:rPr>
            </w:pPr>
            <w:r>
              <w:rPr>
                <w:sz w:val="4"/>
                <w:szCs w:val="4"/>
              </w:rPr>
            </w:r>
          </w:p>
        </w:tc>
      </w:tr>
      <w:tr>
        <w:trPr/>
        <w:tc>
          <w:tcPr>
            <w:tcW w:w="6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4051935" cy="175260"/>
                      <wp:effectExtent l="0" t="0" r="0" b="0"/>
                      <wp:wrapNone/>
                      <wp:docPr id="591" name="Frame589"/>
                      <a:graphic xmlns:a="http://schemas.openxmlformats.org/drawingml/2006/main">
                        <a:graphicData uri="http://schemas.microsoft.com/office/word/2010/wordprocessingShape">
                          <wps:wsp>
                            <wps:cNvSpPr txBox="1"/>
                            <wps:spPr>
                              <a:xfrm>
                                <a:off x="0" y="0"/>
                                <a:ext cx="405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19710" cy="175260"/>
                      <wp:effectExtent l="0" t="0" r="0" b="0"/>
                      <wp:wrapNone/>
                      <wp:docPr id="592" name="Frame5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504190" cy="175260"/>
                      <wp:effectExtent l="0" t="0" r="0" b="0"/>
                      <wp:wrapNone/>
                      <wp:docPr id="593" name="Frame591"/>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19710" cy="175260"/>
                      <wp:effectExtent l="0" t="0" r="0" b="0"/>
                      <wp:wrapNone/>
                      <wp:docPr id="594" name="Frame5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476885" cy="175260"/>
                      <wp:effectExtent l="0" t="0" r="0" b="0"/>
                      <wp:wrapNone/>
                      <wp:docPr id="595" name="Frame593"/>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219710" cy="175260"/>
                      <wp:effectExtent l="0" t="0" r="0" b="0"/>
                      <wp:wrapNone/>
                      <wp:docPr id="596" name="Frame5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534035" cy="175260"/>
                      <wp:effectExtent l="0" t="0" r="0" b="0"/>
                      <wp:wrapNone/>
                      <wp:docPr id="597" name="Frame59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9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46" w:type="dxa"/>
            <w:tcBorders/>
            <w:vAlign w:val="center"/>
          </w:tcPr>
          <w:p>
            <w:pPr>
              <w:pStyle w:val="TableContents"/>
              <w:bidi w:val="0"/>
              <w:spacing w:before="0" w:after="0"/>
              <w:ind w:left="0" w:right="0" w:hanging="0"/>
              <w:jc w:val="left"/>
              <w:rPr/>
            </w:pPr>
            <w:r>
              <w:rPr/>
              <w:t>  ​ ​ ​</w:t>
            </w:r>
          </w:p>
        </w:tc>
        <w:tc>
          <w:tcPr>
            <w:tcW w:w="841" w:type="dxa"/>
            <w:tcBorders/>
            <w:vAlign w:val="center"/>
          </w:tcPr>
          <w:p>
            <w:pPr>
              <w:pStyle w:val="TableContents"/>
              <w:bidi w:val="0"/>
              <w:spacing w:before="0" w:after="0"/>
              <w:ind w:left="0" w:right="0" w:hanging="0"/>
              <w:jc w:val="center"/>
              <w:rPr/>
            </w:pPr>
            <w:r>
              <w:rPr/>
              <w:t>​</w:t>
            </w:r>
          </w:p>
        </w:tc>
      </w:tr>
      <w:tr>
        <w:trPr/>
        <w:tc>
          <w:tcPr>
            <w:tcW w:w="63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left"/>
              <w:rPr/>
            </w:pPr>
            <w:r>
              <w:rPr/>
              <w:t>  ​ ​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346" w:type="dxa"/>
            <w:tcBorders/>
            <w:vAlign w:val="center"/>
          </w:tcPr>
          <w:p>
            <w:pPr>
              <w:pStyle w:val="TableContents"/>
              <w:bidi w:val="0"/>
              <w:spacing w:before="0" w:after="0"/>
              <w:ind w:left="0" w:right="0" w:hanging="0"/>
              <w:jc w:val="left"/>
              <w:rPr/>
            </w:pPr>
            <w:r>
              <w:rPr/>
              <w:t>  ​ ​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46" w:type="dxa"/>
            <w:tcBorders/>
            <w:vAlign w:val="center"/>
          </w:tcPr>
          <w:p>
            <w:pPr>
              <w:pStyle w:val="TableContents"/>
              <w:bidi w:val="0"/>
              <w:spacing w:before="0" w:after="0"/>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38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Balance at January 1, 2025</w:t>
            </w:r>
          </w:p>
        </w:tc>
        <w:tc>
          <w:tcPr>
            <w:tcW w:w="346" w:type="dxa"/>
            <w:tcBorders/>
            <w:shd w:fill="CCEEFF" w:val="cle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77,433</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9,694</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87,127</w:t>
            </w:r>
          </w:p>
        </w:tc>
      </w:tr>
      <w:tr>
        <w:trPr/>
        <w:tc>
          <w:tcPr>
            <w:tcW w:w="63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 from financing activities (excluding changes from restricted cash)</w:t>
            </w:r>
          </w:p>
        </w:tc>
        <w:tc>
          <w:tcPr>
            <w:tcW w:w="346" w:type="dxa"/>
            <w:tcBorders/>
            <w:vAlign w:val="center"/>
          </w:tcPr>
          <w:p>
            <w:pPr>
              <w:pStyle w:val="TableContents"/>
              <w:bidi w:val="0"/>
              <w:spacing w:before="0" w:after="0"/>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4,962</w:t>
            </w:r>
          </w:p>
        </w:tc>
        <w:tc>
          <w:tcPr>
            <w:tcW w:w="34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(2,098)</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2,864</w:t>
            </w:r>
          </w:p>
        </w:tc>
      </w:tr>
      <w:tr>
        <w:trPr/>
        <w:tc>
          <w:tcPr>
            <w:tcW w:w="638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Proceeds from loans</w:t>
            </w:r>
          </w:p>
        </w:tc>
        <w:tc>
          <w:tcPr>
            <w:tcW w:w="346"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7,572</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7,572</w:t>
            </w:r>
          </w:p>
        </w:tc>
      </w:tr>
      <w:tr>
        <w:trPr/>
        <w:tc>
          <w:tcPr>
            <w:tcW w:w="63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Repayments of loans</w:t>
            </w:r>
          </w:p>
        </w:tc>
        <w:tc>
          <w:tcPr>
            <w:tcW w:w="346"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(2,296)</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(2,296)</w:t>
            </w:r>
          </w:p>
        </w:tc>
      </w:tr>
      <w:tr>
        <w:trPr/>
        <w:tc>
          <w:tcPr>
            <w:tcW w:w="638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elements of lease payment</w:t>
            </w:r>
          </w:p>
        </w:tc>
        <w:tc>
          <w:tcPr>
            <w:tcW w:w="346"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w:t>
            </w:r>
          </w:p>
        </w:tc>
      </w:tr>
      <w:tr>
        <w:trPr/>
        <w:tc>
          <w:tcPr>
            <w:tcW w:w="63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paid</w:t>
            </w:r>
          </w:p>
        </w:tc>
        <w:tc>
          <w:tcPr>
            <w:tcW w:w="346" w:type="dxa"/>
            <w:tcBorders/>
            <w:vAlign w:val="center"/>
          </w:tcPr>
          <w:p>
            <w:pPr>
              <w:pStyle w:val="TableContents"/>
              <w:bidi w:val="0"/>
              <w:spacing w:before="0" w:after="0"/>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4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w:t>
            </w:r>
          </w:p>
        </w:tc>
      </w:tr>
      <w:tr>
        <w:trPr/>
        <w:tc>
          <w:tcPr>
            <w:tcW w:w="638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changes</w:t>
            </w:r>
          </w:p>
        </w:tc>
        <w:tc>
          <w:tcPr>
            <w:tcW w:w="346" w:type="dxa"/>
            <w:tcBorders/>
            <w:shd w:fill="CCEEFF" w:val="cle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(28,838)</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954</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(27,884)</w:t>
            </w:r>
          </w:p>
        </w:tc>
      </w:tr>
      <w:tr>
        <w:trPr/>
        <w:tc>
          <w:tcPr>
            <w:tcW w:w="63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Foreign currency effects</w:t>
            </w:r>
          </w:p>
        </w:tc>
        <w:tc>
          <w:tcPr>
            <w:tcW w:w="346"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(2,916)</w:t>
            </w:r>
          </w:p>
        </w:tc>
      </w:tr>
      <w:tr>
        <w:trPr/>
        <w:tc>
          <w:tcPr>
            <w:tcW w:w="638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New leases</w:t>
            </w:r>
          </w:p>
        </w:tc>
        <w:tc>
          <w:tcPr>
            <w:tcW w:w="346"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r>
      <w:tr>
        <w:trPr/>
        <w:tc>
          <w:tcPr>
            <w:tcW w:w="63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interest</w:t>
            </w:r>
          </w:p>
        </w:tc>
        <w:tc>
          <w:tcPr>
            <w:tcW w:w="346"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3,363</w:t>
            </w:r>
          </w:p>
        </w:tc>
      </w:tr>
      <w:tr>
        <w:trPr/>
        <w:tc>
          <w:tcPr>
            <w:tcW w:w="638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Derecognition XJ share purchase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(22,666)</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(22,666)</w:t>
            </w:r>
          </w:p>
        </w:tc>
      </w:tr>
      <w:tr>
        <w:trPr/>
        <w:tc>
          <w:tcPr>
            <w:tcW w:w="63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Loan forgiveness</w:t>
            </w:r>
          </w:p>
        </w:tc>
        <w:tc>
          <w:tcPr>
            <w:tcW w:w="346" w:type="dxa"/>
            <w:tcBorders/>
            <w:vAlign w:val="center"/>
          </w:tcPr>
          <w:p>
            <w:pPr>
              <w:pStyle w:val="TableContents"/>
              <w:bidi w:val="0"/>
              <w:spacing w:before="0" w:after="0"/>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638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Balance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53,556</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8,550</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62,106</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tbl>
      <w:tblPr>
        <w:tblW w:w="9805" w:type="dxa"/>
        <w:jc w:val="left"/>
        <w:tblInd w:w="200" w:type="dxa"/>
        <w:tblLayout w:type="fixed"/>
        <w:tblCellMar>
          <w:top w:w="0" w:type="dxa"/>
          <w:left w:w="0" w:type="dxa"/>
          <w:bottom w:w="0" w:type="dxa"/>
          <w:right w:w="0" w:type="dxa"/>
        </w:tblCellMar>
      </w:tblPr>
      <w:tblGrid>
        <w:gridCol w:w="6382"/>
        <w:gridCol w:w="346"/>
        <w:gridCol w:w="794"/>
        <w:gridCol w:w="346"/>
        <w:gridCol w:w="751"/>
        <w:gridCol w:w="346"/>
        <w:gridCol w:w="840"/>
      </w:tblGrid>
      <w:tr>
        <w:trPr/>
        <w:tc>
          <w:tcPr>
            <w:tcW w:w="638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ind w:left="0" w:right="0" w:hanging="0"/>
              <w:jc w:val="left"/>
              <w:rPr>
                <w:sz w:val="4"/>
                <w:szCs w:val="4"/>
              </w:rPr>
            </w:pPr>
            <w:r>
              <w:rPr>
                <w:sz w:val="4"/>
                <w:szCs w:val="4"/>
              </w:rPr>
            </w:r>
          </w:p>
        </w:tc>
      </w:tr>
      <w:tr>
        <w:trPr/>
        <w:tc>
          <w:tcPr>
            <w:tcW w:w="6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4052570" cy="175260"/>
                      <wp:effectExtent l="0" t="0" r="0" b="0"/>
                      <wp:wrapNone/>
                      <wp:docPr id="598" name="Frame596"/>
                      <a:graphic xmlns:a="http://schemas.openxmlformats.org/drawingml/2006/main">
                        <a:graphicData uri="http://schemas.microsoft.com/office/word/2010/wordprocessingShape">
                          <wps:wsp>
                            <wps:cNvSpPr txBox="1"/>
                            <wps:spPr>
                              <a:xfrm>
                                <a:off x="0" y="0"/>
                                <a:ext cx="405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219710" cy="175260"/>
                      <wp:effectExtent l="0" t="0" r="0" b="0"/>
                      <wp:wrapNone/>
                      <wp:docPr id="599" name="Frame5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504190" cy="175260"/>
                      <wp:effectExtent l="0" t="0" r="0" b="0"/>
                      <wp:wrapNone/>
                      <wp:docPr id="600" name="Frame598"/>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19710" cy="175260"/>
                      <wp:effectExtent l="0" t="0" r="0" b="0"/>
                      <wp:wrapNone/>
                      <wp:docPr id="601" name="Frame5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476885" cy="175260"/>
                      <wp:effectExtent l="0" t="0" r="0" b="0"/>
                      <wp:wrapNone/>
                      <wp:docPr id="602" name="Frame600"/>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19710" cy="175260"/>
                      <wp:effectExtent l="0" t="0" r="0" b="0"/>
                      <wp:wrapNone/>
                      <wp:docPr id="603" name="Frame6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533400" cy="175260"/>
                      <wp:effectExtent l="0" t="0" r="0" b="0"/>
                      <wp:wrapNone/>
                      <wp:docPr id="604" name="Frame602"/>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9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46" w:type="dxa"/>
            <w:tcBorders/>
            <w:vAlign w:val="center"/>
          </w:tcPr>
          <w:p>
            <w:pPr>
              <w:pStyle w:val="TableContents"/>
              <w:bidi w:val="0"/>
              <w:spacing w:before="0" w:after="0"/>
              <w:ind w:left="0" w:right="0" w:hanging="0"/>
              <w:jc w:val="left"/>
              <w:rPr/>
            </w:pPr>
            <w:r>
              <w:rPr/>
              <w:t>  ​ ​ ​</w:t>
            </w:r>
          </w:p>
        </w:tc>
        <w:tc>
          <w:tcPr>
            <w:tcW w:w="840" w:type="dxa"/>
            <w:tcBorders/>
            <w:vAlign w:val="center"/>
          </w:tcPr>
          <w:p>
            <w:pPr>
              <w:pStyle w:val="TableContents"/>
              <w:bidi w:val="0"/>
              <w:spacing w:before="0" w:after="0"/>
              <w:ind w:left="0" w:right="0" w:hanging="0"/>
              <w:jc w:val="center"/>
              <w:rPr/>
            </w:pPr>
            <w:r>
              <w:rPr/>
              <w:t>​</w:t>
            </w:r>
          </w:p>
        </w:tc>
      </w:tr>
      <w:tr>
        <w:trPr/>
        <w:tc>
          <w:tcPr>
            <w:tcW w:w="638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346"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46" w:type="dxa"/>
            <w:tcBorders/>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382"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Balance at January 1, 2024</w:t>
            </w:r>
          </w:p>
        </w:tc>
        <w:tc>
          <w:tcPr>
            <w:tcW w:w="346" w:type="dxa"/>
            <w:tcBorders/>
            <w:shd w:fill="CCEEFF" w:val="cle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48,244</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10,886</w:t>
            </w:r>
          </w:p>
        </w:tc>
        <w:tc>
          <w:tcPr>
            <w:tcW w:w="346" w:type="dxa"/>
            <w:tcBorders/>
            <w:shd w:fill="CCEEFF" w:val="cle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59,130</w:t>
            </w:r>
          </w:p>
        </w:tc>
      </w:tr>
      <w:tr>
        <w:trPr/>
        <w:tc>
          <w:tcPr>
            <w:tcW w:w="6382"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 from financing activities (excluding changes from restricted cash)</w:t>
            </w:r>
          </w:p>
        </w:tc>
        <w:tc>
          <w:tcPr>
            <w:tcW w:w="346" w:type="dxa"/>
            <w:tcBorders/>
            <w:vAlign w:val="center"/>
          </w:tcPr>
          <w:p>
            <w:pPr>
              <w:pStyle w:val="TableContents"/>
              <w:bidi w:val="0"/>
              <w:spacing w:before="0" w:after="0"/>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6,173</w:t>
            </w:r>
          </w:p>
        </w:tc>
        <w:tc>
          <w:tcPr>
            <w:tcW w:w="34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(2,184)</w:t>
            </w:r>
          </w:p>
        </w:tc>
        <w:tc>
          <w:tcPr>
            <w:tcW w:w="346" w:type="dxa"/>
            <w:tcBorders/>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3,989</w:t>
            </w:r>
          </w:p>
        </w:tc>
      </w:tr>
      <w:tr>
        <w:trPr/>
        <w:tc>
          <w:tcPr>
            <w:tcW w:w="6382"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Proceeds from loans</w:t>
            </w:r>
          </w:p>
        </w:tc>
        <w:tc>
          <w:tcPr>
            <w:tcW w:w="346"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3,145</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3,145</w:t>
            </w:r>
          </w:p>
        </w:tc>
      </w:tr>
      <w:tr>
        <w:trPr/>
        <w:tc>
          <w:tcPr>
            <w:tcW w:w="638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Proceeds from Reorganization</w:t>
            </w:r>
          </w:p>
        </w:tc>
        <w:tc>
          <w:tcPr>
            <w:tcW w:w="346"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14,443</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14,443</w:t>
            </w:r>
          </w:p>
        </w:tc>
      </w:tr>
      <w:tr>
        <w:trPr/>
        <w:tc>
          <w:tcPr>
            <w:tcW w:w="6382"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Repayments of loans</w:t>
            </w:r>
          </w:p>
        </w:tc>
        <w:tc>
          <w:tcPr>
            <w:tcW w:w="346"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r>
      <w:tr>
        <w:trPr/>
        <w:tc>
          <w:tcPr>
            <w:tcW w:w="638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elements of lease payment</w:t>
            </w:r>
          </w:p>
        </w:tc>
        <w:tc>
          <w:tcPr>
            <w:tcW w:w="346"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w:t>
            </w:r>
          </w:p>
        </w:tc>
        <w:tc>
          <w:tcPr>
            <w:tcW w:w="34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w:t>
            </w:r>
          </w:p>
        </w:tc>
      </w:tr>
      <w:tr>
        <w:trPr/>
        <w:tc>
          <w:tcPr>
            <w:tcW w:w="6382"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paid</w:t>
            </w:r>
          </w:p>
        </w:tc>
        <w:tc>
          <w:tcPr>
            <w:tcW w:w="346"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w:t>
            </w:r>
          </w:p>
        </w:tc>
        <w:tc>
          <w:tcPr>
            <w:tcW w:w="34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w:t>
            </w:r>
          </w:p>
        </w:tc>
      </w:tr>
      <w:tr>
        <w:trPr/>
        <w:tc>
          <w:tcPr>
            <w:tcW w:w="638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Transaction with (minority) shareholder</w:t>
            </w:r>
          </w:p>
        </w:tc>
        <w:tc>
          <w:tcPr>
            <w:tcW w:w="346" w:type="dxa"/>
            <w:tcBorders/>
            <w:vAlign w:val="center"/>
          </w:tcPr>
          <w:p>
            <w:pPr>
              <w:pStyle w:val="TableContents"/>
              <w:bidi w:val="0"/>
              <w:spacing w:before="0" w:after="0"/>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(10,939)</w:t>
            </w:r>
          </w:p>
        </w:tc>
        <w:tc>
          <w:tcPr>
            <w:tcW w:w="34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(10,939)</w:t>
            </w:r>
          </w:p>
        </w:tc>
      </w:tr>
      <w:tr>
        <w:trPr/>
        <w:tc>
          <w:tcPr>
            <w:tcW w:w="6382"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changes</w:t>
            </w:r>
          </w:p>
        </w:tc>
        <w:tc>
          <w:tcPr>
            <w:tcW w:w="346" w:type="dxa"/>
            <w:tcBorders/>
            <w:shd w:fill="CCEEFF" w:val="clear"/>
            <w:vAlign w:val="center"/>
          </w:tcPr>
          <w:p>
            <w:pPr>
              <w:pStyle w:val="TableContents"/>
              <w:bidi w:val="0"/>
              <w:spacing w:before="0" w:after="0"/>
              <w:ind w:left="0" w:right="0" w:hanging="0"/>
              <w:jc w:val="lef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23,016</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993</w:t>
            </w:r>
          </w:p>
        </w:tc>
        <w:tc>
          <w:tcPr>
            <w:tcW w:w="346" w:type="dxa"/>
            <w:tcBorders/>
            <w:shd w:fill="CCEEFF" w:val="cle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24,009</w:t>
            </w:r>
          </w:p>
        </w:tc>
      </w:tr>
      <w:tr>
        <w:trPr/>
        <w:tc>
          <w:tcPr>
            <w:tcW w:w="638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Foreign currency effects</w:t>
            </w:r>
          </w:p>
        </w:tc>
        <w:tc>
          <w:tcPr>
            <w:tcW w:w="346"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6382"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New leases</w:t>
            </w:r>
          </w:p>
        </w:tc>
        <w:tc>
          <w:tcPr>
            <w:tcW w:w="346"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4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r>
      <w:tr>
        <w:trPr/>
        <w:tc>
          <w:tcPr>
            <w:tcW w:w="638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interest</w:t>
            </w:r>
          </w:p>
        </w:tc>
        <w:tc>
          <w:tcPr>
            <w:tcW w:w="346"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21,988</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w:t>
            </w:r>
          </w:p>
        </w:tc>
        <w:tc>
          <w:tcPr>
            <w:tcW w:w="34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22,644</w:t>
            </w:r>
          </w:p>
        </w:tc>
      </w:tr>
      <w:tr>
        <w:trPr/>
        <w:tc>
          <w:tcPr>
            <w:tcW w:w="6382"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Fair value measurement</w:t>
            </w:r>
          </w:p>
        </w:tc>
        <w:tc>
          <w:tcPr>
            <w:tcW w:w="346" w:type="dxa"/>
            <w:tcBorders/>
            <w:shd w:fill="CCEEFF" w:val="clear"/>
            <w:vAlign w:val="center"/>
          </w:tcPr>
          <w:p>
            <w:pPr>
              <w:pStyle w:val="TableContents"/>
              <w:bidi w:val="0"/>
              <w:spacing w:before="0" w:after="0"/>
              <w:ind w:left="0" w:right="0" w:hanging="0"/>
              <w:jc w:val="lef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w:t>
            </w:r>
          </w:p>
        </w:tc>
      </w:tr>
      <w:tr>
        <w:trPr/>
        <w:tc>
          <w:tcPr>
            <w:tcW w:w="6382"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Balance at December 31, 2024</w:t>
            </w:r>
          </w:p>
        </w:tc>
        <w:tc>
          <w:tcPr>
            <w:tcW w:w="346" w:type="dxa"/>
            <w:tcBorders/>
            <w:vAlign w:val="center"/>
          </w:tcPr>
          <w:p>
            <w:pPr>
              <w:pStyle w:val="TableContents"/>
              <w:bidi w:val="0"/>
              <w:spacing w:before="0" w:after="0"/>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77,433</w:t>
            </w:r>
          </w:p>
        </w:tc>
        <w:tc>
          <w:tcPr>
            <w:tcW w:w="34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9,694</w:t>
            </w:r>
          </w:p>
        </w:tc>
        <w:tc>
          <w:tcPr>
            <w:tcW w:w="346" w:type="dxa"/>
            <w:tcBorders/>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87,127</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bookmarkStart w:id="2127" w:name="Tc_oAuM5IbULUKiDJffbCxBNg_4_7"/>
      <w:bookmarkStart w:id="2128" w:name="Tc_INnWmDiQsUCYqKO__MwM_g_4_5"/>
      <w:bookmarkStart w:id="2129" w:name="Tc_SI2NDblAq0mLwbTVJPxqXA_4_2"/>
      <w:bookmarkStart w:id="2130" w:name="Tc_KPIzqaHaZUy0X0hHDPUG5A_4_0"/>
      <w:bookmarkStart w:id="2131" w:name="Tc_y_nW3a3SQ0yKmHu7Vj2tSg_3_7"/>
      <w:bookmarkStart w:id="2132" w:name="Tc_9AATIbWLZ0yx5_xR0BOjdQ_3_5"/>
      <w:bookmarkStart w:id="2133" w:name="Tc_fKLV86ATg0Sw3iY1eEmFOw_3_2"/>
      <w:bookmarkStart w:id="2134" w:name="Tc_VjkRNqy9wUeHUIOwpU-Xvg_3_0"/>
      <w:bookmarkStart w:id="2135" w:name="Tc_BzpQ5ULp2EGV2--OyL3FiA_2_6"/>
      <w:bookmarkStart w:id="2136" w:name="Tc_ghSkpahOME2DOe4CyTT4_A_2_4"/>
      <w:bookmarkStart w:id="2137" w:name="Tc_RUXNi1O9U0eiBCQr6rj3dw_2_2"/>
      <w:bookmarkStart w:id="2138" w:name="Tc_BjbXCLF-iE6TRM5ugoQf7w_2_0"/>
      <w:bookmarkStart w:id="2139" w:name="Tc_XEZLcDr31E-ONV9SBpS85g_1_4"/>
      <w:bookmarkStart w:id="2140" w:name="INVESTMENTINJOINTVENTURES_912288"/>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r>
        <w:rPr>
          <w:rFonts w:ascii="Times New Roman;Times;serif" w:hAnsi="Times New Roman;Times;serif"/>
          <w:b/>
          <w:i w:val="false"/>
          <w:caps w:val="false"/>
          <w:smallCaps w:val="false"/>
          <w:sz w:val="20"/>
        </w:rPr>
        <w:t>35.</w:t>
      </w:r>
      <w:r>
        <w:rPr>
          <w:rFonts w:ascii="Times New Roman;Times;serif" w:hAnsi="Times New Roman;Times;serif"/>
          <w:b/>
          <w:sz w:val="20"/>
        </w:rPr>
        <w:t>EQUITY METHOD INVESTMENTS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SCHMID owns non-controlling interests in the following entities as of December 31, 2025 and 2024. The proportion of ownership interest is the same as the proportion of voting rights held.</w:t>
      </w:r>
    </w:p>
    <w:p>
      <w:pPr>
        <w:pStyle w:val="TextBody"/>
        <w:bidi w:val="0"/>
        <w:spacing w:before="0" w:after="240"/>
        <w:ind w:left="200" w:right="200" w:hanging="0"/>
        <w:jc w:val="both"/>
        <w:rPr/>
      </w:pPr>
      <w:r>
        <w:rPr/>
        <w:t>​</w:t>
      </w:r>
    </w:p>
    <w:tbl>
      <w:tblPr>
        <w:tblW w:w="8528" w:type="dxa"/>
        <w:jc w:val="left"/>
        <w:tblInd w:w="200" w:type="dxa"/>
        <w:tblLayout w:type="fixed"/>
        <w:tblCellMar>
          <w:top w:w="0" w:type="dxa"/>
          <w:left w:w="0" w:type="dxa"/>
          <w:bottom w:w="0" w:type="dxa"/>
          <w:right w:w="0" w:type="dxa"/>
        </w:tblCellMar>
      </w:tblPr>
      <w:tblGrid>
        <w:gridCol w:w="3361"/>
        <w:gridCol w:w="346"/>
        <w:gridCol w:w="1966"/>
        <w:gridCol w:w="346"/>
        <w:gridCol w:w="916"/>
        <w:gridCol w:w="361"/>
        <w:gridCol w:w="916"/>
        <w:gridCol w:w="316"/>
      </w:tblGrid>
      <w:tr>
        <w:trPr/>
        <w:tc>
          <w:tcPr>
            <w:tcW w:w="3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134235" cy="175260"/>
                      <wp:effectExtent l="0" t="0" r="0" b="0"/>
                      <wp:wrapNone/>
                      <wp:docPr id="605" name="Frame603"/>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219710" cy="175260"/>
                      <wp:effectExtent l="0" t="0" r="0" b="0"/>
                      <wp:wrapNone/>
                      <wp:docPr id="606" name="Frame6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1248410" cy="175260"/>
                      <wp:effectExtent l="0" t="0" r="0" b="0"/>
                      <wp:wrapNone/>
                      <wp:docPr id="607" name="Frame605"/>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19710" cy="175260"/>
                      <wp:effectExtent l="0" t="0" r="0" b="0"/>
                      <wp:wrapNone/>
                      <wp:docPr id="608" name="Frame6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581660" cy="175260"/>
                      <wp:effectExtent l="0" t="0" r="0" b="0"/>
                      <wp:wrapNone/>
                      <wp:docPr id="609" name="Frame60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229235" cy="175260"/>
                      <wp:effectExtent l="0" t="0" r="0" b="0"/>
                      <wp:wrapNone/>
                      <wp:docPr id="610" name="Frame60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581660" cy="175260"/>
                      <wp:effectExtent l="0" t="0" r="0" b="0"/>
                      <wp:wrapNone/>
                      <wp:docPr id="611" name="Frame60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00660" cy="175260"/>
                      <wp:effectExtent l="0" t="0" r="0" b="0"/>
                      <wp:wrapNone/>
                      <wp:docPr id="612" name="Frame61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96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left"/>
              <w:rPr/>
            </w:pPr>
            <w:r>
              <w:rPr/>
              <w:t>  ​ ​ ​</w:t>
            </w:r>
          </w:p>
        </w:tc>
        <w:tc>
          <w:tcPr>
            <w:tcW w:w="21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ownership interest</w:t>
            </w:r>
          </w:p>
        </w:tc>
        <w:tc>
          <w:tcPr>
            <w:tcW w:w="316" w:type="dxa"/>
            <w:tcBorders/>
            <w:vAlign w:val="center"/>
          </w:tcPr>
          <w:p>
            <w:pPr>
              <w:pStyle w:val="TableContents"/>
              <w:bidi w:val="0"/>
              <w:spacing w:before="0" w:after="0"/>
              <w:ind w:left="0" w:right="0" w:hanging="0"/>
              <w:jc w:val="center"/>
              <w:rPr/>
            </w:pPr>
            <w:r>
              <w:rPr/>
              <w:t>​</w:t>
            </w:r>
          </w:p>
        </w:tc>
      </w:tr>
      <w:tr>
        <w:trPr/>
        <w:tc>
          <w:tcPr>
            <w:tcW w:w="33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of the entity</w:t>
            </w:r>
          </w:p>
        </w:tc>
        <w:tc>
          <w:tcPr>
            <w:tcW w:w="346" w:type="dxa"/>
            <w:tcBorders/>
            <w:vAlign w:val="center"/>
          </w:tcPr>
          <w:p>
            <w:pPr>
              <w:pStyle w:val="TableContents"/>
              <w:bidi w:val="0"/>
              <w:spacing w:before="0" w:after="0"/>
              <w:ind w:left="0" w:right="0" w:hanging="0"/>
              <w:jc w:val="left"/>
              <w:rPr/>
            </w:pPr>
            <w:r>
              <w:rPr/>
              <w:t>  ​ ​ ​</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Country of incorporation</w:t>
            </w:r>
          </w:p>
        </w:tc>
        <w:tc>
          <w:tcPr>
            <w:tcW w:w="346" w:type="dxa"/>
            <w:tcBorders/>
            <w:vAlign w:val="center"/>
          </w:tcPr>
          <w:p>
            <w:pPr>
              <w:pStyle w:val="TableContents"/>
              <w:bidi w:val="0"/>
              <w:spacing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12/31/2025</w:t>
            </w:r>
          </w:p>
        </w:tc>
        <w:tc>
          <w:tcPr>
            <w:tcW w:w="361" w:type="dxa"/>
            <w:tcBorders/>
            <w:vAlign w:val="center"/>
          </w:tcPr>
          <w:p>
            <w:pPr>
              <w:pStyle w:val="TableContents"/>
              <w:bidi w:val="0"/>
              <w:spacing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12/31/2024</w:t>
            </w:r>
          </w:p>
        </w:tc>
        <w:tc>
          <w:tcPr>
            <w:tcW w:w="316" w:type="dxa"/>
            <w:tcBorders/>
            <w:vAlign w:val="center"/>
          </w:tcPr>
          <w:p>
            <w:pPr>
              <w:pStyle w:val="TableContents"/>
              <w:bidi w:val="0"/>
              <w:spacing w:before="0" w:after="0"/>
              <w:ind w:left="0" w:right="0" w:hanging="0"/>
              <w:jc w:val="center"/>
              <w:rPr/>
            </w:pPr>
            <w:r>
              <w:rPr/>
              <w:t>  ​</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AVACO Korea Co. Ltd. (SAK)</w:t>
            </w:r>
          </w:p>
        </w:tc>
        <w:tc>
          <w:tcPr>
            <w:tcW w:w="346" w:type="dxa"/>
            <w:tcBorders/>
            <w:shd w:fill="CCEEFF" w:val="clear"/>
            <w:vAlign w:val="center"/>
          </w:tcPr>
          <w:p>
            <w:pPr>
              <w:pStyle w:val="TableContents"/>
              <w:bidi w:val="0"/>
              <w:spacing w:before="0" w:after="0"/>
              <w:ind w:left="0" w:right="0" w:hanging="0"/>
              <w:jc w:val="left"/>
              <w:rPr/>
            </w:pPr>
            <w:r>
              <w:rPr/>
              <w:t>​</w:t>
            </w:r>
          </w:p>
        </w:tc>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 Korea</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SCHMID Energy Systems GmbH (SES)</w:t>
            </w:r>
          </w:p>
        </w:tc>
        <w:tc>
          <w:tcPr>
            <w:tcW w:w="346" w:type="dxa"/>
            <w:tcBorders/>
            <w:vAlign w:val="center"/>
          </w:tcPr>
          <w:p>
            <w:pPr>
              <w:pStyle w:val="TableContents"/>
              <w:bidi w:val="0"/>
              <w:spacing w:before="0" w:after="0"/>
              <w:ind w:left="0" w:right="0" w:hanging="0"/>
              <w:jc w:val="left"/>
              <w:rPr/>
            </w:pPr>
            <w:r>
              <w:rPr/>
              <w:t> </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A description of each entity is provided below.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SCHMID AVACO Korea Co. Ltd. (SAK), South Korea is a company that specializes in the sales and marketing of Physical Vapor Etch (“PVE”) and Physical Vapor Deposition (“PVD”) equipment. SCHMID developed many innovative PVE and PVD processes and has access to the major manufacturers for PCB, Substrates and Panel Level Packing. Avaco produces a wide range of equipment, which serves various industries including chip industry, automotive, electronics and telecommunications technology.</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F-47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During 2024, SCHMID and the Pekintas Group based in Istanbul, Turkey, reached an agreement to partner in the design, manufacture and sale of Vanadium Redox Flow Batteries at commercial scale. OC Teknoloji Yatirimlari A.S. (“OCT”) was established by the Pekintas Group to act as the operating company for the venture. On December 17, 2024, SES, SCHMID GmbH, and OCT executed a Share Purchase Agreement (the “SPA”) whereby SCHMID would transfer a 51% ownership interest in SES to OCT in exchange for a payment of €1 million and a 19.9 % ownership interest in OCT. The SES share transfer and payment of €1 million occurred in December 2024. The fair value of the 49% ownership in SES amounted to €1,200 thousand. SCHMID recognized a gain of €3,703 thousand, on the sale to OCT of the 51% interest in SES, which is presented in 2024 in Other Income. The shares in OCT have not been transferred in 2025 and the receivable of €248 thousand was recorded by the Company as of December 31, 2025. In February 2025, a capital increase through OCT reduced SCHMID stake in SES to 48%.</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bookmarkStart w:id="2141" w:name="COMMITMENTSANDCONTINGENCIES_411658"/>
      <w:bookmarkEnd w:id="2141"/>
      <w:r>
        <w:rPr>
          <w:rFonts w:ascii="Times New Roman;Times;serif" w:hAnsi="Times New Roman;Times;serif"/>
          <w:b/>
          <w:i w:val="false"/>
          <w:caps w:val="false"/>
          <w:smallCaps w:val="false"/>
          <w:sz w:val="20"/>
        </w:rPr>
        <w:t>36.</w:t>
      </w:r>
      <w:r>
        <w:rPr>
          <w:rFonts w:ascii="Times New Roman;Times;serif" w:hAnsi="Times New Roman;Times;serif"/>
          <w:b/>
          <w:sz w:val="20"/>
        </w:rPr>
        <w:t>COMMITMENTS AND CONTINGENCIES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As of December 31, 2025, the Company has commitments amounting to €13 thousand (December 31, 2024: €0 thousand) to acquire items of property, plant &amp; equipment.</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bookmarkStart w:id="2142" w:name="RELATEDPARTYDISCLOSURES_850301"/>
      <w:bookmarkEnd w:id="2142"/>
      <w:r>
        <w:rPr>
          <w:rFonts w:ascii="Times New Roman;Times;serif" w:hAnsi="Times New Roman;Times;serif"/>
          <w:b/>
          <w:i w:val="false"/>
          <w:caps w:val="false"/>
          <w:smallCaps w:val="false"/>
          <w:sz w:val="20"/>
        </w:rPr>
        <w:t>37.</w:t>
      </w:r>
      <w:r>
        <w:rPr>
          <w:rFonts w:ascii="Times New Roman;Times;serif" w:hAnsi="Times New Roman;Times;serif"/>
          <w:b/>
          <w:sz w:val="20"/>
        </w:rPr>
        <w:t>RELATED PARTY DISCLOSURES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SCHMID is a listed company with Christian Schmid and Anette Schmid as majority shareholders. Christian Schmid is also the CEO of the Company.</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Transactions with Key Management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Key management personnel are defined as those persons who are responsible for SCHMID´s worldwide operating business, based on their function within SCHMID or the interests of SCHMID. The following individuals belong or belonged to SCHMID´s key management:</w:t>
      </w:r>
    </w:p>
    <w:p>
      <w:pPr>
        <w:pStyle w:val="TextBody"/>
        <w:bidi w:val="0"/>
        <w:spacing w:before="0" w:after="240"/>
        <w:ind w:left="200" w:right="200" w:hanging="0"/>
        <w:jc w:val="both"/>
        <w:rPr/>
      </w:pPr>
      <w:r>
        <w:rPr/>
        <w:t>​</w:t>
      </w:r>
    </w:p>
    <w:tbl>
      <w:tblPr>
        <w:tblW w:w="9545" w:type="dxa"/>
        <w:jc w:val="left"/>
        <w:tblInd w:w="200" w:type="dxa"/>
        <w:tblLayout w:type="fixed"/>
        <w:tblCellMar>
          <w:top w:w="0" w:type="dxa"/>
          <w:left w:w="0" w:type="dxa"/>
          <w:bottom w:w="0" w:type="dxa"/>
          <w:right w:w="0" w:type="dxa"/>
        </w:tblCellMar>
      </w:tblPr>
      <w:tblGrid>
        <w:gridCol w:w="2566"/>
        <w:gridCol w:w="346"/>
        <w:gridCol w:w="2296"/>
        <w:gridCol w:w="346"/>
        <w:gridCol w:w="3991"/>
      </w:tblGrid>
      <w:tr>
        <w:trPr/>
        <w:tc>
          <w:tcPr>
            <w:tcW w:w="25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ind w:left="0" w:right="0" w:hanging="0"/>
              <w:jc w:val="left"/>
              <w:rPr>
                <w:sz w:val="4"/>
                <w:szCs w:val="4"/>
              </w:rPr>
            </w:pPr>
            <w:r>
              <w:rPr>
                <w:sz w:val="4"/>
                <w:szCs w:val="4"/>
              </w:rPr>
            </w:r>
          </w:p>
        </w:tc>
      </w:tr>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1629410" cy="175260"/>
                      <wp:effectExtent l="0" t="0" r="0" b="0"/>
                      <wp:wrapNone/>
                      <wp:docPr id="613" name="Frame611"/>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19710" cy="175260"/>
                      <wp:effectExtent l="0" t="0" r="0" b="0"/>
                      <wp:wrapNone/>
                      <wp:docPr id="614" name="Frame6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1457960" cy="175260"/>
                      <wp:effectExtent l="0" t="0" r="0" b="0"/>
                      <wp:wrapNone/>
                      <wp:docPr id="615" name="Frame613"/>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219710" cy="175260"/>
                      <wp:effectExtent l="0" t="0" r="0" b="0"/>
                      <wp:wrapNone/>
                      <wp:docPr id="616" name="Frame6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534285" cy="175260"/>
                      <wp:effectExtent l="0" t="0" r="0" b="0"/>
                      <wp:wrapNone/>
                      <wp:docPr id="617" name="Frame615"/>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22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Company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3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Function &amp; Member of key management</w:t>
              <w:br/>
              <w:t>since/until</w:t>
            </w:r>
          </w:p>
        </w:tc>
      </w:tr>
      <w:tr>
        <w:trPr/>
        <w:tc>
          <w:tcPr>
            <w:tcW w:w="25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Christian Schmid</w:t>
            </w:r>
          </w:p>
        </w:tc>
        <w:tc>
          <w:tcPr>
            <w:tcW w:w="346" w:type="dxa"/>
            <w:tcBorders/>
            <w:vAlign w:val="center"/>
          </w:tcPr>
          <w:p>
            <w:pPr>
              <w:pStyle w:val="TableContents"/>
              <w:bidi w:val="0"/>
              <w:spacing w:before="0" w:after="0"/>
              <w:ind w:left="0" w:right="0" w:hanging="0"/>
              <w:jc w:val="left"/>
              <w:rPr/>
            </w:pPr>
            <w:r>
              <w:rPr/>
              <w:t>​</w:t>
            </w:r>
          </w:p>
        </w:tc>
        <w:tc>
          <w:tcPr>
            <w:tcW w:w="22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Group N.</w:t>
              <w:br/>
              <w:t>V.Gebr. SCHMID GmbH</w:t>
            </w:r>
          </w:p>
        </w:tc>
        <w:tc>
          <w:tcPr>
            <w:tcW w:w="346" w:type="dxa"/>
            <w:tcBorders/>
            <w:vAlign w:val="center"/>
          </w:tcPr>
          <w:p>
            <w:pPr>
              <w:pStyle w:val="TableContents"/>
              <w:bidi w:val="0"/>
              <w:spacing w:before="0" w:after="0"/>
              <w:ind w:left="0" w:right="0" w:hanging="0"/>
              <w:jc w:val="left"/>
              <w:rPr/>
            </w:pPr>
            <w:r>
              <w:rPr/>
              <w:t>​</w:t>
            </w:r>
          </w:p>
        </w:tc>
        <w:tc>
          <w:tcPr>
            <w:tcW w:w="39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Director of SCHMID</w:t>
              <w:br/>
              <w:t>Group N. V., CEO</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Anette Schmid</w:t>
            </w:r>
          </w:p>
        </w:tc>
        <w:tc>
          <w:tcPr>
            <w:tcW w:w="34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Group N. V.</w:t>
            </w:r>
          </w:p>
        </w:tc>
        <w:tc>
          <w:tcPr>
            <w:tcW w:w="346" w:type="dxa"/>
            <w:tcBorders/>
            <w:vAlign w:val="center"/>
          </w:tcPr>
          <w:p>
            <w:pPr>
              <w:pStyle w:val="TableContents"/>
              <w:bidi w:val="0"/>
              <w:spacing w:before="0" w:after="0"/>
              <w:ind w:left="0" w:right="0" w:hanging="0"/>
              <w:jc w:val="left"/>
              <w:rPr/>
            </w:pPr>
            <w:r>
              <w:rPr/>
              <w:t>​</w:t>
            </w:r>
          </w:p>
        </w:tc>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Non-executive Director</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 Dr. Dr. h.c. Sir Ralf Speth</w:t>
            </w:r>
          </w:p>
        </w:tc>
        <w:tc>
          <w:tcPr>
            <w:tcW w:w="34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Group N. V.</w:t>
            </w:r>
          </w:p>
        </w:tc>
        <w:tc>
          <w:tcPr>
            <w:tcW w:w="346" w:type="dxa"/>
            <w:tcBorders/>
            <w:vAlign w:val="center"/>
          </w:tcPr>
          <w:p>
            <w:pPr>
              <w:pStyle w:val="TableContents"/>
              <w:bidi w:val="0"/>
              <w:spacing w:before="0" w:after="0"/>
              <w:ind w:left="0" w:right="0" w:hanging="0"/>
              <w:jc w:val="left"/>
              <w:rPr/>
            </w:pPr>
            <w:r>
              <w:rPr/>
              <w:t>​</w:t>
            </w:r>
          </w:p>
        </w:tc>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Non-executive Director, Chairman of the Board</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Stefan Berger</w:t>
            </w:r>
          </w:p>
        </w:tc>
        <w:tc>
          <w:tcPr>
            <w:tcW w:w="34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Group N. V.</w:t>
            </w:r>
          </w:p>
        </w:tc>
        <w:tc>
          <w:tcPr>
            <w:tcW w:w="346" w:type="dxa"/>
            <w:tcBorders/>
            <w:vAlign w:val="center"/>
          </w:tcPr>
          <w:p>
            <w:pPr>
              <w:pStyle w:val="TableContents"/>
              <w:bidi w:val="0"/>
              <w:spacing w:before="0" w:after="0"/>
              <w:ind w:left="0" w:right="0" w:hanging="0"/>
              <w:jc w:val="left"/>
              <w:rPr/>
            </w:pPr>
            <w:r>
              <w:rPr/>
              <w:t>​</w:t>
            </w:r>
          </w:p>
        </w:tc>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Non-executive Director</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Boo-Keun Yoon</w:t>
            </w:r>
          </w:p>
        </w:tc>
        <w:tc>
          <w:tcPr>
            <w:tcW w:w="34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Group N. V.</w:t>
            </w:r>
          </w:p>
        </w:tc>
        <w:tc>
          <w:tcPr>
            <w:tcW w:w="346" w:type="dxa"/>
            <w:tcBorders/>
            <w:vAlign w:val="center"/>
          </w:tcPr>
          <w:p>
            <w:pPr>
              <w:pStyle w:val="TableContents"/>
              <w:bidi w:val="0"/>
              <w:spacing w:before="0" w:after="0"/>
              <w:ind w:left="0" w:right="0" w:hanging="0"/>
              <w:jc w:val="left"/>
              <w:rPr/>
            </w:pPr>
            <w:r>
              <w:rPr/>
              <w:t>​</w:t>
            </w:r>
          </w:p>
        </w:tc>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Non-executive Director</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Annedore Streyl</w:t>
            </w:r>
          </w:p>
        </w:tc>
        <w:tc>
          <w:tcPr>
            <w:tcW w:w="34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Group N. V.</w:t>
            </w:r>
          </w:p>
        </w:tc>
        <w:tc>
          <w:tcPr>
            <w:tcW w:w="346" w:type="dxa"/>
            <w:tcBorders/>
            <w:vAlign w:val="center"/>
          </w:tcPr>
          <w:p>
            <w:pPr>
              <w:pStyle w:val="TableContents"/>
              <w:bidi w:val="0"/>
              <w:spacing w:before="0" w:after="0"/>
              <w:ind w:left="0" w:right="0" w:hanging="0"/>
              <w:jc w:val="left"/>
              <w:rPr/>
            </w:pPr>
            <w:r>
              <w:rPr/>
              <w:t>​</w:t>
            </w:r>
          </w:p>
        </w:tc>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Non-executive Director since 27.12.2024</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Julia Natterer</w:t>
            </w:r>
          </w:p>
        </w:tc>
        <w:tc>
          <w:tcPr>
            <w:tcW w:w="34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Group N. V.Gebr.</w:t>
              <w:br/>
              <w:t>SCHMID GmbH</w:t>
            </w:r>
          </w:p>
        </w:tc>
        <w:tc>
          <w:tcPr>
            <w:tcW w:w="346" w:type="dxa"/>
            <w:tcBorders/>
            <w:vAlign w:val="center"/>
          </w:tcPr>
          <w:p>
            <w:pPr>
              <w:pStyle w:val="TableContents"/>
              <w:bidi w:val="0"/>
              <w:spacing w:before="0" w:after="0"/>
              <w:ind w:left="0" w:right="0" w:hanging="0"/>
              <w:jc w:val="left"/>
              <w:rPr/>
            </w:pPr>
            <w:r>
              <w:rPr/>
              <w:t>​</w:t>
            </w:r>
          </w:p>
        </w:tc>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CFO (Chief Financial Officer)</w:t>
              <w:br/>
              <w:t>(SCHMID Group N. V.: until 31.12.2025)</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Roland Rettenmeier</w:t>
            </w:r>
          </w:p>
        </w:tc>
        <w:tc>
          <w:tcPr>
            <w:tcW w:w="34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Gebr. SCHMID GmbH</w:t>
            </w:r>
          </w:p>
        </w:tc>
        <w:tc>
          <w:tcPr>
            <w:tcW w:w="346" w:type="dxa"/>
            <w:tcBorders/>
            <w:vAlign w:val="center"/>
          </w:tcPr>
          <w:p>
            <w:pPr>
              <w:pStyle w:val="TableContents"/>
              <w:bidi w:val="0"/>
              <w:spacing w:before="0" w:after="0"/>
              <w:ind w:left="0" w:right="0" w:hanging="0"/>
              <w:jc w:val="left"/>
              <w:rPr/>
            </w:pPr>
            <w:r>
              <w:rPr/>
              <w:t>​</w:t>
            </w:r>
          </w:p>
        </w:tc>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CSO (Chief Sales Officer) since 01.03.2025</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Helmut Rauch</w:t>
            </w:r>
          </w:p>
        </w:tc>
        <w:tc>
          <w:tcPr>
            <w:tcW w:w="34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Gebr. SCHMID GmbH</w:t>
            </w:r>
          </w:p>
        </w:tc>
        <w:tc>
          <w:tcPr>
            <w:tcW w:w="346" w:type="dxa"/>
            <w:tcBorders/>
            <w:vAlign w:val="center"/>
          </w:tcPr>
          <w:p>
            <w:pPr>
              <w:pStyle w:val="TableContents"/>
              <w:bidi w:val="0"/>
              <w:spacing w:before="0" w:after="0"/>
              <w:ind w:left="0" w:right="0" w:hanging="0"/>
              <w:jc w:val="left"/>
              <w:rPr/>
            </w:pPr>
            <w:r>
              <w:rPr/>
              <w:t>​</w:t>
            </w:r>
          </w:p>
        </w:tc>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COO (Chief Operational Officer)</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Dian Zhang</w:t>
            </w:r>
          </w:p>
        </w:tc>
        <w:tc>
          <w:tcPr>
            <w:tcW w:w="34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Gebr. SCHMID GmbH</w:t>
            </w:r>
          </w:p>
        </w:tc>
        <w:tc>
          <w:tcPr>
            <w:tcW w:w="346" w:type="dxa"/>
            <w:tcBorders/>
            <w:vAlign w:val="center"/>
          </w:tcPr>
          <w:p>
            <w:pPr>
              <w:pStyle w:val="TableContents"/>
              <w:bidi w:val="0"/>
              <w:spacing w:before="0" w:after="0"/>
              <w:ind w:left="0" w:right="0" w:hanging="0"/>
              <w:jc w:val="left"/>
              <w:rPr/>
            </w:pPr>
            <w:r>
              <w:rPr/>
              <w:t>​</w:t>
            </w:r>
          </w:p>
        </w:tc>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CTO (Chief Technology Officer)</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Widmann</w:t>
            </w:r>
          </w:p>
        </w:tc>
        <w:tc>
          <w:tcPr>
            <w:tcW w:w="34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Gebr. SCHMID GmbH</w:t>
            </w:r>
          </w:p>
        </w:tc>
        <w:tc>
          <w:tcPr>
            <w:tcW w:w="346" w:type="dxa"/>
            <w:tcBorders/>
            <w:vAlign w:val="center"/>
          </w:tcPr>
          <w:p>
            <w:pPr>
              <w:pStyle w:val="TableContents"/>
              <w:bidi w:val="0"/>
              <w:spacing w:before="0" w:after="0"/>
              <w:ind w:left="0" w:right="0" w:hanging="0"/>
              <w:jc w:val="left"/>
              <w:rPr/>
            </w:pPr>
            <w:r>
              <w:rPr/>
              <w:t>​</w:t>
            </w:r>
          </w:p>
        </w:tc>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CIO (Chief Innovation Officer)</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annual remuneration and related compensation costs recognized as expense during the reporting period only includes short-term employee benefits and amounts to €1,906 thousand in 2025 (2024: €1,428 thousand, 2023: €1,562 thousand). Short-term benefits include salaries, bonus, and other benefits such as medical, death and disability coverage, Company car and other usual facilities as applicable. The outstanding balances also include the liability in connection with the defined benefit obligation.</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F-48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bookmarkStart w:id="2143" w:name="Tc_iF-smJjsrkSm4RiESsnubA_4_0"/>
      <w:bookmarkStart w:id="2144" w:name="Tc_Ym4Njhj_LUeuF0eiW-WWQQ_3_0"/>
      <w:bookmarkStart w:id="2145" w:name="Tc_psyRY_aVTECVCh0Azof_Tg_2_0"/>
      <w:bookmarkStart w:id="2146" w:name="Tc_1xHRbSNOVkuLIaAefBCO1g_1_4"/>
      <w:bookmarkStart w:id="2147" w:name="Tc_PBYY7opJ6kuTZ7S9-JzLuw_1_2"/>
      <w:bookmarkStart w:id="2148" w:name="Tc_ShA6mlcf4USLSh78M8W77Q_1_0"/>
      <w:bookmarkStart w:id="2149" w:name="_8b7036a1_53b1_49ab_a19d_769f538ca524"/>
      <w:bookmarkStart w:id="2150" w:name="Tc_rH9SDzsMW0qwrHdS4idndw_5_0"/>
      <w:bookmarkStart w:id="2151" w:name="Tc_T6Iy3WQPOkCzAQCMLR25rg_4_0"/>
      <w:bookmarkStart w:id="2152" w:name="Tc_jzspyHBjb0iis2Bkl_69jw_3_0"/>
      <w:bookmarkStart w:id="2153" w:name="Tc_4sXFwMVXeES5lQo0Zkh0pA_2_0"/>
      <w:bookmarkStart w:id="2154" w:name="Tc_EBvaJ_jfpkOQ4g3NFCaQQg_1_4"/>
      <w:bookmarkStart w:id="2155" w:name="Tc_a7wO_2L8dk6Gkodb-7ZmhQ_1_2"/>
      <w:bookmarkStart w:id="2156" w:name="Tc_nGrq3HKsIkCU4aS_copqFg_1_0"/>
      <w:bookmarkStart w:id="2157" w:name="_55bfe0c0_8bee_4650_8492_3dab3cd6c88e"/>
      <w:bookmarkStart w:id="2158" w:name="Tc_DzqRCxv78UGDkc73gQ9eGQ_20_0"/>
      <w:bookmarkStart w:id="2159" w:name="Tc_P8dpmC29vEq4l2WfJcxtqg_19_0"/>
      <w:bookmarkStart w:id="2160" w:name="Tc_Lxy8wxI7fUisHsy1RryI7w_18_0"/>
      <w:bookmarkStart w:id="2161" w:name="Tc_0D1BF0RAgUy3B-wO5oUe2Q_16_0"/>
      <w:bookmarkStart w:id="2162" w:name="Tc_GMROzAvE2E2wTH4Mjl4BKA_15_4"/>
      <w:bookmarkStart w:id="2163" w:name="Tc_ocodMgGV3kSs1I2G6MMtDw_15_0"/>
      <w:bookmarkStart w:id="2164" w:name="Tc_lQydYQW8QUeyiAd3vE-iDw_14_0"/>
      <w:bookmarkStart w:id="2165" w:name="Tc_OB5A_UB4U0WobizU68W2nQ_12_0"/>
      <w:bookmarkStart w:id="2166" w:name="Tc_-EqSPoSarkq4hIBxCREZpw_11_4"/>
      <w:bookmarkStart w:id="2167" w:name="Tc_8tsrn_ogOk-SgnKdcU7EYw_11_0"/>
      <w:bookmarkStart w:id="2168" w:name="Tc_MSGo6Yyes0ShAqBchZFpZg_10_0"/>
      <w:bookmarkStart w:id="2169" w:name="Tc_sYTlYbupUU6S4P1Hs9JGog_8_0"/>
      <w:bookmarkStart w:id="2170" w:name="Tc_O_8ooxzqhUK0Ibg9WWwJuQ_7_0"/>
      <w:bookmarkStart w:id="2171" w:name="Tc_IxHpfyYOZEquX1sTOIRetw_6_2"/>
      <w:bookmarkStart w:id="2172" w:name="Tc_UAm-65ejkEuoDVFeEAtXng_6_0"/>
      <w:bookmarkStart w:id="2173" w:name="Tc_Vb0bb8rI2EC-fX8Ze26P8g_5_0"/>
      <w:bookmarkStart w:id="2174" w:name="Tc_U_klXmfCZkStGPFbloNJEQ_3_2"/>
      <w:bookmarkStart w:id="2175" w:name="Tc_KislG6TNuku5KJIxA_lYEA_3_0"/>
      <w:bookmarkStart w:id="2176" w:name="Tc_sbhzMXznuUOPJ-AChlgvpQ_2_0"/>
      <w:bookmarkStart w:id="2177" w:name="Tc_Bz89jAOZOE23QF-BDm8Jvw_1_6"/>
      <w:bookmarkStart w:id="2178" w:name="Tc_EBM1RvTgn0CoVpJ3rXBS1w_1_4"/>
      <w:bookmarkStart w:id="2179" w:name="Tc__CG02Al5RkivrrSYLzU5_Q_1_2"/>
      <w:bookmarkStart w:id="2180" w:name="Tc_O_fEYT_GRkO0QRPH8R8kcA_1_0"/>
      <w:bookmarkStart w:id="2181" w:name="_8ebc73fb_e8c3_41bd_9811_65b1e2374859"/>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r>
        <w:rPr>
          <w:rFonts w:ascii="Times New Roman;Times;serif" w:hAnsi="Times New Roman;Times;serif"/>
          <w:b/>
          <w:sz w:val="20"/>
        </w:rPr>
        <w:t>Transactions with related parties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addition to the entities included in the consolidated financial statements and the at equity investments (see note 2. Basis of Presentation), SCHMID maintains relationships with other related parties. Related parties comprise the following entities (not individuals):</w:t>
      </w:r>
    </w:p>
    <w:tbl>
      <w:tblPr>
        <w:tblW w:w="8133" w:type="dxa"/>
        <w:jc w:val="left"/>
        <w:tblInd w:w="200" w:type="dxa"/>
        <w:tblLayout w:type="fixed"/>
        <w:tblCellMar>
          <w:top w:w="0" w:type="dxa"/>
          <w:left w:w="0" w:type="dxa"/>
          <w:bottom w:w="0" w:type="dxa"/>
          <w:right w:w="0" w:type="dxa"/>
        </w:tblCellMar>
      </w:tblPr>
      <w:tblGrid>
        <w:gridCol w:w="3541"/>
        <w:gridCol w:w="346"/>
        <w:gridCol w:w="4246"/>
      </w:tblGrid>
      <w:tr>
        <w:trPr/>
        <w:tc>
          <w:tcPr>
            <w:tcW w:w="35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46" w:type="dxa"/>
            <w:tcBorders/>
            <w:vAlign w:val="center"/>
          </w:tcPr>
          <w:p>
            <w:pPr>
              <w:pStyle w:val="TableContents"/>
              <w:bidi w:val="0"/>
              <w:spacing w:before="0" w:after="283"/>
              <w:ind w:left="0" w:right="0" w:hanging="0"/>
              <w:jc w:val="left"/>
              <w:rPr>
                <w:sz w:val="4"/>
                <w:szCs w:val="4"/>
              </w:rPr>
            </w:pPr>
            <w:r>
              <w:rPr>
                <w:sz w:val="4"/>
                <w:szCs w:val="4"/>
              </w:rPr>
            </w:r>
          </w:p>
        </w:tc>
      </w:tr>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2248535" cy="175260"/>
                      <wp:effectExtent l="0" t="0" r="0" b="0"/>
                      <wp:wrapNone/>
                      <wp:docPr id="618" name="Frame616"/>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2696210" cy="175260"/>
                      <wp:effectExtent l="0" t="0" r="0" b="0"/>
                      <wp:wrapNone/>
                      <wp:docPr id="619" name="Frame617"/>
                      <a:graphic xmlns:a="http://schemas.openxmlformats.org/drawingml/2006/main">
                        <a:graphicData uri="http://schemas.microsoft.com/office/word/2010/wordprocessingShape">
                          <wps:wsp>
                            <wps:cNvSpPr txBox="1"/>
                            <wps:spPr>
                              <a:xfrm>
                                <a:off x="0" y="0"/>
                                <a:ext cx="269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Company</w:t>
            </w:r>
          </w:p>
        </w:tc>
        <w:tc>
          <w:tcPr>
            <w:tcW w:w="346" w:type="dxa"/>
            <w:tcBorders/>
            <w:vAlign w:val="center"/>
          </w:tcPr>
          <w:p>
            <w:pPr>
              <w:pStyle w:val="TableContents"/>
              <w:bidi w:val="0"/>
              <w:spacing w:before="0" w:after="0"/>
              <w:ind w:left="0" w:right="0" w:hanging="0"/>
              <w:jc w:val="left"/>
              <w:rPr/>
            </w:pPr>
            <w:r>
              <w:rPr/>
              <w:t>  ​ ​ ​</w:t>
            </w:r>
          </w:p>
        </w:tc>
        <w:tc>
          <w:tcPr>
            <w:tcW w:w="4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Relationship</w:t>
            </w:r>
          </w:p>
        </w:tc>
      </w:tr>
      <w:tr>
        <w:trPr/>
        <w:tc>
          <w:tcPr>
            <w:tcW w:w="3541"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Avaco Korea, Co. Ltd. (SAK)</w:t>
            </w:r>
          </w:p>
        </w:tc>
        <w:tc>
          <w:tcPr>
            <w:tcW w:w="346" w:type="dxa"/>
            <w:tcBorders/>
            <w:vAlign w:val="center"/>
          </w:tcPr>
          <w:p>
            <w:pPr>
              <w:pStyle w:val="TableContents"/>
              <w:bidi w:val="0"/>
              <w:spacing w:before="0" w:after="0"/>
              <w:ind w:left="0" w:right="0" w:hanging="0"/>
              <w:jc w:val="left"/>
              <w:rPr/>
            </w:pPr>
            <w:r>
              <w:rPr/>
              <w:t>​</w:t>
            </w:r>
          </w:p>
        </w:tc>
        <w:tc>
          <w:tcPr>
            <w:tcW w:w="42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investee</w:t>
            </w:r>
          </w:p>
        </w:tc>
      </w:tr>
      <w:tr>
        <w:trPr/>
        <w:tc>
          <w:tcPr>
            <w:tcW w:w="35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SCHMID Energy Systems GmbH </w:t>
            </w:r>
          </w:p>
        </w:tc>
        <w:tc>
          <w:tcPr>
            <w:tcW w:w="346"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investee</w:t>
            </w:r>
          </w:p>
        </w:tc>
      </w:tr>
      <w:tr>
        <w:trPr/>
        <w:tc>
          <w:tcPr>
            <w:tcW w:w="35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Schmid Verwaltungs GmbH </w:t>
            </w:r>
          </w:p>
        </w:tc>
        <w:tc>
          <w:tcPr>
            <w:tcW w:w="346"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Controlled by Christian Schmid</w:t>
            </w:r>
          </w:p>
        </w:tc>
      </w:tr>
      <w:tr>
        <w:trPr/>
        <w:tc>
          <w:tcPr>
            <w:tcW w:w="35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 Schmid Beteiligungsverwaltung GmbH</w:t>
            </w:r>
          </w:p>
        </w:tc>
        <w:tc>
          <w:tcPr>
            <w:tcW w:w="346"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Controlled by Christian Schmid</w:t>
            </w:r>
          </w:p>
        </w:tc>
      </w:tr>
      <w:tr>
        <w:trPr/>
        <w:tc>
          <w:tcPr>
            <w:tcW w:w="35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 Schmid Beteiligung GmbH &amp; Co. KG</w:t>
            </w:r>
          </w:p>
        </w:tc>
        <w:tc>
          <w:tcPr>
            <w:tcW w:w="346"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Controlled by Christian Schmid</w:t>
            </w:r>
          </w:p>
        </w:tc>
      </w:tr>
      <w:tr>
        <w:trPr/>
        <w:tc>
          <w:tcPr>
            <w:tcW w:w="35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Aequitas Verwaltung GmbH</w:t>
            </w:r>
          </w:p>
        </w:tc>
        <w:tc>
          <w:tcPr>
            <w:tcW w:w="346"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Controlled by Anette Schmid</w:t>
            </w:r>
          </w:p>
        </w:tc>
      </w:tr>
      <w:tr>
        <w:trPr/>
        <w:tc>
          <w:tcPr>
            <w:tcW w:w="35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Aequitas GmbH &amp; Co. KG</w:t>
            </w:r>
          </w:p>
        </w:tc>
        <w:tc>
          <w:tcPr>
            <w:tcW w:w="346"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Controlled by Anette Schmid</w:t>
            </w:r>
          </w:p>
        </w:tc>
      </w:tr>
      <w:tr>
        <w:trPr/>
        <w:tc>
          <w:tcPr>
            <w:tcW w:w="35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Grundstücksverwaltung GmbH</w:t>
            </w:r>
          </w:p>
        </w:tc>
        <w:tc>
          <w:tcPr>
            <w:tcW w:w="346"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Jointly controlled by Christian and Anette Schmid</w:t>
            </w:r>
          </w:p>
        </w:tc>
      </w:tr>
      <w:tr>
        <w:trPr/>
        <w:tc>
          <w:tcPr>
            <w:tcW w:w="35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SCHMID Grundstücke GmbH &amp; Co. KG</w:t>
            </w:r>
          </w:p>
        </w:tc>
        <w:tc>
          <w:tcPr>
            <w:tcW w:w="346"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Jointly controlled by Christian and Anette Schmid</w:t>
            </w:r>
          </w:p>
        </w:tc>
      </w:tr>
    </w:tbl>
    <w:p>
      <w:pPr>
        <w:pStyle w:val="TextBody"/>
        <w:bidi w:val="0"/>
        <w:spacing w:before="0" w:after="0"/>
        <w:ind w:left="200" w:right="200" w:hanging="0"/>
        <w:jc w:val="left"/>
        <w:rPr/>
      </w:pPr>
      <w:r>
        <w:rPr/>
        <w: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following transactions are proceeded with related parties.</w:t>
      </w:r>
    </w:p>
    <w:p>
      <w:pPr>
        <w:pStyle w:val="TextBody"/>
        <w:bidi w:val="0"/>
        <w:spacing w:before="0" w:after="240"/>
        <w:ind w:left="200" w:right="200" w:hanging="0"/>
        <w:jc w:val="both"/>
        <w:rPr/>
      </w:pPr>
      <w:r>
        <w:rPr/>
        <w:t>​</w:t>
      </w:r>
    </w:p>
    <w:tbl>
      <w:tblPr>
        <w:tblW w:w="6352" w:type="dxa"/>
        <w:jc w:val="left"/>
        <w:tblInd w:w="200" w:type="dxa"/>
        <w:tblLayout w:type="fixed"/>
        <w:tblCellMar>
          <w:top w:w="0" w:type="dxa"/>
          <w:left w:w="0" w:type="dxa"/>
          <w:bottom w:w="0" w:type="dxa"/>
          <w:right w:w="0" w:type="dxa"/>
        </w:tblCellMar>
      </w:tblPr>
      <w:tblGrid>
        <w:gridCol w:w="3451"/>
        <w:gridCol w:w="346"/>
        <w:gridCol w:w="571"/>
        <w:gridCol w:w="346"/>
        <w:gridCol w:w="571"/>
        <w:gridCol w:w="346"/>
        <w:gridCol w:w="721"/>
      </w:tblGrid>
      <w:tr>
        <w:trPr/>
        <w:tc>
          <w:tcPr>
            <w:tcW w:w="34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2191385" cy="175260"/>
                      <wp:effectExtent l="0" t="0" r="0" b="0"/>
                      <wp:wrapNone/>
                      <wp:docPr id="620" name="Frame618"/>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219710" cy="175260"/>
                      <wp:effectExtent l="0" t="0" r="0" b="0"/>
                      <wp:wrapNone/>
                      <wp:docPr id="621" name="Frame6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362585" cy="175260"/>
                      <wp:effectExtent l="0" t="0" r="0" b="0"/>
                      <wp:wrapNone/>
                      <wp:docPr id="622" name="Frame6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219710" cy="175260"/>
                      <wp:effectExtent l="0" t="0" r="0" b="0"/>
                      <wp:wrapNone/>
                      <wp:docPr id="623" name="Frame6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362585" cy="175260"/>
                      <wp:effectExtent l="0" t="0" r="0" b="0"/>
                      <wp:wrapNone/>
                      <wp:docPr id="624" name="Frame62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219710" cy="175260"/>
                      <wp:effectExtent l="0" t="0" r="0" b="0"/>
                      <wp:wrapNone/>
                      <wp:docPr id="625" name="Frame6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457835" cy="175260"/>
                      <wp:effectExtent l="0" t="0" r="0" b="0"/>
                      <wp:wrapNone/>
                      <wp:docPr id="626" name="Frame62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5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income on loans granted to</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r>
      <w:tr>
        <w:trPr/>
        <w:tc>
          <w:tcPr>
            <w:tcW w:w="34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Shareholder</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w:t>
            </w:r>
          </w:p>
        </w:tc>
      </w:tr>
      <w:tr>
        <w:trPr/>
        <w:tc>
          <w:tcPr>
            <w:tcW w:w="3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expense on loans received from</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r>
      <w:tr>
        <w:trPr/>
        <w:tc>
          <w:tcPr>
            <w:tcW w:w="345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Key management personnel</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4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related parties</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w:t>
            </w:r>
          </w:p>
        </w:tc>
      </w:tr>
      <w:tr>
        <w:trPr/>
        <w:tc>
          <w:tcPr>
            <w:tcW w:w="345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Shareholder</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Purchases of goods or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34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Equity method investees</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45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related parties</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Sale of goods or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34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Equity method investees</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w:t>
            </w:r>
          </w:p>
        </w:tc>
      </w:tr>
      <w:tr>
        <w:trPr/>
        <w:tc>
          <w:tcPr>
            <w:tcW w:w="345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related parties</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11,801</w: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Salary and Bonus</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34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Shareholder</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w:t>
            </w:r>
          </w:p>
        </w:tc>
      </w:tr>
      <w:tr>
        <w:trPr/>
        <w:tc>
          <w:tcPr>
            <w:tcW w:w="345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Key management personnel</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1,562</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tbl>
      <w:tblPr>
        <w:tblW w:w="5525" w:type="dxa"/>
        <w:jc w:val="left"/>
        <w:tblInd w:w="200" w:type="dxa"/>
        <w:tblLayout w:type="fixed"/>
        <w:tblCellMar>
          <w:top w:w="0" w:type="dxa"/>
          <w:left w:w="0" w:type="dxa"/>
          <w:bottom w:w="0" w:type="dxa"/>
          <w:right w:w="0" w:type="dxa"/>
        </w:tblCellMar>
      </w:tblPr>
      <w:tblGrid>
        <w:gridCol w:w="2956"/>
        <w:gridCol w:w="346"/>
        <w:gridCol w:w="916"/>
        <w:gridCol w:w="346"/>
        <w:gridCol w:w="961"/>
      </w:tblGrid>
      <w:tr>
        <w:trPr/>
        <w:tc>
          <w:tcPr>
            <w:tcW w:w="29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r>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1877060" cy="175260"/>
                      <wp:effectExtent l="0" t="0" r="0" b="0"/>
                      <wp:wrapNone/>
                      <wp:docPr id="627" name="Frame625"/>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219710" cy="175260"/>
                      <wp:effectExtent l="0" t="0" r="0" b="0"/>
                      <wp:wrapNone/>
                      <wp:docPr id="628" name="Frame6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581660" cy="175260"/>
                      <wp:effectExtent l="0" t="0" r="0" b="0"/>
                      <wp:wrapNone/>
                      <wp:docPr id="629" name="Frame62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219710" cy="175260"/>
                      <wp:effectExtent l="0" t="0" r="0" b="0"/>
                      <wp:wrapNone/>
                      <wp:docPr id="630" name="Frame6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610235" cy="175260"/>
                      <wp:effectExtent l="0" t="0" r="0" b="0"/>
                      <wp:wrapNone/>
                      <wp:docPr id="631" name="Frame62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12/31/2025</w:t>
            </w:r>
          </w:p>
        </w:tc>
        <w:tc>
          <w:tcPr>
            <w:tcW w:w="346" w:type="dxa"/>
            <w:tcBorders/>
            <w:vAlign w:val="center"/>
          </w:tcPr>
          <w:p>
            <w:pPr>
              <w:pStyle w:val="TableContents"/>
              <w:bidi w:val="0"/>
              <w:spacing w:before="0" w:after="0"/>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12/31/2024</w:t>
            </w:r>
          </w:p>
        </w:tc>
      </w:tr>
      <w:tr>
        <w:trPr/>
        <w:tc>
          <w:tcPr>
            <w:tcW w:w="295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Outstanding balances -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r>
      <w:tr>
        <w:trPr/>
        <w:tc>
          <w:tcPr>
            <w:tcW w:w="29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Shareholder</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25,611</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29,486</w:t>
            </w:r>
          </w:p>
        </w:tc>
      </w:tr>
      <w:tr>
        <w:trPr/>
        <w:tc>
          <w:tcPr>
            <w:tcW w:w="295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Equity method investees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2,663</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r>
      <w:tr>
        <w:trPr/>
        <w:tc>
          <w:tcPr>
            <w:tcW w:w="29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related parties</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26,609</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16,973</w:t>
            </w:r>
          </w:p>
        </w:tc>
      </w:tr>
    </w:tbl>
    <w:p>
      <w:pPr>
        <w:pStyle w:val="TextBody"/>
        <w:bidi w:val="0"/>
        <w:spacing w:before="0" w:after="0"/>
        <w:ind w:left="200" w:right="200" w:hanging="0"/>
        <w:jc w:val="left"/>
        <w:rPr/>
      </w:pPr>
      <w:r>
        <w:rPr/>
        <w: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Liabilities to other related parties include financial liabilities related to the Black Forest term loan. For further information, please see note 29. Non-current and current financial liabilities.</w:t>
      </w:r>
    </w:p>
    <w:p>
      <w:pPr>
        <w:pStyle w:val="TextBody"/>
        <w:bidi w:val="0"/>
        <w:spacing w:before="0" w:after="0"/>
        <w:ind w:left="200" w:right="200" w:hanging="0"/>
        <w:jc w:val="left"/>
        <w:rPr/>
      </w:pPr>
      <w:r>
        <w:rPr/>
        <w:t>​</w:t>
      </w:r>
    </w:p>
    <w:tbl>
      <w:tblPr>
        <w:tblW w:w="5660" w:type="dxa"/>
        <w:jc w:val="left"/>
        <w:tblInd w:w="200" w:type="dxa"/>
        <w:tblLayout w:type="fixed"/>
        <w:tblCellMar>
          <w:top w:w="0" w:type="dxa"/>
          <w:left w:w="0" w:type="dxa"/>
          <w:bottom w:w="0" w:type="dxa"/>
          <w:right w:w="0" w:type="dxa"/>
        </w:tblCellMar>
      </w:tblPr>
      <w:tblGrid>
        <w:gridCol w:w="3091"/>
        <w:gridCol w:w="346"/>
        <w:gridCol w:w="916"/>
        <w:gridCol w:w="346"/>
        <w:gridCol w:w="961"/>
      </w:tblGrid>
      <w:tr>
        <w:trPr/>
        <w:tc>
          <w:tcPr>
            <w:tcW w:w="30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r>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1962785" cy="175260"/>
                      <wp:effectExtent l="0" t="0" r="0" b="0"/>
                      <wp:wrapNone/>
                      <wp:docPr id="632" name="Frame630"/>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219710" cy="175260"/>
                      <wp:effectExtent l="0" t="0" r="0" b="0"/>
                      <wp:wrapNone/>
                      <wp:docPr id="633" name="Frame6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581660" cy="175260"/>
                      <wp:effectExtent l="0" t="0" r="0" b="0"/>
                      <wp:wrapNone/>
                      <wp:docPr id="634" name="Frame63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219710" cy="175260"/>
                      <wp:effectExtent l="0" t="0" r="0" b="0"/>
                      <wp:wrapNone/>
                      <wp:docPr id="635" name="Frame6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610235" cy="175260"/>
                      <wp:effectExtent l="0" t="0" r="0" b="0"/>
                      <wp:wrapNone/>
                      <wp:docPr id="636" name="Frame63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 thousand</w:t>
            </w:r>
          </w:p>
        </w:tc>
        <w:tc>
          <w:tcPr>
            <w:tcW w:w="346" w:type="dxa"/>
            <w:tcBorders/>
            <w:vAlign w:val="center"/>
          </w:tcPr>
          <w:p>
            <w:pPr>
              <w:pStyle w:val="TableContents"/>
              <w:bidi w:val="0"/>
              <w:spacing w:before="0" w:after="0"/>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12/31/2025</w:t>
            </w:r>
          </w:p>
        </w:tc>
        <w:tc>
          <w:tcPr>
            <w:tcW w:w="346" w:type="dxa"/>
            <w:tcBorders/>
            <w:vAlign w:val="center"/>
          </w:tcPr>
          <w:p>
            <w:pPr>
              <w:pStyle w:val="TableContents"/>
              <w:bidi w:val="0"/>
              <w:spacing w:before="0" w:after="0"/>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12/31/2024</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Outstanding balances - Receivables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Equity method investees</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4,261</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4,068</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related parties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1,286</w:t>
            </w:r>
          </w:p>
        </w:tc>
      </w:tr>
    </w:tbl>
    <w:p>
      <w:pPr>
        <w:pStyle w:val="TextBody"/>
        <w:bidi w:val="0"/>
        <w:spacing w:before="0" w:after="0"/>
        <w:ind w:left="200" w:right="200" w:hanging="0"/>
        <w:jc w:val="left"/>
        <w:rPr/>
      </w:pPr>
      <w:r>
        <w:rPr/>
        <w: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significant increase in Sale of goods or services as well as in Outstanding balances - Liabilities in 2023 are mainly due to the sale and leaseback transaction (for further information please see note 21. Leases).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F-49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bookmarkStart w:id="2182" w:name="EVENTSAFTERTHEREPORTINGPERIOD_634714"/>
      <w:bookmarkEnd w:id="2182"/>
      <w:r>
        <w:rPr>
          <w:rFonts w:ascii="Times New Roman;Times;serif" w:hAnsi="Times New Roman;Times;serif"/>
          <w:b/>
          <w:i w:val="false"/>
          <w:caps w:val="false"/>
          <w:smallCaps w:val="false"/>
          <w:sz w:val="20"/>
        </w:rPr>
        <w:t>38.</w:t>
      </w:r>
      <w:r>
        <w:rPr>
          <w:rFonts w:ascii="Times New Roman;Times;serif" w:hAnsi="Times New Roman;Times;serif"/>
          <w:b/>
          <w:sz w:val="20"/>
        </w:rPr>
        <w:t>EVENTS AFTER THE REPORTING PERIOD</w:t>
      </w:r>
    </w:p>
    <w:p>
      <w:pPr>
        <w:pStyle w:val="TextBody"/>
        <w:bidi w:val="0"/>
        <w:spacing w:before="0" w:after="240"/>
        <w:ind w:left="200" w:right="200" w:hanging="0"/>
        <w:jc w:val="both"/>
        <w:rPr>
          <w:rFonts w:ascii="Times New Roman;Times;serif" w:hAnsi="Times New Roman;Times;serif"/>
          <w:sz w:val="20"/>
        </w:rPr>
      </w:pPr>
      <w:r>
        <w:rPr>
          <w:rFonts w:ascii="Times New Roman;Times;serif" w:hAnsi="Times New Roman;Times;serif"/>
          <w:sz w:val="20"/>
        </w:rPr>
        <w:t>$30 Million 7.00% Senior Convertible Note due 2028</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January 18, 2026 SCHMID entered into an investment agreement with an institutional investor, Linden Advisors LP, to sell, and on January 21, 2026 sold senior convertible notes in an aggregate principal amount of $30.0 million convertible into ordinary shares of the Company together with the issuance of warrants to purchase ordinary shares of the Company in a private placement to the Investor. The notes bear interest at a rate of 7% per annum, compounded quarterly and payable in kind, subject to the Company’s option to elect cash settlement upon prior notice. The notes have a two</w:t>
        <w:noBreakHyphen/>
        <w:t>year maturity and will mature on January 21, 2028, unless previously converted into ordinary shares of the Company. The notes were issued at 98% of principal amount pursuant to an indenture and were structured to be funded in two tranches: (i) the first tranche of $15.0 million was funded on January 21, 2026 and (ii) parts of the second tranche of $15.0 million was funded on March 5, 2026.</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Following the issuance of the second tranche, the purchasers of the convertible notes issued six separate conversion notices, converting an aggregate principal amount of $12 million into 2,197,898 new ordinary shares of the Company.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a result of these conversions, the total number of outstanding shares increased to 57,800,864. This number includes 5,000,000 non</w:t>
        <w:noBreakHyphen/>
        <w:t>voting earn</w:t>
        <w:noBreakHyphen/>
        <w:t>out shares held by Anette Schmid and Christian Schmid, which are subject to cancellation on April 30, 2027, should the share price not reach $15.00 with respect to 2,500,000 earn</w:t>
        <w:noBreakHyphen/>
        <w:t>out shares, or $18.00 with respect to the remaining 2,500,000 earn</w:t>
        <w:noBreakHyphen/>
        <w:t>out shares.</w:t>
      </w:r>
    </w:p>
    <w:p>
      <w:pPr>
        <w:pStyle w:val="TextBody"/>
        <w:bidi w:val="0"/>
        <w:spacing w:before="0" w:after="240"/>
        <w:ind w:left="200" w:right="200" w:hanging="0"/>
        <w:jc w:val="both"/>
        <w:rPr>
          <w:rFonts w:ascii="Times New Roman;Times;serif" w:hAnsi="Times New Roman;Times;serif"/>
          <w:sz w:val="20"/>
        </w:rPr>
      </w:pPr>
      <w:r>
        <w:rPr>
          <w:rFonts w:ascii="Times New Roman;Times;serif" w:hAnsi="Times New Roman;Times;serif"/>
          <w:sz w:val="20"/>
        </w:rPr>
        <w:t>Secured Two</w:t>
        <w:noBreakHyphen/>
        <w:t>Tranche Term Loan Facility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Q1 2026, SCHMID agreed with the lender of the term loan facility not to draw the second tranche (up to € 7,500 thousand). This does not affect the First tranche incentive options or the conversion right of the first tranche and therefore has no accounting implications.</w:t>
      </w:r>
    </w:p>
    <w:p>
      <w:pPr>
        <w:pStyle w:val="TextBody"/>
        <w:bidi w:val="0"/>
        <w:spacing w:before="0" w:after="240"/>
        <w:ind w:left="200" w:right="200" w:hanging="0"/>
        <w:jc w:val="both"/>
        <w:rPr>
          <w:rFonts w:ascii="Times New Roman;Times;serif" w:hAnsi="Times New Roman;Times;serif"/>
          <w:sz w:val="20"/>
        </w:rPr>
      </w:pPr>
      <w:r>
        <w:rPr>
          <w:rFonts w:ascii="Times New Roman;Times;serif" w:hAnsi="Times New Roman;Times;serif"/>
          <w:sz w:val="20"/>
        </w:rPr>
        <w:t>XJ Harbour Set-off agreement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XJ Harbour deal was signed in November 2025 and was at this time irrevocably agreed between the parties, only subject to a shareholders’ meeting approval win the shareholders’ meeting held on December 23, 2025 which approved the issuance. The actual issuance occurred on January 16, 2026, when SCHMID issued 12,540,539 new ordinary shares, which were registered in the name of XJ Harbour HK Limited. The share issuance was carried out pursuant to the Subscription &amp; Set</w:t>
        <w:noBreakHyphen/>
        <w:t>off Agreement and served to fully and irrevocably settle the outstanding claims of XJ Harbour against the Company by way of a debt</w:t>
        <w:noBreakHyphen/>
        <w:t>equity swap.</w:t>
      </w:r>
    </w:p>
    <w:p>
      <w:pPr>
        <w:pStyle w:val="TextBody"/>
        <w:bidi w:val="0"/>
        <w:spacing w:before="0" w:after="240"/>
        <w:ind w:left="200" w:right="200" w:hanging="0"/>
        <w:jc w:val="both"/>
        <w:rPr>
          <w:rFonts w:ascii="Times New Roman;Times;serif" w:hAnsi="Times New Roman;Times;serif"/>
          <w:sz w:val="20"/>
        </w:rPr>
      </w:pPr>
      <w:r>
        <w:rPr>
          <w:rFonts w:ascii="Times New Roman;Times;serif" w:hAnsi="Times New Roman;Times;serif"/>
          <w:sz w:val="20"/>
        </w:rPr>
        <w:t>Standby Equity Purchase Agreement (“SEPA”)</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May 12, 2026, the Company entered into a Standby Equity Purchase Agreement (“SEPA”) with an institutional investor, YA II PN, Ltd. (“Yorkville”), providing SCHMID access to equity financing of up to USD 30.0 million at its discretion, for 24 months from the signing date. Under the terms of the SEPA, the Group paid a commitment fee of 0.5% of the USD 30.0 million equity line to secure the SEPA facility, and Yorkville is contractually obligated, subject to customary conditions, to purchase the SHMD shares over time upon the Company’s exercise of drawdown notices. The purchase price will be based on one of two pricing options selected by the Company. Under Option 1, the purchase price will equal 97% of the VWAP of the SHMD shares on the day of drawdown notice receipt. Under Option 2, the purchase price will equal 99% of the lowest daily VWAP of the SHMD shares during the three consecutive trading days commencing on the drawdown notice date.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SEPA enables the Group to raise equity capital at its discretion, with the ability to issue shares to the investor on a periodic (including daily) basis. This structure provides the Group with a committed source of capital and significant flexibility as to the timing and amount of any equity issuances, allowing management to access liquidity if and when required, or to refrain from drawing on the facility if sufficient liquidity is available from operations or other sources.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F-50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both"/>
        <w:rPr>
          <w:rFonts w:ascii="Times New Roman;Times;serif" w:hAnsi="Times New Roman;Times;serif"/>
          <w:sz w:val="20"/>
        </w:rPr>
      </w:pPr>
      <w:r>
        <w:rPr>
          <w:rFonts w:ascii="Times New Roman;Times;serif" w:hAnsi="Times New Roman;Times;serif"/>
          <w:sz w:val="20"/>
        </w:rPr>
        <w:t>Set-off of €30.8 million financial liabilities through planned share issuances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April 24, 2026 SCHMID entered into separate subscription, set</w:t>
        <w:noBreakHyphen/>
        <w:t>off and debt assumption agreements with Anette Schmid, Christian Schmid, Christine Schmid and Schmid Grundstücke GmbH &amp; Co. KG, all of whom are shareholders or related parties of the Company. Under these arrangements, existing financial liabilities with an aggregate amount of €30.8 million are intended to be settled through the issuance of new ordinary shares of the Company. In connection with the transaction, debt assumption agreements were entered into with the Company’s wholly-owned subsidiary, Gebr. Schmid GmbH.</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contemplated share issuances are subject to approval by a shareholders’ meeting scheduled for May 20, 2026. The number of shares to be issued will be determined based on the five</w:t>
        <w:noBreakHyphen/>
        <w:t>trading</w:t>
        <w:noBreakHyphen/>
        <w:t>day volume</w:t>
        <w:noBreakHyphen/>
        <w:t>weighted average price (VWAP) of the Company’s shares immediately preceding the board approval following the shareholders’ meeting. For liabilities amounting to €2.4 million (to be off-set in relation to the financial liabilities to Christine Schmid), the issue price will be determined by applying a 20% discount to the relevant VWAP.</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F-51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2183" w:name="_e56b865b_4375_4815_8553_9eae1a06c4fc"/>
      <w:bookmarkEnd w:id="2183"/>
      <w:r>
        <w:rPr>
          <w:rFonts w:ascii="Times New Roman;Times;serif" w:hAnsi="Times New Roman;Times;serif"/>
          <w:b/>
          <w:sz w:val="20"/>
        </w:rPr>
        <w:t>PART II</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Information Not Required in Prospectus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Item 6. Indemnification of Directors and Officers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Under Dutch law, directors of a Dutch public company may be held jointly and severally liable to the Company for damages in the event of improper performance of their duties. In addition, directors may be held liable to third parties for any actions that may give rise to a tort. This applies equally to our non-executive directors and executive directors.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To the extent permissible by law, the Company will indemnify and agrees to defend and hold harmless each (current or former) director and each (current or former) officer (</w:t>
      </w:r>
      <w:r>
        <w:rPr>
          <w:rFonts w:ascii="Times New Roman;Times;serif" w:hAnsi="Times New Roman;Times;serif"/>
          <w:i/>
          <w:sz w:val="20"/>
        </w:rPr>
        <w:t>procuratiehouder</w:t>
      </w:r>
      <w:r>
        <w:rPr>
          <w:rFonts w:ascii="Times New Roman;Times;serif" w:hAnsi="Times New Roman;Times;serif"/>
          <w:sz w:val="20"/>
        </w:rPr>
        <w:t xml:space="preserve">), against any liabilities, claims, judgments, fines and penalties (“Claims”) incurred by the Indemnified Person as a result of any threatened, pending or completed action, investigation or other proceeding, whether civil, criminal or administrative (each: a “Legal Action”), brought by any party other than the Company or a group company </w:t>
      </w:r>
      <w:r>
        <w:rPr>
          <w:rFonts w:ascii="Times New Roman;Times;serif" w:hAnsi="Times New Roman;Times;serif"/>
          <w:i/>
          <w:sz w:val="20"/>
        </w:rPr>
        <w:t>(groepsmaatschappij)</w:t>
      </w:r>
      <w:r>
        <w:rPr>
          <w:rFonts w:ascii="Times New Roman;Times;serif" w:hAnsi="Times New Roman;Times;serif"/>
          <w:sz w:val="20"/>
        </w:rPr>
        <w:t xml:space="preserve"> thereof, in relation to acts or omissions in or related to his capacity as an Indemnified Person. Claims will include derivative actions brought on behalf of the Company or a group company </w:t>
      </w:r>
      <w:r>
        <w:rPr>
          <w:rFonts w:ascii="Times New Roman;Times;serif" w:hAnsi="Times New Roman;Times;serif"/>
          <w:i/>
          <w:sz w:val="20"/>
        </w:rPr>
        <w:t>(groepsmaatschappij)</w:t>
      </w:r>
      <w:r>
        <w:rPr>
          <w:rFonts w:ascii="Times New Roman;Times;serif" w:hAnsi="Times New Roman;Times;serif"/>
          <w:sz w:val="20"/>
        </w:rPr>
        <w:t xml:space="preserve"> thereof or their respective equity holders or creditors against the Indemnified Person and Claims by the Company or a group company </w:t>
      </w:r>
      <w:r>
        <w:rPr>
          <w:rFonts w:ascii="Times New Roman;Times;serif" w:hAnsi="Times New Roman;Times;serif"/>
          <w:i/>
          <w:sz w:val="20"/>
        </w:rPr>
        <w:t>(groepsmaatschappij)</w:t>
      </w:r>
      <w:r>
        <w:rPr>
          <w:rFonts w:ascii="Times New Roman;Times;serif" w:hAnsi="Times New Roman;Times;serif"/>
          <w:sz w:val="20"/>
        </w:rPr>
        <w:t xml:space="preserve"> thereof or their respective equity holders or creditors for reimbursement for Claims by third parties on the ground that any such Indemnified Person was jointly liable to that third party in addition to the Company or a group company </w:t>
      </w:r>
      <w:r>
        <w:rPr>
          <w:rFonts w:ascii="Times New Roman;Times;serif" w:hAnsi="Times New Roman;Times;serif"/>
          <w:i/>
          <w:sz w:val="20"/>
        </w:rPr>
        <w:t>(groepsmaatschappij)</w:t>
      </w:r>
      <w:r>
        <w:rPr>
          <w:rFonts w:ascii="Times New Roman;Times;serif" w:hAnsi="Times New Roman;Times;serif"/>
          <w:sz w:val="20"/>
        </w:rPr>
        <w:t xml:space="preserve"> thereof or their respective equity holders or creditors.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Indemnified Person will not be indemnified with respect to Claims in so far as such Claims relate to fraud (</w:t>
      </w:r>
      <w:r>
        <w:rPr>
          <w:rFonts w:ascii="Times New Roman;Times;serif" w:hAnsi="Times New Roman;Times;serif"/>
          <w:i/>
          <w:sz w:val="20"/>
        </w:rPr>
        <w:t>bedrog</w:t>
      </w:r>
      <w:r>
        <w:rPr>
          <w:rFonts w:ascii="Times New Roman;Times;serif" w:hAnsi="Times New Roman;Times;serif"/>
          <w:sz w:val="20"/>
        </w:rPr>
        <w:t>) committed by such Indemnified Person, or if the Indemnified Person shall have been adjudged to be liable for wilful misconduct (</w:t>
      </w:r>
      <w:r>
        <w:rPr>
          <w:rFonts w:ascii="Times New Roman;Times;serif" w:hAnsi="Times New Roman;Times;serif"/>
          <w:i/>
          <w:sz w:val="20"/>
        </w:rPr>
        <w:t>opzet</w:t>
      </w:r>
      <w:r>
        <w:rPr>
          <w:rFonts w:ascii="Times New Roman;Times;serif" w:hAnsi="Times New Roman;Times;serif"/>
          <w:sz w:val="20"/>
        </w:rPr>
        <w:t>) or gross negligence (</w:t>
      </w:r>
      <w:r>
        <w:rPr>
          <w:rFonts w:ascii="Times New Roman;Times;serif" w:hAnsi="Times New Roman;Times;serif"/>
          <w:i/>
          <w:sz w:val="20"/>
        </w:rPr>
        <w:t>bewuste roekeloosheid</w:t>
      </w:r>
      <w:r>
        <w:rPr>
          <w:rFonts w:ascii="Times New Roman;Times;serif" w:hAnsi="Times New Roman;Times;serif"/>
          <w:sz w:val="20"/>
        </w:rPr>
        <w:t>), provided that such fraud (</w:t>
      </w:r>
      <w:r>
        <w:rPr>
          <w:rFonts w:ascii="Times New Roman;Times;serif" w:hAnsi="Times New Roman;Times;serif"/>
          <w:i/>
          <w:sz w:val="20"/>
        </w:rPr>
        <w:t>bedrog</w:t>
      </w:r>
      <w:r>
        <w:rPr>
          <w:rFonts w:ascii="Times New Roman;Times;serif" w:hAnsi="Times New Roman;Times;serif"/>
          <w:sz w:val="20"/>
        </w:rPr>
        <w:t>), wilful misconduct (</w:t>
      </w:r>
      <w:r>
        <w:rPr>
          <w:rFonts w:ascii="Times New Roman;Times;serif" w:hAnsi="Times New Roman;Times;serif"/>
          <w:i/>
          <w:sz w:val="20"/>
        </w:rPr>
        <w:t>opzet</w:t>
      </w:r>
      <w:r>
        <w:rPr>
          <w:rFonts w:ascii="Times New Roman;Times;serif" w:hAnsi="Times New Roman;Times;serif"/>
          <w:sz w:val="20"/>
        </w:rPr>
        <w:t>) or gross negligence (</w:t>
      </w:r>
      <w:r>
        <w:rPr>
          <w:rFonts w:ascii="Times New Roman;Times;serif" w:hAnsi="Times New Roman;Times;serif"/>
          <w:i/>
          <w:sz w:val="20"/>
        </w:rPr>
        <w:t>bewuste roekeloosheid</w:t>
      </w:r>
      <w:r>
        <w:rPr>
          <w:rFonts w:ascii="Times New Roman;Times;serif" w:hAnsi="Times New Roman;Times;serif"/>
          <w:sz w:val="20"/>
        </w:rPr>
        <w:t>), as the case may be, had been adjudicated to have been the direct and primary cause for the Claim for which indemnification hereunder is sought by a competent court with jurisdiction over the matter, in a final non-appealable judgment, order or decree.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Any expenses (including reasonable attorneys’ fees and litigation costs) (together the “Expenses”) incurred by the Indemnified Person in connection with any Legal Action, shall be reimbursed by the Company, but only upon receipt of a written undertaking by that Indemnified Person that he shall repay such advanced Expenses if a competent court with jurisdiction over the matter, in a final non-appealable judgment, order or decree, should determine that such Indemnified Person is not entitled to be indemnified hereunder in respect of such Legal Action. Expenses shall be deemed to include any tax liability that the Indemnified Person may incur as a result of his indemnification or reimbursement hereunder.</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If a Legal Action against any Indemnified Person by the Company or a group company </w:t>
      </w:r>
      <w:r>
        <w:rPr>
          <w:rFonts w:ascii="Times New Roman;Times;serif" w:hAnsi="Times New Roman;Times;serif"/>
          <w:i/>
          <w:sz w:val="20"/>
        </w:rPr>
        <w:t>(groepsmaatschappij)</w:t>
      </w:r>
      <w:r>
        <w:rPr>
          <w:rFonts w:ascii="Times New Roman;Times;serif" w:hAnsi="Times New Roman;Times;serif"/>
          <w:sz w:val="20"/>
        </w:rPr>
        <w:t xml:space="preserve"> thereof occurs, the Company will advance to the Indemnified Person his reasonable Expenses, but only upon receipt of a written undertaking by that Indemnified Person that he shall repay such Expenses in the event a competent court with jurisdiction over the matter, in a final non-appealable judgment, order or decree, should resolve the Legal Action in favour of the Company rather than the Indemnified Person.</w:t>
      </w:r>
    </w:p>
    <w:p>
      <w:pPr>
        <w:pStyle w:val="TextBody"/>
        <w:bidi w:val="0"/>
        <w:spacing w:before="0" w:after="240"/>
        <w:ind w:left="200" w:right="200" w:hanging="0"/>
        <w:jc w:val="left"/>
        <w:rPr>
          <w:rFonts w:ascii="Times New Roman;Times;serif" w:hAnsi="Times New Roman;Times;serif"/>
          <w:b/>
          <w:sz w:val="20"/>
        </w:rPr>
      </w:pPr>
      <w:bookmarkStart w:id="2184" w:name="_9058e485_f6b0_4cba_9de1_dbcb17ed3690"/>
      <w:bookmarkEnd w:id="2184"/>
      <w:r>
        <w:rPr>
          <w:rFonts w:ascii="Times New Roman;Times;serif" w:hAnsi="Times New Roman;Times;serif"/>
          <w:b/>
          <w:sz w:val="20"/>
        </w:rPr>
        <w:t>Item 7. Recent Sales of Unregistered Securities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Set forth below is information regarding all securities sold or granted by us within the past three years that were not registered under the Securities Act and the consideration, if any, received by us for such securities:</w:t>
      </w:r>
    </w:p>
    <w:tbl>
      <w:tblPr>
        <w:tblW w:w="5376" w:type="dxa"/>
        <w:jc w:val="left"/>
        <w:tblInd w:w="20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2024, at Closing of the Business Combination,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28,725,000 SCHMID shares and an additional 5,000,000 earn-out shares were issued to Anette Schmid, Christian Schmid and the Schmid Community of Heirs at €0.01 nominal value and in consideration contributed 100% of the Gebr. Schmid GmbH shares by transferring them to SCHMID;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issued 1,406,361 shares to XJ Harbour HK Limited, in exchange for XJ Harbour HK Limited’s minority interest in SCHMID’s Chinese subsidiary, and will pay an additional €30 million in cash payments over a 455 day period after the closing of the Business Combination; and</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II-1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issued 756,964 shares to Pegasus Digital Mobility Sponsor LLC, the sponsor of Pegasus, as payment for approximately USD 8.6 million in liabilities which SCHMID assumed before the Closing by a debt assumption agreement between Pegasus, the Sponsor and SCHMID.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July 9, 2024 87,565 Ordinary Shares were issued to Appleby on the basis of a non-redemption and investment agreement, which was signed on April 29, 2024 before the Closing of the Business Combination. Appleby has informed the Company that these shares have been resolved</w:t>
            </w:r>
            <w:r>
              <w:rPr>
                <w:caps w:val="false"/>
                <w:smallCaps w:val="false"/>
              </w:rPr>
              <w:t xml:space="preserve"> </w:t>
            </w:r>
            <w:r>
              <w:rPr>
                <w:rFonts w:ascii="Times New Roman;Times;serif" w:hAnsi="Times New Roman;Times;serif"/>
                <w:b w:val="false"/>
                <w:i w:val="false"/>
                <w:caps w:val="false"/>
                <w:smallCaps w:val="false"/>
                <w:sz w:val="20"/>
              </w:rPr>
              <w:t>based on the registration statement on Form F-1 dated September 30, 2024.</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foregoing securities issuances in connection with the Business Combination and to Appleby were made in reliance upon the exemption provided in Section 4(a)(2) of the Securities Act and/or Regulation D or Regulation S promulgated thereunder. These securities were registered under the Securities Act with a registration statement on Form F-1 declared effective on September 30, 2024.</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addition, the following securities were sold or granted by us within the past three years and the consideration, if any, received by us for such securities:</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2025, we entered into a subscription agreement and a set-off agreement with XJ Harbour HK Limited to issue shares to XJ at $2.15 per share to set off $26,962,158.90 of liabilities (including accrued interest) owed to XJ Harbour by the Company. In an extraordinary general shareholders’ meeting held by the Company on December 23, 2025, the shareholders authorized the issuance of shares to XJ Harbour. 12,540,539 shares of the Company were issued to XJ Harbour on January 16, 2026 and transferred to XJ Harbour. The set-off in relation to the liabilities became effective on that date.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November 3, 2025, the Company entered into a subscription agreement and set-off agreement with SCHMID Avaco Korea Co., Ltd. (a non-consolidated 50-50 joint venture of SCHMID) and AVACO Co., Ltd. to issue a total of approximately 1.07 million shares of the Company in a private placement to SCHMID Avaco Korea Co., Ltd. for $2.50 per share. These shares were to be issued based on the existing corporate authority of the Company to issue shares. According to the agreements, following the issuance of such shares, SCHMID Avaco Korea Co., Ltd. was to sell and transfer such shares to AVACO co., Ltd. against set-off of liabilities of approximately EUR 2.3 million of SCHMID and certain of its group companies. The agreement with AVACO and SCHMID Avaco Korea stipulated, that if shares were not issued and registered with the SEC by January 31, 2026, any shares already issued were to be cancelled and the liabilities owed by SCHMID to AVACO were to be settled in cash by February 28, 2026.</w:t>
            </w:r>
            <w:r>
              <w:rPr>
                <w:caps w:val="false"/>
                <w:smallCaps w:val="false"/>
              </w:rPr>
              <w:t xml:space="preserve"> </w:t>
            </w:r>
            <w:r>
              <w:rPr>
                <w:rFonts w:ascii="Times New Roman;Times;serif" w:hAnsi="Times New Roman;Times;serif"/>
                <w:b w:val="false"/>
                <w:i w:val="false"/>
                <w:caps w:val="false"/>
                <w:smallCaps w:val="false"/>
                <w:sz w:val="20"/>
              </w:rPr>
              <w:t>As a result, no such shares are outstanding. The parties are in discussion as to the settlement of the remaining liabilities.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signed a secured two-tranche term loan facility with a total commitment value of up to €10,000,000 with the lender Black Forest Special Situations I, a Cayman Islands incorporated entity, on December 16, 2025. This term loan facility was concluded in the form of a loan and not in the form of securities.</w:t>
            </w:r>
          </w:p>
        </w:tc>
      </w:tr>
    </w:tbl>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However, as part of the drawdown of the €2,500,000 first tranche, the Company also agreed to issue option rights to Black Forest Special Situations I to acquire 1,250,000 shares of the Company at the prevailing VWAP at the time of concluding the term loan facility, which was $4.19 per share. The term loan facility agreement stipulated that an option agreement shall be executed, which was agreed and signed in January 2026 and sets out the exercise mechanics of the options as well as the discretionary possibility of the Company to cashless exercise the options. The options expire on December 16, 2030 and may be exercised in full or in several parts during the lifetime of the options agreement.</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January 18, 2026, SCHMID entered into an investment agreement with an institutional investor, Linden Advisors LP (and certain affiliates), to sell, and on January 21, 2026 and March 5, 2026 sold senior convertible notes in an aggregate principal amount of $30.0 million convertible into ordinary shares of the Company together with the issuance of warrants to purchase ordinary shares of the Company in a private placement to accounts managed by Linden. The notes were issued at 98% of principal amount pursuant an indenture and were</w:t>
            </w:r>
            <w:r>
              <w:rPr>
                <w:caps w:val="false"/>
                <w:smallCaps w:val="false"/>
              </w:rPr>
              <w:t xml:space="preserve"> </w:t>
            </w:r>
            <w:r>
              <w:rPr>
                <w:rFonts w:ascii="Times New Roman;Times;serif" w:hAnsi="Times New Roman;Times;serif"/>
                <w:b w:val="false"/>
                <w:i w:val="false"/>
                <w:caps w:val="false"/>
                <w:smallCaps w:val="false"/>
                <w:sz w:val="20"/>
              </w:rPr>
              <w:t>funded in two tranches: (i) $15.0 million were be funded on January 21, 2026 and (ii) $15.0 million on March 5, 2026.</w:t>
            </w:r>
            <w:r>
              <w:rPr>
                <w:caps w:val="false"/>
                <w:smallCaps w:val="false"/>
              </w:rPr>
              <w:t xml:space="preserve"> </w:t>
            </w:r>
            <w:r>
              <w:rPr>
                <w:rFonts w:ascii="Times New Roman;Times;serif" w:hAnsi="Times New Roman;Times;serif"/>
                <w:b w:val="false"/>
                <w:i w:val="false"/>
                <w:caps w:val="false"/>
                <w:smallCaps w:val="false"/>
                <w:sz w:val="20"/>
              </w:rPr>
              <w:t xml:space="preserve">The notes bear interest at a rate of 7% per annum, compounded quarterly and payable in kind, subject to the Company’s right to elect cash payment upon prior notice. They have a two-year maturity, i.e. they will mature on January 21, 2028, unless previously converted into shares of the Company. This conversion option of the notes into shares of the Company at prices determined by reference to fixed premium conversion prices including at 95% of the applicable volume-weighted average price of the shares of the Company, is subject to a minimum conversion price and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II-2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109"/>
        <w:gridCol w:w="95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certain daily conversion limits as further specified in the investment agreement.</w:t>
            </w:r>
            <w:r>
              <w:rPr>
                <w:caps w:val="false"/>
                <w:smallCaps w:val="false"/>
              </w:rPr>
              <w:t xml:space="preserve"> </w:t>
            </w:r>
            <w:r>
              <w:rPr>
                <w:rFonts w:ascii="Times New Roman;Times;serif" w:hAnsi="Times New Roman;Times;serif"/>
                <w:b w:val="false"/>
                <w:i w:val="false"/>
                <w:caps w:val="false"/>
                <w:smallCaps w:val="false"/>
                <w:sz w:val="20"/>
              </w:rPr>
              <w:t>Of the initial $30.0 million principal amount, as of May 18, 2026, a total of $12.0 million in principal amount has been converted.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notes issued to accounts managed by Linden Advisors LP, the Company on January 21, 2026 and March 5, 2026 also issued warrants to the investor to purchase shares of the Company in an amount determined by reference to the principal amount of the notes. The warrants are exercisable until December 15, 2028, at an exercise price equal to the lower of the applicable fixed premium conversion prices under the notes, exercisable for cash or, at the Company’s election, on a cashless basis. The number of warrants is 3,744,150 with an exercise price of $8.0145 per Ordinary Share.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service agreement with its CFO, Arthur Schuetz which in 2026 provides for the payment of a service fee of EUR 20,000, as well as 6,000 shares of the Company per month, and 50,000 share options every six months of employment at a strike price of $4.00 for the first half of 2026 and thereafter at a strike price of the volume-weighted average price over the preceding 6 months (which have an exercise window of five years), and an incentive variable salary component amounting to 35,000 shares annually, tied to an EBIT target of SCHMID, where under or over performance reduce or increase the variable salary pro rata (30% underperformance floor amounting to no eligibility and 30% overperformance ceiling amount to maximum 200% eligibility). The agreement with Mr. Schuetz foresees an update to his compensation, incentive share and share options plan in 2027 being the share based component of the fixed salary calculated by dividing EUR 250,000 by the volume-weighted average price over the preceding 6 months, 50,000 share options every six months (exercisable for five years) at a strike price to be set by the Board and the Audit Committee, and an incentive variable salary component amounting to 35,000 shares annually, tied to an EBIT target set by SCHMID Board, where under or over performance reduce or increase the variable salary pro rata (30% underperformance floor amounting to no eligibility and 30% overperformance ceiling amount to 200% eligibility).</w:t>
            </w:r>
          </w:p>
        </w:tc>
      </w:tr>
    </w:tbl>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The share options and shares awarded to Arthur Schuetz are part of his incentive package for his function as COO.</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Starting in 2026 Mr. Rauch is set to receive 6,000 shares of the Company per month, and 50,000 share options every six months of employment at a strike price of $4.00 for the first half of 2026 and thereafter at a strike price of the volume-weighted average price over the preceding 6 months (which have an exercise window of five years), and an incentive variable salary component amounting to 35,000 shares annually, tied to an EBIT target of SCHMID, where under or over performance reduce or increase the variable salary pro rata (30% underperformance floor amounting to no eligibility and 30% overperformance ceiling amount to maximum 200% eligibility). The agreement with Mr. Rauch foresees an update to his compensation, incentive share and share options plan in 2027 being the share based component of the fixed salary calculated by dividing EUR 250,000 by the volume-weighted average price over the preceding 6 months, 50,000 share options every six months (exercisable for five years) at a strike price to be set by the Board and the Audit Committee, and an incentive variable salary component amounting to 35,000 shares annually, tied to an EBIT target set by SCHMID Board and the Audit Committee, where under or over performance reduce or increase the variable salary pro rata (30% underperformance floor amounting to no eligibility and 30% overperformance ceiling amount to 200% eligibility).</w:t>
            </w:r>
          </w:p>
        </w:tc>
      </w:tr>
    </w:tbl>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The share options and shares awarded to Helmut Rauch are part of his incentive package for his function as COO.</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2026 the Company entered into separate subscription agreements and set-off agreements with Anette Schmid, Christian Schmid, Christine Schmid and Schmid Grundstücke GmbH &amp; Co KG respectively, to off-set financial liabilities in an aggregate amount of EUR 30.75 million. In connection with these agreements, the Company entered into debt assumption agreements with the Company’s fully-owned subsidiary, Gebr. Schmid GmbH. The number of shares to be issued and sold was determined by the shareholders’ meeting of the Company, on May 20, 2026, by dividing the EUR 30.75 million by the 5-trading day volume-weighted average price (“VWAP”) of the Ordinary Shares immediately preceding the approval by the Board. In relation to EUR 2.4 million of the aggregate financial liabilities (to be off-set in relation to the financial liabilities to Christine Schmid), a 20% discount was applied.</w:t>
            </w:r>
          </w:p>
        </w:tc>
      </w:tr>
    </w:tbl>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 xml:space="preserve">On May 23, 2026, the Board set the applicable VWAP Price at USD 7.3309 per share (the “Applicable VWAP Price”) and issued and sold 4,958,481 Ordinary Shares consisting of 2,190,589 Ordinary Shares to Anette Schmid, 1,265,322 Ordinary Shares to Christian Schmid, 1,028,074 Ordinary Shares to Schmid Grundstücke GmbH &amp; Co KG and 474,496 Ordinary Shares to Christine Schmid.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II-3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Company entered into a Standby Equity Purchase Agreement with YA II PN, Ltd., pursuant to which the investor has committed, subject to customary conditions, to purchase up to $30.0 million of the Company’s ordinary shares from time to time at the Company’s option during a commitment period of up to 24 months. Such purchases are effected through delivery of advance notices, with the purchase price generally equal to a discount to the volume-weighted average trading price during a specified pricing period, and are subject to limitations including a 4.99% beneficial ownership cap, registration availability, trading volume thresholds and applicable NASDAQ rules as relied upon under home-country practice. The Company is not obligated to draw any minimum amount and may suspend or terminate sales under specified circumstances. In consideration for the commitment, the Company paid a $25,000 structuring fee and agreed to pay a commitment fee equal to 0.50% of the commitment amount, payable in cash or registered shares. The Company is required to maintain an effective resale registration statement covering shares issued under the agreement. Issuances under the facility may result in dilution to existing shareholders. On May 23, 2026, the Company issued 24,889 Ordinary Shares to Yorkville to pay the commitment fee. After May 23, 2026, the Company utilized the SEPA and, as of the date of this registration statement, had issued 1,490,000 Ordinary Shares to Yorkville under the SEPA.</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the Company issued $20 million in convertible notes. These Ordinary Shares the Company intends to register with this registration statement.</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bookmarkStart w:id="2185" w:name="_dc41a250_bbdf_425b_b796_4a9aa8a0736e"/>
      <w:bookmarkEnd w:id="2185"/>
      <w:r>
        <w:rPr>
          <w:rFonts w:ascii="Times New Roman;Times;serif" w:hAnsi="Times New Roman;Times;serif"/>
          <w:b/>
          <w:sz w:val="20"/>
        </w:rPr>
        <w:t>Item 8. Exhibits and Financial Statement Schedules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18"/>
        </w:rPr>
        <w:t>The following exhibits are included or incorporated by reference in this registration statement on Form F-1:</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Exhibit Index</w:t>
      </w:r>
    </w:p>
    <w:tbl>
      <w:tblPr>
        <w:tblW w:w="9805" w:type="dxa"/>
        <w:jc w:val="left"/>
        <w:tblInd w:w="200" w:type="dxa"/>
        <w:tblLayout w:type="fixed"/>
        <w:tblCellMar>
          <w:top w:w="0" w:type="dxa"/>
          <w:left w:w="0" w:type="dxa"/>
          <w:bottom w:w="0" w:type="dxa"/>
          <w:right w:w="0" w:type="dxa"/>
        </w:tblCellMar>
      </w:tblPr>
      <w:tblGrid>
        <w:gridCol w:w="706"/>
        <w:gridCol w:w="346"/>
        <w:gridCol w:w="8753"/>
      </w:tblGrid>
      <w:tr>
        <w:trPr/>
        <w:tc>
          <w:tcPr>
            <w:tcW w:w="7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753"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224155" cy="29210"/>
                      <wp:effectExtent l="0" t="0" r="0" b="0"/>
                      <wp:wrapNone/>
                      <wp:docPr id="637" name="Frame635"/>
                      <a:graphic xmlns:a="http://schemas.openxmlformats.org/drawingml/2006/main">
                        <a:graphicData uri="http://schemas.microsoft.com/office/word/2010/wordprocessingShape">
                          <wps:wsp>
                            <wps:cNvSpPr txBox="1"/>
                            <wps:spPr>
                              <a:xfrm>
                                <a:off x="0" y="0"/>
                                <a:ext cx="2241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p>
        </w:tc>
        <w:tc>
          <w:tcPr>
            <w:tcW w:w="875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2778760" cy="29210"/>
                      <wp:effectExtent l="0" t="0" r="0" b="0"/>
                      <wp:wrapNone/>
                      <wp:docPr id="638" name="Frame636"/>
                      <a:graphic xmlns:a="http://schemas.openxmlformats.org/drawingml/2006/main">
                        <a:graphicData uri="http://schemas.microsoft.com/office/word/2010/wordprocessingShape">
                          <wps:wsp>
                            <wps:cNvSpPr txBox="1"/>
                            <wps:spPr>
                              <a:xfrm>
                                <a:off x="0" y="0"/>
                                <a:ext cx="27787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06"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46" w:type="dxa"/>
            <w:tcBorders/>
            <w:vAlign w:val="center"/>
          </w:tcPr>
          <w:p>
            <w:pPr>
              <w:pStyle w:val="TableHeading"/>
              <w:bidi w:val="0"/>
              <w:spacing w:before="0" w:after="0"/>
              <w:ind w:left="0" w:right="0" w:hanging="0"/>
              <w:jc w:val="left"/>
              <w:rPr/>
            </w:pPr>
            <w:r>
              <w:rPr/>
              <w:t>  ​ ​ ​</w:t>
            </w:r>
          </w:p>
        </w:tc>
        <w:tc>
          <w:tcPr>
            <w:tcW w:w="8753"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7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753" w:type="dxa"/>
            <w:tcBorders/>
            <w:vAlign w:val="center"/>
          </w:tcPr>
          <w:p>
            <w:pPr>
              <w:pStyle w:val="TableHeading"/>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Description of Securities Registered Pursuant to Section 12 of the Securities Exchange Act of 1934 (incorporated by reference to Exhibit 2.1 to the Annual Report Form 20-F filed with the SEC on May 15, 2024).</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Warrant Agreement dated October 21, 2021 (incorporated by reference of Pegasus Digital Mobility Acquisition Corp.’s Current Report (File No. 001-40945) on Form 8-K filed with the SEC on October 26, 2021).</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Warrant Assignment, Assumption and Amendment Agreement between Continental Stock Transfer &amp; Trust Company, SCHMID Group N.V. and Pegasus Digital Mobility Acquisition Corp (incorporated by reference to Exhibit 2.3 to the Annual Report Form 20-F (File No. 001-42040), filed with the SEC on May 15, 2024).</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Articles of Association of Schmid Group N.V. as of April 30, 2024 (incorporated by reference to Exhibit 1.1 to the Annual Report Form 20-F (File No. 001-42040), filed with the SEC on May 15, 2024).</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"https://www.sec.gov/Archives/edgar/data/1987240/000110465924033539/tm2227672-17_f4a.htm" \l "tAABC"</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Business Combination Agreement, dated as of May 31, 2023, by and among Pegasus Digital Mobility Acquisition Corp., Gebr. Schmid GmbH, Pegasus TopCo B.V. (future SCHMID Group N.V.), and Pegasus MergerSub Corp. (incorporated by reference to Exhibit 2.1 to the Issuer’s Registration Statement on Form F-4 (Reg. No. 333-274701), filed with the SEC on March 25, 2024).</w:t>
            </w:r>
            <w:r>
              <w:rPr>
                <w:rStyle w:val="InternetLink"/>
                <w:smallCaps w:val="false"/>
                <w:caps w:val="false"/>
                <w:sz w:val="20"/>
                <w:i w:val="false"/>
                <w:b w:val="false"/>
                <w:rFonts w:ascii="Times New Roman;Times;serif" w:hAnsi="Times New Roman;Times;serif"/>
              </w:rPr>
              <w:fldChar w:fldCharType="end"/>
            </w:r>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"https://www.sec.gov/Archives/edgar/data/1987240/000110465924033539/tm2227672-17_f4a.htm" \l "tABFA"</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First Amendment to Business Combination Agreement, dated as of September 26, 2023 (incorporated by reference to Exhibit 2.2 to the Issuer’s Registration Statement on Form F-4 (Reg. No. 333-274701), filed with the SEC on March 25, 2024).</w:t>
            </w:r>
            <w:r>
              <w:rPr>
                <w:rStyle w:val="InternetLink"/>
                <w:smallCaps w:val="false"/>
                <w:caps w:val="false"/>
                <w:sz w:val="20"/>
                <w:i w:val="false"/>
                <w:b w:val="false"/>
                <w:rFonts w:ascii="Times New Roman;Times;serif" w:hAnsi="Times New Roman;Times;serif"/>
              </w:rPr>
              <w:fldChar w:fldCharType="end"/>
            </w:r>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"https://www.sec.gov/Archives/edgar/data/1987240/000110465924038383/tm2227672-20_f4a.htm" \l "tACAP1"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Second Amendment to Business Combination Agreement, dated as of January 29, 2024 (incorporated by reference to Exhibit 2.4 to the Issuer’s Registration Statement on Form F-4 (Reg. No. 333-274701), filed with the SEC on March 25, 2024).</w:t>
            </w:r>
            <w:r>
              <w:rPr>
                <w:rStyle w:val="InternetLink"/>
                <w:smallCaps w:val="false"/>
                <w:caps w:val="false"/>
                <w:sz w:val="20"/>
                <w:i w:val="false"/>
                <w:b w:val="false"/>
                <w:rFonts w:ascii="Times New Roman;Times;serif" w:hAnsi="Times New Roman;Times;serif"/>
              </w:rPr>
              <w:fldChar w:fldCharType="end"/>
            </w:r>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"https://www.sec.gov/Archives/edgar/data/1987240/000110465924038383/tm2227672-20_f4a.htm" \l "tANNXO1"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Earn-out Agreement by and among TopCo, Pegasus and Anette Schmid and Christian Schmid dated January 29, 2024 (incorporated by reference to Exhibit 10.11 to the Issuer’s Registration Statement on Form F-4 (Reg. No. 333-274701), filed with the SEC on March 25, 2024).</w:t>
            </w:r>
            <w:r>
              <w:rPr>
                <w:rStyle w:val="InternetLink"/>
                <w:smallCaps w:val="false"/>
                <w:caps w:val="false"/>
                <w:sz w:val="20"/>
                <w:i w:val="false"/>
                <w:b w:val="false"/>
                <w:rFonts w:ascii="Times New Roman;Times;serif" w:hAnsi="Times New Roman;Times;serif"/>
              </w:rPr>
              <w:fldChar w:fldCharType="end"/>
            </w:r>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II-4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706"/>
        <w:gridCol w:w="346"/>
        <w:gridCol w:w="8753"/>
      </w:tblGrid>
      <w:tr>
        <w:trPr/>
        <w:tc>
          <w:tcPr>
            <w:tcW w:w="70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224155" cy="29210"/>
                      <wp:effectExtent l="0" t="0" r="0" b="0"/>
                      <wp:wrapNone/>
                      <wp:docPr id="639" name="Frame637"/>
                      <a:graphic xmlns:a="http://schemas.openxmlformats.org/drawingml/2006/main">
                        <a:graphicData uri="http://schemas.microsoft.com/office/word/2010/wordprocessingShape">
                          <wps:wsp>
                            <wps:cNvSpPr txBox="1"/>
                            <wps:spPr>
                              <a:xfrm>
                                <a:off x="0" y="0"/>
                                <a:ext cx="2241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p>
        </w:tc>
        <w:tc>
          <w:tcPr>
            <w:tcW w:w="875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2778760" cy="29210"/>
                      <wp:effectExtent l="0" t="0" r="0" b="0"/>
                      <wp:wrapNone/>
                      <wp:docPr id="640" name="Frame638"/>
                      <a:graphic xmlns:a="http://schemas.openxmlformats.org/drawingml/2006/main">
                        <a:graphicData uri="http://schemas.microsoft.com/office/word/2010/wordprocessingShape">
                          <wps:wsp>
                            <wps:cNvSpPr txBox="1"/>
                            <wps:spPr>
                              <a:xfrm>
                                <a:off x="0" y="0"/>
                                <a:ext cx="27787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06"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46" w:type="dxa"/>
            <w:tcBorders/>
            <w:vAlign w:val="center"/>
          </w:tcPr>
          <w:p>
            <w:pPr>
              <w:pStyle w:val="TableHeading"/>
              <w:bidi w:val="0"/>
              <w:spacing w:before="0" w:after="0"/>
              <w:ind w:left="0" w:right="0" w:hanging="0"/>
              <w:jc w:val="left"/>
              <w:rPr/>
            </w:pPr>
            <w:r>
              <w:rPr/>
              <w:t>  ​ ​ ​</w:t>
            </w:r>
          </w:p>
        </w:tc>
        <w:tc>
          <w:tcPr>
            <w:tcW w:w="8753"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7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753" w:type="dxa"/>
            <w:tcBorders/>
            <w:vAlign w:val="center"/>
          </w:tcPr>
          <w:p>
            <w:pPr>
              <w:pStyle w:val="TableHeading"/>
              <w:bidi w:val="0"/>
              <w:spacing w:before="0" w:after="0"/>
              <w:ind w:left="0" w:right="0" w:hanging="0"/>
              <w:jc w:val="center"/>
              <w:rPr/>
            </w:pPr>
            <w:r>
              <w:rPr/>
              <w:t>​</w:t>
            </w:r>
          </w:p>
        </w:tc>
      </w:tr>
      <w:tr>
        <w:trPr/>
        <w:tc>
          <w:tcPr>
            <w:tcW w:w="7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753"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Registration Rights Agreement by and among SCHMID Group N.V., Pegasus Digital Mobility Acquisition Corp., Pegasus Digital Mobility Sponsor LLC, Christian Schmid, and Anette Schmid, dated as of April 30, 2024 (incorporated by reference to Exhibit 4.5 to the Annual Report Form 20-F (File No. 001-42040), filed with the SEC on May 15, 2024).</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"https://www.sec.gov/Archives/edgar/data/1987240/000110465924038383/tm2227672-20_f4a.htm" \l "tANNXL1"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Private Warrants Transfer Agreement by and among Pegasus Digital Mobility Sponsor LLC, Christian Schmid, and Anette Schmid, dated as of January 29, 2024 (incorporated by reference to Exhibit 10.9 to the Issuer’s Registration Statement on Form F-4 (Reg. No. 333-274701), filed with the SEC on March 25, 2024).</w:t>
            </w:r>
            <w:r>
              <w:rPr>
                <w:rStyle w:val="InternetLink"/>
                <w:smallCaps w:val="false"/>
                <w:caps w:val="false"/>
                <w:sz w:val="20"/>
                <w:i w:val="false"/>
                <w:b w:val="false"/>
                <w:rFonts w:ascii="Times New Roman;Times;serif" w:hAnsi="Times New Roman;Times;serif"/>
              </w:rPr>
              <w:fldChar w:fldCharType="end"/>
            </w:r>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Warranty Agreement dated April 29, 2024 by and among Pegasus Digital Mobility Acquisition Corp., Gebr. Schmid GmbH, Pegasus TopCo B.V., Pegasus MergerSub Corp. and Validus/StratCap LLC (incorporated by reference to Exhibit 4.7 to the Annual Report Form 20-F (File No. 001-42040), filed with the SEC on May 15, 2024).</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"https://www.sec.gov/Archives/edgar/data/1987240/000110465924033539/tm2227672-17_f4a.htm" \l "tAFSU"</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Shareholders’ Undertaking, dated as of May 31, 2023, by and among Pegasus Digital Mobility Acquisition Corp., Anette Schmid, and Christian Schmid (incorporated by reference to Exhibit 10.3 to the Issuer’s Registration Statement on Form F-4 (Reg. No. 333-274701), filed with the SEC on March 25, 2024).</w:t>
            </w:r>
            <w:r>
              <w:rPr>
                <w:rStyle w:val="InternetLink"/>
                <w:smallCaps w:val="false"/>
                <w:caps w:val="false"/>
                <w:sz w:val="20"/>
                <w:i w:val="false"/>
                <w:b w:val="false"/>
                <w:rFonts w:ascii="Times New Roman;Times;serif" w:hAnsi="Times New Roman;Times;serif"/>
              </w:rPr>
              <w:fldChar w:fldCharType="end"/>
            </w:r>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"https://www.sec.gov/Archives/edgar/data/1987240/000110465924038383/tm2227672-20_f4a.htm" \l "tAFSU1"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First Amendment to the Shareholders’ Undertaking dated January 29, 2024 (incorporated by reference to Exhibit 10.12 to the Issuer’s Registration Statement on Form F-4 (Reg. No. 333-274701), filed with the SEC on March 25, 2024).</w:t>
            </w:r>
            <w:r>
              <w:rPr>
                <w:rStyle w:val="InternetLink"/>
                <w:smallCaps w:val="false"/>
                <w:caps w:val="false"/>
                <w:sz w:val="20"/>
                <w:i w:val="false"/>
                <w:b w:val="false"/>
                <w:rFonts w:ascii="Times New Roman;Times;serif" w:hAnsi="Times New Roman;Times;serif"/>
              </w:rPr>
              <w:fldChar w:fldCharType="end"/>
            </w:r>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4.10</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"https://www.sec.gov/Archives/edgar/data/1987240/000110465924038383/tm2227672-20_f4a.htm" \l "tANNXM1"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Private Warrants Undertaking Agreement dated as of January 29, 2024, by and among Pegasus Digital Mobility Acquisition Corp., Pegasus Digital Mobility Sponsor LLC, Gebr. Schmid GmbH, Anette Schmid, and Christian Schmid among others (incorporated by reference to Exhibit 10.10 to the Issuer’s Registration Statement on Form F-4 (Reg. No. 333-274701), filed with the SEC on March 25, 2024).</w:t>
            </w:r>
            <w:r>
              <w:rPr>
                <w:rStyle w:val="InternetLink"/>
                <w:smallCaps w:val="false"/>
                <w:caps w:val="false"/>
                <w:sz w:val="20"/>
                <w:i w:val="false"/>
                <w:b w:val="false"/>
                <w:rFonts w:ascii="Times New Roman;Times;serif" w:hAnsi="Times New Roman;Times;serif"/>
              </w:rPr>
              <w:fldChar w:fldCharType="end"/>
            </w:r>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4.11</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"https://www.sec.gov/Archives/edgar/data/1987240/000110465923128878/tm2227672-6_f4a.htm" \l "tAGCL"</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Company Lock Up Agreement, dated May 31, 2023, by and among Pegasus TopCo B.V., Pegasus Digital Mobility Acquisition Corp., Gebr. Schmid GmbH, and Christian and Anette Schmid (incorporated by reference to Exhibit 10.4 to the Issuer’s Registration Statement on Form F-4 (Reg. No. 333-274701), filed with the SEC on March 25, 2024).</w:t>
            </w:r>
            <w:r>
              <w:rPr>
                <w:rStyle w:val="InternetLink"/>
                <w:smallCaps w:val="false"/>
                <w:caps w:val="false"/>
                <w:sz w:val="20"/>
                <w:i w:val="false"/>
                <w:b w:val="false"/>
                <w:rFonts w:ascii="Times New Roman;Times;serif" w:hAnsi="Times New Roman;Times;serif"/>
              </w:rPr>
              <w:fldChar w:fldCharType="end"/>
            </w:r>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4.12</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Sponsor non-redemption and investment agreement dated April 26, 2024, by and among Pegasus Digital Mobility Sponsor LLC, Pegasus TopCo B.V. and Pegasus Digital Mobilitiy Acquisition Corp (incorporated by reference to Exhibit 4.12 to the Annual Report Form 20-F (File No. 001-42040), filed with the SEC on May 15, 2024).</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4.13</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Subscription Agreement between the Company and XJ Harbour dated November 12, 2025 (incorporated by reference to Exhibit 10.1 to the Registrant’s Report on Form 6-K, furnished to the SEC on November 17, 2025).</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4.14</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Set-off Agreement between the Company and XJ Harbour dated November 12, 2025 (incorporated by reference to Exhibit 10.2 to the Registrant’s Report on Form 6-K, furnished to the SEC on November 17, 2025).</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4.15</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Subscription Agreement between the Company and Schmid Avaco Korea dated November 3, 2025 (incorporated by reference to Exhibit 10.3 to the Registrant’s Report on Form 6-K, furnished to the SEC on November 17, 2025).</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4.16</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Set-off Agreement between the Company and Schmid Avaco Korea dated November 3, 2025 (incorporated by reference to Exhibit 10.4 to the Registrant’s Report on Form 6-K, furnished to the SEC on November 17, 2025).</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4.17</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Term Loan Facility Agreement between the Company and Black Forest Special Situations I dated December 16, 2025 (incorporated by reference to Exhibit 10.1 to the Registrant’s Report on Form 6-K, furnished to the SEC on December 17, 2025).</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4.18</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Options Agreement between the Company and Black Forest Special Situations I dated January 27, 2026 (incorporated by reference to Exhibit 4.28 to the Registrant’s Report on Form 20-F filed with the SEC on February 13,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II-5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706"/>
        <w:gridCol w:w="346"/>
        <w:gridCol w:w="8753"/>
      </w:tblGrid>
      <w:tr>
        <w:trPr/>
        <w:tc>
          <w:tcPr>
            <w:tcW w:w="70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224155" cy="29210"/>
                      <wp:effectExtent l="0" t="0" r="0" b="0"/>
                      <wp:wrapNone/>
                      <wp:docPr id="641" name="Frame639"/>
                      <a:graphic xmlns:a="http://schemas.openxmlformats.org/drawingml/2006/main">
                        <a:graphicData uri="http://schemas.microsoft.com/office/word/2010/wordprocessingShape">
                          <wps:wsp>
                            <wps:cNvSpPr txBox="1"/>
                            <wps:spPr>
                              <a:xfrm>
                                <a:off x="0" y="0"/>
                                <a:ext cx="2241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p>
        </w:tc>
        <w:tc>
          <w:tcPr>
            <w:tcW w:w="875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2778760" cy="29210"/>
                      <wp:effectExtent l="0" t="0" r="0" b="0"/>
                      <wp:wrapNone/>
                      <wp:docPr id="642" name="Frame640"/>
                      <a:graphic xmlns:a="http://schemas.openxmlformats.org/drawingml/2006/main">
                        <a:graphicData uri="http://schemas.microsoft.com/office/word/2010/wordprocessingShape">
                          <wps:wsp>
                            <wps:cNvSpPr txBox="1"/>
                            <wps:spPr>
                              <a:xfrm>
                                <a:off x="0" y="0"/>
                                <a:ext cx="27787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06"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46" w:type="dxa"/>
            <w:tcBorders/>
            <w:vAlign w:val="center"/>
          </w:tcPr>
          <w:p>
            <w:pPr>
              <w:pStyle w:val="TableHeading"/>
              <w:bidi w:val="0"/>
              <w:spacing w:before="0" w:after="0"/>
              <w:ind w:left="0" w:right="0" w:hanging="0"/>
              <w:jc w:val="left"/>
              <w:rPr/>
            </w:pPr>
            <w:r>
              <w:rPr/>
              <w:t>  ​ ​ ​</w:t>
            </w:r>
          </w:p>
        </w:tc>
        <w:tc>
          <w:tcPr>
            <w:tcW w:w="8753"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7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753" w:type="dxa"/>
            <w:tcBorders/>
            <w:vAlign w:val="center"/>
          </w:tcPr>
          <w:p>
            <w:pPr>
              <w:pStyle w:val="TableHeading"/>
              <w:bidi w:val="0"/>
              <w:spacing w:before="0" w:after="0"/>
              <w:ind w:left="0" w:right="0" w:hanging="0"/>
              <w:jc w:val="center"/>
              <w:rPr/>
            </w:pPr>
            <w:r>
              <w:rPr/>
              <w:t>​</w:t>
            </w:r>
          </w:p>
        </w:tc>
      </w:tr>
      <w:tr>
        <w:trPr/>
        <w:tc>
          <w:tcPr>
            <w:tcW w:w="7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753"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4.19</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Investment Agreement related to Convertible Notes of the Company dated January 18, 2026 (incorporated by reference to Exhibit 10.1 to the Registrant’s Report on Form 6-K, furnished to the SEC on January 21,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4.20</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First Amendment to the Investment Agreement related to Convertible Notes of the Company dated January 20, 2026 (incorporated by reference to Exhibit 4.19 to the Registrant’s Report on Form 20-F, furnished to the SEC on February 13,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4.21</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Indenture related to Convertible Notes of the Company dated January 21, 2026 (incorporated by reference to Exhibit 4.20 to the Registrant’s Report on Form 20-F filed with the SEC on February 13,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4.22</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Ordinary Share Purchase Warrant issued by the Company to accounts managed by Linden dated January 21, 2026 (incorporated by reference to Exhibit 4.21 to the Registrant’s Report on Form 20-F filed with the SEC on February 13,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4.23</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Ordinary Share Purchase Warrant issued by the Company to Crown dated January 21, 2026 (incorporated by reference to Exhibit 4.22 to the Registrant’s Report on Form 20-F filed with the SEC on February 13,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4.24</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Ordinary Share Purchase Warrant issued by the Company to PCH dated January 21, 2026 (incorporated by reference to Exhibit 4.23 to the Registrant’s Report on Form 20-F filed with the SEC on February 13,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4.25</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Ordinary Share Purchase Warrant issued by the Company to accounts managed by Linden dated March 5, 2026 (incorporated by reference to Exhibit 4.25 to the Registrant’s Report on Form 20-F filed with the SEC on May 15,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4.26</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 xml:space="preserve">Ordinary Share Purchase Warrant issued by the Company to Crown dated March 5, 2026 </w:t>
              </w:r>
            </w:hyperlink>
            <w:hyperlink r:id="rId25">
              <w:r>
                <w:rPr>
                  <w:rStyle w:val="InternetLink"/>
                  <w:rFonts w:ascii="Times New Roman;Times;serif" w:hAnsi="Times New Roman;Times;serif"/>
                  <w:b w:val="false"/>
                  <w:i w:val="false"/>
                  <w:caps w:val="false"/>
                  <w:smallCaps w:val="false"/>
                  <w:sz w:val="18"/>
                </w:rPr>
                <w:t>(incorporated by reference to Exhibit 4.26 to the Registrant’s Report on Form 20-F filed with the SEC on May 15,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4.27</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26">
              <w:r>
                <w:rPr>
                  <w:rStyle w:val="InternetLink"/>
                  <w:rFonts w:ascii="Times New Roman;Times;serif" w:hAnsi="Times New Roman;Times;serif"/>
                  <w:b w:val="false"/>
                  <w:i w:val="false"/>
                  <w:caps w:val="false"/>
                  <w:smallCaps w:val="false"/>
                  <w:sz w:val="20"/>
                </w:rPr>
                <w:t>Ordinary Share Purchase Warrant issued by the Company to PCH dated March 5, 2026 (incorporated by reference to Exhibit 4.27 to the Registrant’s Report on Form 20-F filed with the SEC on May 15,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4.28</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Registration Rights Agreement related to Convertible Notes of the Company dated January 21, 2026 (incorporated by reference to Exhibit 4.24 to the Registrant’s Report on Form 20-F filed with the SEC on February 13,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4.29</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28">
              <w:r>
                <w:rPr>
                  <w:rStyle w:val="InternetLink"/>
                  <w:rFonts w:ascii="Times New Roman;Times;serif" w:hAnsi="Times New Roman;Times;serif"/>
                  <w:b w:val="false"/>
                  <w:i w:val="false"/>
                  <w:caps w:val="false"/>
                  <w:smallCaps w:val="false"/>
                  <w:sz w:val="20"/>
                </w:rPr>
                <w:t>Subordination Agreement related to Convertible Notes of the Company dated January 21, 2026 (incorporated by reference to Exhibit 4.25 to the Registrant’s Report on Form 20-F filed with the SEC on February 13,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4.30</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144A Global Note of the Convertible Note issued by the Company dated January 21, 2026 (incorporated by reference to Exhibit 4.26 to the Registrant’s Report on Form 20-F filed with the SEC on February 13,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4.31</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144A Global Note of the Convertible Note issued by the Company dated March 5, 2026</w:t>
              </w:r>
            </w:hyperlink>
            <w:hyperlink r:id="rId31">
              <w:r>
                <w:rPr>
                  <w:rStyle w:val="InternetLink"/>
                  <w:rFonts w:ascii="Times New Roman;Times;serif" w:hAnsi="Times New Roman;Times;serif"/>
                  <w:caps w:val="false"/>
                  <w:smallCaps w:val="false"/>
                  <w:sz w:val="20"/>
                </w:rPr>
                <w:t xml:space="preserve"> </w:t>
              </w:r>
            </w:hyperlink>
            <w:hyperlink r:id="rId32">
              <w:r>
                <w:rPr>
                  <w:rStyle w:val="InternetLink"/>
                  <w:rFonts w:ascii="Times New Roman;Times;serif" w:hAnsi="Times New Roman;Times;serif"/>
                  <w:b w:val="false"/>
                  <w:i w:val="false"/>
                  <w:caps w:val="false"/>
                  <w:smallCaps w:val="false"/>
                  <w:sz w:val="20"/>
                </w:rPr>
                <w:t>(incorporated by reference to Exhibit 4.31 to the Registrant’s Report on Form 20-F filed with the SEC on May 15,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4.32</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33">
              <w:r>
                <w:rPr>
                  <w:rStyle w:val="InternetLink"/>
                  <w:rFonts w:ascii="Times New Roman;Times;serif" w:hAnsi="Times New Roman;Times;serif"/>
                  <w:b w:val="false"/>
                  <w:i w:val="false"/>
                  <w:caps w:val="false"/>
                  <w:smallCaps w:val="false"/>
                  <w:sz w:val="20"/>
                </w:rPr>
                <w:t>Reg S Global Note of the Convertible Note issued by the Company dated January 21, 2026 (incorporated by reference to Exhibit 4.27 to the Registrant’s Report on Form 20-F filed with the SEC on February 13,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4.33</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34">
              <w:r>
                <w:rPr>
                  <w:rStyle w:val="InternetLink"/>
                  <w:rFonts w:ascii="Times New Roman;Times;serif" w:hAnsi="Times New Roman;Times;serif"/>
                  <w:b w:val="false"/>
                  <w:i w:val="false"/>
                  <w:caps w:val="false"/>
                  <w:smallCaps w:val="false"/>
                  <w:sz w:val="20"/>
                </w:rPr>
                <w:t>Subscription Agreement dated April 24, 2026 between SCHMID Group N.V., Gebr. Schmid GmbH and Anette Schmid (incorporated by reference to Exhibit 10.1 to the Registrant’s Report on Form 6-K, furnished to the SEC on April 27,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4.34</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35">
              <w:r>
                <w:rPr>
                  <w:rStyle w:val="InternetLink"/>
                  <w:rFonts w:ascii="Times New Roman;Times;serif" w:hAnsi="Times New Roman;Times;serif"/>
                  <w:b w:val="false"/>
                  <w:i w:val="false"/>
                  <w:caps w:val="false"/>
                  <w:smallCaps w:val="false"/>
                  <w:sz w:val="20"/>
                </w:rPr>
                <w:t>Subscription Agreement dated April 24, 2026 between SCHMID Group N.V., Gebr. Schmid GmbH and Christian Schmid (incorporated by reference to Exhibit 10.2 to the Registrant’s Report on Form 6-K, furnished to the SEC on April 27,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4.35</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36">
              <w:r>
                <w:rPr>
                  <w:rStyle w:val="InternetLink"/>
                  <w:rFonts w:ascii="Times New Roman;Times;serif" w:hAnsi="Times New Roman;Times;serif"/>
                  <w:b w:val="false"/>
                  <w:i w:val="false"/>
                  <w:caps w:val="false"/>
                  <w:smallCaps w:val="false"/>
                  <w:sz w:val="20"/>
                </w:rPr>
                <w:t>Subscription Agreement dated April 24, 2026 between SCHMID Group N.V., Gebr. Schmid GmbH and Christine Schmid (incorporated by reference to Exhibit 10.3 to the Registrant’s Report on Form 6-K, furnished to the SEC on April 27, 2026).</w:t>
              </w:r>
            </w:hyperlink>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II-6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706"/>
        <w:gridCol w:w="346"/>
        <w:gridCol w:w="8753"/>
      </w:tblGrid>
      <w:tr>
        <w:trPr/>
        <w:tc>
          <w:tcPr>
            <w:tcW w:w="70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224155" cy="29210"/>
                      <wp:effectExtent l="0" t="0" r="0" b="0"/>
                      <wp:wrapNone/>
                      <wp:docPr id="643" name="Frame641"/>
                      <a:graphic xmlns:a="http://schemas.openxmlformats.org/drawingml/2006/main">
                        <a:graphicData uri="http://schemas.microsoft.com/office/word/2010/wordprocessingShape">
                          <wps:wsp>
                            <wps:cNvSpPr txBox="1"/>
                            <wps:spPr>
                              <a:xfrm>
                                <a:off x="0" y="0"/>
                                <a:ext cx="2241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p>
        </w:tc>
        <w:tc>
          <w:tcPr>
            <w:tcW w:w="875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2778760" cy="29210"/>
                      <wp:effectExtent l="0" t="0" r="0" b="0"/>
                      <wp:wrapNone/>
                      <wp:docPr id="644" name="Frame642"/>
                      <a:graphic xmlns:a="http://schemas.openxmlformats.org/drawingml/2006/main">
                        <a:graphicData uri="http://schemas.microsoft.com/office/word/2010/wordprocessingShape">
                          <wps:wsp>
                            <wps:cNvSpPr txBox="1"/>
                            <wps:spPr>
                              <a:xfrm>
                                <a:off x="0" y="0"/>
                                <a:ext cx="27787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06"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46" w:type="dxa"/>
            <w:tcBorders/>
            <w:vAlign w:val="center"/>
          </w:tcPr>
          <w:p>
            <w:pPr>
              <w:pStyle w:val="TableHeading"/>
              <w:bidi w:val="0"/>
              <w:spacing w:before="0" w:after="0"/>
              <w:ind w:left="0" w:right="0" w:hanging="0"/>
              <w:jc w:val="left"/>
              <w:rPr/>
            </w:pPr>
            <w:r>
              <w:rPr/>
              <w:t>  ​ ​ ​</w:t>
            </w:r>
          </w:p>
        </w:tc>
        <w:tc>
          <w:tcPr>
            <w:tcW w:w="8753"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7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753" w:type="dxa"/>
            <w:tcBorders/>
            <w:vAlign w:val="center"/>
          </w:tcPr>
          <w:p>
            <w:pPr>
              <w:pStyle w:val="TableHeading"/>
              <w:bidi w:val="0"/>
              <w:spacing w:before="0" w:after="0"/>
              <w:ind w:left="0" w:right="0" w:hanging="0"/>
              <w:jc w:val="center"/>
              <w:rPr/>
            </w:pPr>
            <w:r>
              <w:rPr/>
              <w:t>​</w:t>
            </w:r>
          </w:p>
        </w:tc>
      </w:tr>
      <w:tr>
        <w:trPr/>
        <w:tc>
          <w:tcPr>
            <w:tcW w:w="7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753"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4.36</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37">
              <w:r>
                <w:rPr>
                  <w:rStyle w:val="InternetLink"/>
                  <w:rFonts w:ascii="Times New Roman;Times;serif" w:hAnsi="Times New Roman;Times;serif"/>
                  <w:b w:val="false"/>
                  <w:i w:val="false"/>
                  <w:caps w:val="false"/>
                  <w:smallCaps w:val="false"/>
                  <w:sz w:val="20"/>
                </w:rPr>
                <w:t>Subscription Agreement dated April 24, 2026 between SCHMID Group N.V., Gebr. Schmid GmbH and Schmid Grundstücke GmbH &amp; Co KG (incorporated by reference to Exhibit 10.4 to the Registrant’s Report on Form 6-K, furnished to the SEC on April 27,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4.37</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38">
              <w:r>
                <w:rPr>
                  <w:rStyle w:val="InternetLink"/>
                  <w:rFonts w:ascii="Times New Roman;Times;serif" w:hAnsi="Times New Roman;Times;serif"/>
                  <w:b w:val="false"/>
                  <w:i w:val="false"/>
                  <w:caps w:val="false"/>
                  <w:smallCaps w:val="false"/>
                  <w:sz w:val="20"/>
                </w:rPr>
                <w:t>Set-off Agreement dated April 24, 2026 between SCHMID Group N.V. and Anette Schmid (incorporated by reference to Exhibit 10.5 to the Registrant’s Report on Form 6-K, furnished to the SEC on April 27,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4.38</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39">
              <w:r>
                <w:rPr>
                  <w:rStyle w:val="InternetLink"/>
                  <w:rFonts w:ascii="Times New Roman;Times;serif" w:hAnsi="Times New Roman;Times;serif"/>
                  <w:b w:val="false"/>
                  <w:i w:val="false"/>
                  <w:caps w:val="false"/>
                  <w:smallCaps w:val="false"/>
                  <w:sz w:val="20"/>
                </w:rPr>
                <w:t>Set-off Agreement dated April 24, 2026 between SCHMID Group N.V. and Christian Schmid (incorporated by reference to Exhibit 10.6 to the Registrant’s Report on Form 6-K, furnished to the SEC on April 27,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4.39</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40">
              <w:r>
                <w:rPr>
                  <w:rStyle w:val="InternetLink"/>
                  <w:rFonts w:ascii="Times New Roman;Times;serif" w:hAnsi="Times New Roman;Times;serif"/>
                  <w:b w:val="false"/>
                  <w:i w:val="false"/>
                  <w:caps w:val="false"/>
                  <w:smallCaps w:val="false"/>
                  <w:sz w:val="20"/>
                </w:rPr>
                <w:t>Set-off Agreement dated April 24, 2026 between SCHMID Group N.V. and Christine Schmid (incorporated by reference to Exhibit 10.7 to the Registrant’s Report on Form 6-K, furnished to the SEC on April 27,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4.40</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41">
              <w:r>
                <w:rPr>
                  <w:rStyle w:val="InternetLink"/>
                  <w:rFonts w:ascii="Times New Roman;Times;serif" w:hAnsi="Times New Roman;Times;serif"/>
                  <w:b w:val="false"/>
                  <w:i w:val="false"/>
                  <w:caps w:val="false"/>
                  <w:smallCaps w:val="false"/>
                  <w:sz w:val="20"/>
                </w:rPr>
                <w:t>Set-off Agreement dated April 24, 2026 between SCHMID Group N.V. and Schmid Grundstücke GmbH &amp; Co KG (incorporated by reference to Exhibit 10.8 to the Registrant’s Report on Form 6-K, furnished to the SEC on April 27,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4.41</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42">
              <w:r>
                <w:rPr>
                  <w:rStyle w:val="InternetLink"/>
                  <w:rFonts w:ascii="Times New Roman;Times;serif" w:hAnsi="Times New Roman;Times;serif"/>
                  <w:b w:val="false"/>
                  <w:i w:val="false"/>
                  <w:caps w:val="false"/>
                  <w:smallCaps w:val="false"/>
                  <w:sz w:val="20"/>
                </w:rPr>
                <w:t>Debt Assumption Agreement dated April 24, 2026 between SCHMID Group N.V., Gebr. Schmid GmbH and Anette Schmid (incorporated by reference to Exhibit 10.9 to the Registrant’s Report on Form 6-K, furnished to the SEC on April 27,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4.42</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43">
              <w:r>
                <w:rPr>
                  <w:rStyle w:val="InternetLink"/>
                  <w:rFonts w:ascii="Times New Roman;Times;serif" w:hAnsi="Times New Roman;Times;serif"/>
                  <w:b w:val="false"/>
                  <w:i w:val="false"/>
                  <w:caps w:val="false"/>
                  <w:smallCaps w:val="false"/>
                  <w:sz w:val="20"/>
                </w:rPr>
                <w:t>Debt Assumption Agreement dated April 24, 2026 between SCHMID Group N.V., Gebr. Schmid GmbH and Christian Schmid (incorporated by reference to Exhibit 10.10 to the Registrant’s Report on Form 6-K, furnished to the SEC on April 27,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4.43</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44">
              <w:r>
                <w:rPr>
                  <w:rStyle w:val="InternetLink"/>
                  <w:rFonts w:ascii="Times New Roman;Times;serif" w:hAnsi="Times New Roman;Times;serif"/>
                  <w:b w:val="false"/>
                  <w:i w:val="false"/>
                  <w:caps w:val="false"/>
                  <w:smallCaps w:val="false"/>
                  <w:sz w:val="20"/>
                </w:rPr>
                <w:t>Debt Assumption Agreement dated April 24, 2026 between SCHMID Group N.V., Gebr. Schmid GmbH and Christine Schmid (incorporated by reference to Exhibit 10.11 to the Registrant’s Report on Form 6-K, furnished to the SEC on April 27,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4.44</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45">
              <w:r>
                <w:rPr>
                  <w:rStyle w:val="InternetLink"/>
                  <w:rFonts w:ascii="Times New Roman;Times;serif" w:hAnsi="Times New Roman;Times;serif"/>
                  <w:b w:val="false"/>
                  <w:i w:val="false"/>
                  <w:caps w:val="false"/>
                  <w:smallCaps w:val="false"/>
                  <w:sz w:val="20"/>
                </w:rPr>
                <w:t>Debt Assumption Agreement dated April 24, 2026 between SCHMID Group N.V., Gebr. Schmid GmbH and Schmid Grundstücke GmbH &amp; Co KG (incorporated by reference to Exhibit 10.12 to the Registrant’s Report on Form 6-K, furnished to the SEC on April 27,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4.45</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46">
              <w:r>
                <w:rPr>
                  <w:rStyle w:val="InternetLink"/>
                  <w:rFonts w:ascii="Times New Roman;Times;serif" w:hAnsi="Times New Roman;Times;serif"/>
                  <w:b w:val="false"/>
                  <w:i w:val="false"/>
                  <w:caps w:val="false"/>
                  <w:smallCaps w:val="false"/>
                  <w:sz w:val="20"/>
                </w:rPr>
                <w:t>Share Incentive Plan, as it will be in effect following the adoption by the shareholders meeting to be held on May 20, 2026 (incorporated by reference to Exhibit 10.13 to the Registrant’s Report on Form 6-K, furnished to the SEC on April 27,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4.46</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47">
              <w:r>
                <w:rPr>
                  <w:rStyle w:val="InternetLink"/>
                  <w:rFonts w:ascii="Times New Roman;Times;serif" w:hAnsi="Times New Roman;Times;serif"/>
                  <w:b w:val="false"/>
                  <w:i w:val="false"/>
                  <w:caps w:val="false"/>
                  <w:smallCaps w:val="false"/>
                  <w:sz w:val="20"/>
                </w:rPr>
                <w:t>Standby Equity Purchase Agreement between and among SCHMID Group N.V. and YA II PN, Ltd. dated May 12, 2026 (incorporated by reference to Exhibit 4.46 to the Registrant’s Report on Form 20-F, file with the SEC on May 15,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4.47</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48">
              <w:r>
                <w:rPr>
                  <w:rStyle w:val="InternetLink"/>
                  <w:rFonts w:ascii="Times New Roman;Times;serif" w:hAnsi="Times New Roman;Times;serif"/>
                  <w:b w:val="false"/>
                  <w:i w:val="false"/>
                  <w:caps w:val="false"/>
                  <w:smallCaps w:val="false"/>
                  <w:sz w:val="20"/>
                </w:rPr>
                <w:t>Investment Agreement related to 2029 Convertible Notes of the Company July 7, 2026 (incorporated by reference to Exhibit 10.1 to the Registrant’s Report on Form 6-K, furnished to the SEC on July 7,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4.48</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49">
              <w:r>
                <w:rPr>
                  <w:rStyle w:val="InternetLink"/>
                  <w:rFonts w:ascii="Times New Roman;Times;serif" w:hAnsi="Times New Roman;Times;serif"/>
                  <w:b w:val="false"/>
                  <w:i w:val="false"/>
                  <w:caps w:val="false"/>
                  <w:smallCaps w:val="false"/>
                  <w:sz w:val="20"/>
                </w:rPr>
                <w:t>Indenture related to Convertible Notes of the Company dated July 14, 2026 (incorporated by reference to Exhibit 10.1 to the Registrant’s Report on Form 6-K, furnished to the SEC on July 14,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4.49</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50">
              <w:r>
                <w:rPr>
                  <w:rStyle w:val="InternetLink"/>
                  <w:rFonts w:ascii="Times New Roman;Times;serif" w:hAnsi="Times New Roman;Times;serif"/>
                  <w:b w:val="false"/>
                  <w:i w:val="false"/>
                  <w:caps w:val="false"/>
                  <w:smallCaps w:val="false"/>
                  <w:sz w:val="20"/>
                </w:rPr>
                <w:t>Registration Rights Agreement related to Convertible Notes of the Company dated July 14, 2026 (incorporated by reference to Exhibit 10.2 on Form 6-K, furnished to the SEC on July 14,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4.50</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51">
              <w:r>
                <w:rPr>
                  <w:rStyle w:val="InternetLink"/>
                  <w:rFonts w:ascii="Times New Roman;Times;serif" w:hAnsi="Times New Roman;Times;serif"/>
                  <w:b w:val="false"/>
                  <w:i w:val="false"/>
                  <w:caps w:val="false"/>
                  <w:smallCaps w:val="false"/>
                  <w:sz w:val="20"/>
                </w:rPr>
                <w:t>Subordination Agreement related to Convertible Notes of the Company dated July 14, 2026 (incorporated by reference to Exhibit 10.3 on Form 6-K, furnished to the SEC on July 14,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II-7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706"/>
        <w:gridCol w:w="346"/>
        <w:gridCol w:w="8753"/>
      </w:tblGrid>
      <w:tr>
        <w:trPr/>
        <w:tc>
          <w:tcPr>
            <w:tcW w:w="70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24155" cy="29210"/>
                      <wp:effectExtent l="0" t="0" r="0" b="0"/>
                      <wp:wrapNone/>
                      <wp:docPr id="645" name="Frame643"/>
                      <a:graphic xmlns:a="http://schemas.openxmlformats.org/drawingml/2006/main">
                        <a:graphicData uri="http://schemas.microsoft.com/office/word/2010/wordprocessingShape">
                          <wps:wsp>
                            <wps:cNvSpPr txBox="1"/>
                            <wps:spPr>
                              <a:xfrm>
                                <a:off x="0" y="0"/>
                                <a:ext cx="2241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p>
        </w:tc>
        <w:tc>
          <w:tcPr>
            <w:tcW w:w="875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2778760" cy="29210"/>
                      <wp:effectExtent l="0" t="0" r="0" b="0"/>
                      <wp:wrapNone/>
                      <wp:docPr id="646" name="Frame644"/>
                      <a:graphic xmlns:a="http://schemas.openxmlformats.org/drawingml/2006/main">
                        <a:graphicData uri="http://schemas.microsoft.com/office/word/2010/wordprocessingShape">
                          <wps:wsp>
                            <wps:cNvSpPr txBox="1"/>
                            <wps:spPr>
                              <a:xfrm>
                                <a:off x="0" y="0"/>
                                <a:ext cx="27787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06"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46" w:type="dxa"/>
            <w:tcBorders/>
            <w:vAlign w:val="center"/>
          </w:tcPr>
          <w:p>
            <w:pPr>
              <w:pStyle w:val="TableHeading"/>
              <w:bidi w:val="0"/>
              <w:spacing w:before="0" w:after="0"/>
              <w:ind w:left="0" w:right="0" w:hanging="0"/>
              <w:jc w:val="left"/>
              <w:rPr/>
            </w:pPr>
            <w:r>
              <w:rPr/>
              <w:t>  ​ ​ ​</w:t>
            </w:r>
          </w:p>
        </w:tc>
        <w:tc>
          <w:tcPr>
            <w:tcW w:w="8753"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7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753" w:type="dxa"/>
            <w:tcBorders/>
            <w:vAlign w:val="center"/>
          </w:tcPr>
          <w:p>
            <w:pPr>
              <w:pStyle w:val="TableHeading"/>
              <w:bidi w:val="0"/>
              <w:spacing w:before="0" w:after="0"/>
              <w:ind w:left="0" w:right="0" w:hanging="0"/>
              <w:jc w:val="center"/>
              <w:rPr/>
            </w:pPr>
            <w:r>
              <w:rPr/>
              <w:t>​</w:t>
            </w:r>
          </w:p>
        </w:tc>
      </w:tr>
      <w:tr>
        <w:trPr/>
        <w:tc>
          <w:tcPr>
            <w:tcW w:w="7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753"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52">
              <w:r>
                <w:rPr>
                  <w:rStyle w:val="InternetLink"/>
                  <w:rFonts w:ascii="Times New Roman;Times;serif" w:hAnsi="Times New Roman;Times;serif"/>
                  <w:b w:val="false"/>
                  <w:i w:val="false"/>
                  <w:caps w:val="false"/>
                  <w:smallCaps w:val="false"/>
                  <w:sz w:val="20"/>
                </w:rPr>
                <w:t>Amended and Restated Subordination Agreement related to Convertible Notes of the Company dated July 14, 2026 (incorporated by reference to Exhibit 10.4 on Form 6-K, furnished to the SEC on July 14,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4.51*</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w:anchor="shmd-20251231xex4d51.htm">
              <w:r>
                <w:rPr>
                  <w:rStyle w:val="InternetLink"/>
                  <w:rFonts w:ascii="Times New Roman;Times;serif" w:hAnsi="Times New Roman;Times;serif"/>
                  <w:b w:val="false"/>
                  <w:i w:val="false"/>
                  <w:caps w:val="false"/>
                  <w:smallCaps w:val="false"/>
                  <w:sz w:val="20"/>
                </w:rPr>
                <w:t>144A Global Note of the Convertible Note issued by the Company dated July 14,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4.52*</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w:anchor="shmd-20251231xex4d52.htm">
              <w:r>
                <w:rPr>
                  <w:rStyle w:val="InternetLink"/>
                  <w:rFonts w:ascii="Times New Roman;Times;serif" w:hAnsi="Times New Roman;Times;serif"/>
                  <w:b w:val="false"/>
                  <w:i w:val="false"/>
                  <w:caps w:val="false"/>
                  <w:smallCaps w:val="false"/>
                  <w:sz w:val="20"/>
                </w:rPr>
                <w:t>Reg S Global Note of the Convertible Note issued by the Company dated July 14,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w:anchor="shmd-20251231xex5d1.htm">
              <w:r>
                <w:rPr>
                  <w:rStyle w:val="InternetLink"/>
                  <w:rFonts w:ascii="Times New Roman;Times;serif" w:hAnsi="Times New Roman;Times;serif"/>
                  <w:b w:val="false"/>
                  <w:i w:val="false"/>
                  <w:caps w:val="false"/>
                  <w:smallCaps w:val="false"/>
                  <w:sz w:val="20"/>
                </w:rPr>
                <w:t>Opinion of Clifford Chance LLP regarding (i) valid issue, (ii) paying up and (iii) non-assessability of SCHMID Group N.V. shares.</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w:anchor="shmd-20251231xex5d2.htm">
              <w:r>
                <w:rPr>
                  <w:rStyle w:val="InternetLink"/>
                  <w:rFonts w:ascii="Times New Roman;Times;serif" w:hAnsi="Times New Roman;Times;serif"/>
                  <w:b w:val="false"/>
                  <w:i w:val="false"/>
                  <w:caps w:val="false"/>
                  <w:smallCaps w:val="false"/>
                  <w:sz w:val="20"/>
                </w:rPr>
                <w:t>US Opinion of Clifford Chance PmbB regarding securities of SCHMID Group N.V.</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53">
              <w:r>
                <w:rPr>
                  <w:rStyle w:val="InternetLink"/>
                  <w:rFonts w:ascii="Times New Roman;Times;serif" w:hAnsi="Times New Roman;Times;serif"/>
                  <w:b w:val="false"/>
                  <w:i w:val="false"/>
                  <w:caps w:val="false"/>
                  <w:smallCaps w:val="false"/>
                  <w:sz w:val="20"/>
                </w:rPr>
                <w:t>Share and Options Bonus Award for Arthur Schuetz dated February 10, 2026</w:t>
              </w:r>
            </w:hyperlink>
            <w:hyperlink r:id="rId54">
              <w:r>
                <w:rPr>
                  <w:rStyle w:val="InternetLink"/>
                  <w:rFonts w:ascii="Times New Roman;Times;serif" w:hAnsi="Times New Roman;Times;serif"/>
                  <w:caps w:val="false"/>
                  <w:smallCaps w:val="false"/>
                  <w:sz w:val="20"/>
                </w:rPr>
                <w:t xml:space="preserve"> </w:t>
              </w:r>
            </w:hyperlink>
            <w:hyperlink r:id="rId55">
              <w:r>
                <w:rPr>
                  <w:rStyle w:val="InternetLink"/>
                  <w:rFonts w:ascii="Times New Roman;Times;serif" w:hAnsi="Times New Roman;Times;serif"/>
                  <w:b w:val="false"/>
                  <w:i w:val="false"/>
                  <w:caps w:val="false"/>
                  <w:smallCaps w:val="false"/>
                  <w:sz w:val="20"/>
                </w:rPr>
                <w:t>(incorporated by reference to Exhibit 10.1 to the Issuer’s Registration Statement on Form F-1/A (Reg. No. 333-293511).</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56">
              <w:r>
                <w:rPr>
                  <w:rStyle w:val="InternetLink"/>
                  <w:rFonts w:ascii="Times New Roman;Times;serif" w:hAnsi="Times New Roman;Times;serif"/>
                  <w:b w:val="false"/>
                  <w:i w:val="false"/>
                  <w:caps w:val="false"/>
                  <w:smallCaps w:val="false"/>
                  <w:sz w:val="20"/>
                </w:rPr>
                <w:t>Incentive Share Award for 2026 for Arthur Schuetz dated February 10, 2026</w:t>
              </w:r>
            </w:hyperlink>
            <w:hyperlink r:id="rId57">
              <w:r>
                <w:rPr>
                  <w:rStyle w:val="InternetLink"/>
                  <w:rFonts w:ascii="Times New Roman;Times;serif" w:hAnsi="Times New Roman;Times;serif"/>
                  <w:caps w:val="false"/>
                  <w:smallCaps w:val="false"/>
                  <w:sz w:val="20"/>
                </w:rPr>
                <w:t xml:space="preserve"> </w:t>
              </w:r>
            </w:hyperlink>
            <w:hyperlink r:id="rId58">
              <w:r>
                <w:rPr>
                  <w:rStyle w:val="InternetLink"/>
                  <w:rFonts w:ascii="Times New Roman;Times;serif" w:hAnsi="Times New Roman;Times;serif"/>
                  <w:b w:val="false"/>
                  <w:i w:val="false"/>
                  <w:caps w:val="false"/>
                  <w:smallCaps w:val="false"/>
                  <w:sz w:val="20"/>
                </w:rPr>
                <w:t>(incorporated by reference to Exhibit 10.2 to the Issuer’s Registration Statement on Form F-1/A (Reg. No. 333-293511).</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59">
              <w:r>
                <w:rPr>
                  <w:rStyle w:val="InternetLink"/>
                  <w:rFonts w:ascii="Times New Roman;Times;serif" w:hAnsi="Times New Roman;Times;serif"/>
                  <w:b w:val="false"/>
                  <w:i w:val="false"/>
                  <w:caps w:val="false"/>
                  <w:smallCaps w:val="false"/>
                  <w:sz w:val="20"/>
                </w:rPr>
                <w:t>Share and Options Bonus Award for Helmut Rauch dated February 10, 2026</w:t>
              </w:r>
            </w:hyperlink>
            <w:hyperlink r:id="rId60">
              <w:r>
                <w:rPr>
                  <w:rStyle w:val="InternetLink"/>
                  <w:rFonts w:ascii="Times New Roman;Times;serif" w:hAnsi="Times New Roman;Times;serif"/>
                  <w:caps w:val="false"/>
                  <w:smallCaps w:val="false"/>
                  <w:sz w:val="20"/>
                </w:rPr>
                <w:t xml:space="preserve"> </w:t>
              </w:r>
            </w:hyperlink>
            <w:hyperlink r:id="rId61">
              <w:r>
                <w:rPr>
                  <w:rStyle w:val="InternetLink"/>
                  <w:rFonts w:ascii="Times New Roman;Times;serif" w:hAnsi="Times New Roman;Times;serif"/>
                  <w:b w:val="false"/>
                  <w:i w:val="false"/>
                  <w:caps w:val="false"/>
                  <w:smallCaps w:val="false"/>
                  <w:sz w:val="20"/>
                </w:rPr>
                <w:t>(incorporated by reference to Exhibit 10.3 to the Issuer’s Registration Statement on Form F-1/A (Reg. No. 333-293511).</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62">
              <w:r>
                <w:rPr>
                  <w:rStyle w:val="InternetLink"/>
                  <w:rFonts w:ascii="Times New Roman;Times;serif" w:hAnsi="Times New Roman;Times;serif"/>
                  <w:b w:val="false"/>
                  <w:i w:val="false"/>
                  <w:caps w:val="false"/>
                  <w:smallCaps w:val="false"/>
                  <w:sz w:val="20"/>
                </w:rPr>
                <w:t>Incentive Share Award for 2026 for Helmut Rauch dated February 10, 2026</w:t>
              </w:r>
            </w:hyperlink>
            <w:hyperlink r:id="rId63">
              <w:r>
                <w:rPr>
                  <w:rStyle w:val="InternetLink"/>
                  <w:rFonts w:ascii="Times New Roman;Times;serif" w:hAnsi="Times New Roman;Times;serif"/>
                  <w:caps w:val="false"/>
                  <w:smallCaps w:val="false"/>
                  <w:sz w:val="20"/>
                </w:rPr>
                <w:t xml:space="preserve"> </w:t>
              </w:r>
            </w:hyperlink>
            <w:hyperlink r:id="rId64">
              <w:r>
                <w:rPr>
                  <w:rStyle w:val="InternetLink"/>
                  <w:rFonts w:ascii="Times New Roman;Times;serif" w:hAnsi="Times New Roman;Times;serif"/>
                  <w:b w:val="false"/>
                  <w:i w:val="false"/>
                  <w:caps w:val="false"/>
                  <w:smallCaps w:val="false"/>
                  <w:sz w:val="20"/>
                </w:rPr>
                <w:t>(incorporated by reference to Exhibit 10.4 to the Issuer’s Registration Statement on Form F-1/A (Reg. No. 333-293511).</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21.1</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65">
              <w:r>
                <w:rPr>
                  <w:rStyle w:val="InternetLink"/>
                  <w:rFonts w:ascii="Times New Roman;Times;serif" w:hAnsi="Times New Roman;Times;serif"/>
                  <w:b w:val="false"/>
                  <w:i w:val="false"/>
                  <w:caps w:val="false"/>
                  <w:smallCaps w:val="false"/>
                  <w:sz w:val="20"/>
                </w:rPr>
                <w:t>List of Subsidiaries of SCHMID Group N.V. (incorporated by reference to Exhibit 8.1 to the Company’s Annual Report Form 20-F filed with the SEC on February 13, 2026).</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23.1*</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w:anchor="shmd-20251231xex23d1.htm">
              <w:r>
                <w:rPr>
                  <w:rStyle w:val="InternetLink"/>
                  <w:rFonts w:ascii="Times New Roman;Times;serif" w:hAnsi="Times New Roman;Times;serif"/>
                  <w:b w:val="false"/>
                  <w:i w:val="false"/>
                  <w:caps w:val="false"/>
                  <w:smallCaps w:val="false"/>
                  <w:sz w:val="20"/>
                </w:rPr>
                <w:t>Consent of KPMG AG Wirtschaftsprüfungsgesellschaft independent registered public accounting firm.</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23.2*</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w:anchor="shmd-20251231xex5d1.htm">
              <w:r>
                <w:rPr>
                  <w:rStyle w:val="InternetLink"/>
                  <w:rFonts w:ascii="Times New Roman;Times;serif" w:hAnsi="Times New Roman;Times;serif"/>
                  <w:b w:val="false"/>
                  <w:i w:val="false"/>
                  <w:caps w:val="false"/>
                  <w:smallCaps w:val="false"/>
                  <w:sz w:val="20"/>
                </w:rPr>
                <w:t>Consent of Dutch Counsel of Registration (included as part of Exhibit 5.1).</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23.3*</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w:anchor="shmd-20251231xex5d2.htm">
              <w:r>
                <w:rPr>
                  <w:rStyle w:val="InternetLink"/>
                  <w:rFonts w:ascii="Times New Roman;Times;serif" w:hAnsi="Times New Roman;Times;serif"/>
                  <w:b w:val="false"/>
                  <w:i w:val="false"/>
                  <w:caps w:val="false"/>
                  <w:smallCaps w:val="false"/>
                  <w:sz w:val="20"/>
                </w:rPr>
                <w:t>Consent of US Counsel of Registration (included as part of Exhibit 5.2).</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24.1*</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w:anchor="POWEROFATTORNEY">
              <w:r>
                <w:rPr>
                  <w:rStyle w:val="InternetLink"/>
                  <w:rFonts w:ascii="Times New Roman;Times;serif" w:hAnsi="Times New Roman;Times;serif"/>
                  <w:b w:val="false"/>
                  <w:i w:val="false"/>
                  <w:caps w:val="false"/>
                  <w:smallCaps w:val="false"/>
                  <w:sz w:val="20"/>
                </w:rPr>
                <w:t>Power of Attorney (included on signature page of this Registration Statement).</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66">
              <w:r>
                <w:rPr>
                  <w:rStyle w:val="InternetLink"/>
                  <w:rFonts w:ascii="Times New Roman;Times;serif" w:hAnsi="Times New Roman;Times;serif"/>
                  <w:b w:val="false"/>
                  <w:i w:val="false"/>
                  <w:caps w:val="false"/>
                  <w:smallCaps w:val="false"/>
                  <w:sz w:val="20"/>
                </w:rPr>
                <w:t>Insider Trading Policy (incorporated by reference to Exhibit 11.2 to the Company’s Annual Report on Form 20-F filed with the SEC on May 15, 2024).</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99.2</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67">
              <w:r>
                <w:rPr>
                  <w:rStyle w:val="InternetLink"/>
                  <w:rFonts w:ascii="Times New Roman;Times;serif" w:hAnsi="Times New Roman;Times;serif"/>
                  <w:b w:val="false"/>
                  <w:i w:val="false"/>
                  <w:caps w:val="false"/>
                  <w:smallCaps w:val="false"/>
                  <w:sz w:val="20"/>
                </w:rPr>
                <w:t>Clawback Policy (incorporated by reference to Exhibit 97.1 to the Company’s Annual Report on Form 20-F filed with the SEC on May 15, 2024).</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99.3</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r:id="rId68">
              <w:r>
                <w:rPr>
                  <w:rStyle w:val="InternetLink"/>
                  <w:rFonts w:ascii="Times New Roman;Times;serif" w:hAnsi="Times New Roman;Times;serif"/>
                  <w:b w:val="false"/>
                  <w:i w:val="false"/>
                  <w:caps w:val="false"/>
                  <w:smallCaps w:val="false"/>
                  <w:sz w:val="20"/>
                </w:rPr>
                <w:t>Code of Conduct of SCHMID Group N.V. (incorporated by reference to Exhibit 11.1 to the Company’s Annual Report on Form 20-F filed with the SEC on May 15, 2024).</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0"/>
              <w:ind w:left="0" w:right="0" w:hanging="0"/>
              <w:jc w:val="left"/>
              <w:rPr/>
            </w:pPr>
            <w:r>
              <w:rPr/>
              <w:t>​</w:t>
            </w:r>
          </w:p>
        </w:tc>
        <w:tc>
          <w:tcPr>
            <w:tcW w:w="8753" w:type="dxa"/>
            <w:tcBorders/>
            <w:vAlign w:val="center"/>
          </w:tcPr>
          <w:p>
            <w:pPr>
              <w:pStyle w:val="TableContents"/>
              <w:bidi w:val="0"/>
              <w:spacing w:before="0" w:after="0"/>
              <w:ind w:left="0" w:right="0" w:hanging="0"/>
              <w:jc w:val="left"/>
              <w:rPr/>
            </w:pPr>
            <w:hyperlink w:anchor="shmd-20251231xexfees.htm">
              <w:r>
                <w:rPr>
                  <w:rStyle w:val="InternetLink"/>
                  <w:rFonts w:ascii="Times New Roman;Times;serif" w:hAnsi="Times New Roman;Times;serif"/>
                  <w:b w:val="false"/>
                  <w:i w:val="false"/>
                  <w:caps w:val="false"/>
                  <w:smallCaps w:val="false"/>
                  <w:sz w:val="20"/>
                </w:rPr>
                <w:t>Filing Fee Table.</w:t>
              </w:r>
            </w:hyperlink>
          </w:p>
        </w:tc>
      </w:tr>
    </w:tbl>
    <w:tbl>
      <w:tblPr>
        <w:tblW w:w="1547" w:type="dxa"/>
        <w:jc w:val="left"/>
        <w:tblInd w:w="200" w:type="dxa"/>
        <w:tblLayout w:type="fixed"/>
        <w:tblCellMar>
          <w:top w:w="0" w:type="dxa"/>
          <w:left w:w="0" w:type="dxa"/>
          <w:bottom w:w="0" w:type="dxa"/>
          <w:right w:w="0" w:type="dxa"/>
        </w:tblCellMar>
      </w:tblPr>
      <w:tblGrid>
        <w:gridCol w:w="226"/>
        <w:gridCol w:w="1321"/>
      </w:tblGrid>
      <w:tr>
        <w:trPr/>
        <w:tc>
          <w:tcPr>
            <w:tcW w:w="226" w:type="dxa"/>
            <w:tcBorders/>
            <w:vAlign w:val="center"/>
          </w:tcPr>
          <w:p>
            <w:pPr>
              <w:pStyle w:val="TableContents"/>
              <w:bidi w:val="0"/>
              <w:spacing w:before="0" w:after="160"/>
              <w:jc w:val="left"/>
              <w:rPr>
                <w:rFonts w:ascii="Times New Roman;Times;serif" w:hAnsi="Times New Roman;Times;serif"/>
                <w:sz w:val="20"/>
              </w:rPr>
            </w:pPr>
            <w:r>
              <w:rPr>
                <w:rFonts w:ascii="Times New Roman;Times;serif" w:hAnsi="Times New Roman;Times;serif"/>
                <w:sz w:val="20"/>
              </w:rPr>
              <w:t>*</w:t>
            </w:r>
          </w:p>
        </w:tc>
        <w:tc>
          <w:tcPr>
            <w:tcW w:w="1321" w:type="dxa"/>
            <w:tcBorders/>
            <w:vAlign w:val="center"/>
          </w:tcPr>
          <w:p>
            <w:pPr>
              <w:pStyle w:val="TableContents"/>
              <w:bidi w:val="0"/>
              <w:spacing w:before="0" w:after="160"/>
              <w:jc w:val="left"/>
              <w:rPr>
                <w:rFonts w:ascii="Times New Roman;Times;serif" w:hAnsi="Times New Roman;Times;serif"/>
                <w:sz w:val="20"/>
              </w:rPr>
            </w:pPr>
            <w:r>
              <w:rPr>
                <w:rFonts w:ascii="Times New Roman;Times;serif" w:hAnsi="Times New Roman;Times;serif"/>
                <w:sz w:val="20"/>
              </w:rPr>
              <w:t>Filed herewith</w:t>
            </w:r>
          </w:p>
        </w:tc>
      </w:tr>
    </w:tbl>
    <w:tbl>
      <w:tblPr>
        <w:tblW w:w="3096" w:type="dxa"/>
        <w:jc w:val="left"/>
        <w:tblInd w:w="200" w:type="dxa"/>
        <w:tblLayout w:type="fixed"/>
        <w:tblCellMar>
          <w:top w:w="0" w:type="dxa"/>
          <w:left w:w="0" w:type="dxa"/>
          <w:bottom w:w="0" w:type="dxa"/>
          <w:right w:w="0" w:type="dxa"/>
        </w:tblCellMar>
      </w:tblPr>
      <w:tblGrid>
        <w:gridCol w:w="124"/>
        <w:gridCol w:w="331"/>
        <w:gridCol w:w="264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160"/>
              <w:jc w:val="left"/>
              <w:rPr>
                <w:rFonts w:ascii="Times New Roman;Times;serif" w:hAnsi="Times New Roman;Times;serif"/>
                <w:sz w:val="20"/>
              </w:rPr>
            </w:pPr>
            <w:r>
              <w:rPr>
                <w:rFonts w:ascii="Times New Roman;Times;serif" w:hAnsi="Times New Roman;Times;serif"/>
                <w:sz w:val="20"/>
              </w:rPr>
              <w:t>(b)</w:t>
            </w:r>
          </w:p>
        </w:tc>
        <w:tc>
          <w:tcPr>
            <w:tcW w:w="2641" w:type="dxa"/>
            <w:tcBorders/>
            <w:vAlign w:val="center"/>
          </w:tcPr>
          <w:p>
            <w:pPr>
              <w:pStyle w:val="TableContents"/>
              <w:bidi w:val="0"/>
              <w:spacing w:before="0" w:after="160"/>
              <w:jc w:val="left"/>
              <w:rPr>
                <w:rFonts w:ascii="Times New Roman;Times;serif" w:hAnsi="Times New Roman;Times;serif"/>
                <w:sz w:val="20"/>
              </w:rPr>
            </w:pPr>
            <w:r>
              <w:rPr>
                <w:rFonts w:ascii="Times New Roman;Times;serif" w:hAnsi="Times New Roman;Times;serif"/>
                <w:sz w:val="20"/>
              </w:rPr>
              <w:t>Financial Statement Schedules</w:t>
            </w:r>
          </w:p>
        </w:tc>
      </w:tr>
    </w:tbl>
    <w:p>
      <w:pPr>
        <w:pStyle w:val="TextBody"/>
        <w:bidi w:val="0"/>
        <w:spacing w:before="0" w:after="160"/>
        <w:ind w:left="200" w:right="200" w:firstLine="360"/>
        <w:jc w:val="left"/>
        <w:rPr>
          <w:rFonts w:ascii="Times New Roman;Times;serif" w:hAnsi="Times New Roman;Times;serif"/>
          <w:sz w:val="20"/>
        </w:rPr>
      </w:pPr>
      <w:r>
        <w:rPr>
          <w:rFonts w:ascii="Times New Roman;Times;serif" w:hAnsi="Times New Roman;Times;serif"/>
          <w:sz w:val="20"/>
        </w:rPr>
        <w:t>Schedules have been omitted because the information required to be set forth therein is not applicable or is shown in the financial statements or notes thereto.</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II-8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971" w:type="dxa"/>
        <w:jc w:val="left"/>
        <w:tblInd w:w="200" w:type="dxa"/>
        <w:tblLayout w:type="fixed"/>
        <w:tblCellMar>
          <w:top w:w="0" w:type="dxa"/>
          <w:left w:w="0" w:type="dxa"/>
          <w:bottom w:w="0" w:type="dxa"/>
          <w:right w:w="0" w:type="dxa"/>
        </w:tblCellMar>
      </w:tblPr>
      <w:tblGrid>
        <w:gridCol w:w="124"/>
        <w:gridCol w:w="316"/>
        <w:gridCol w:w="153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160"/>
              <w:jc w:val="left"/>
              <w:rPr>
                <w:rFonts w:ascii="Times New Roman;Times;serif" w:hAnsi="Times New Roman;Times;serif"/>
                <w:sz w:val="20"/>
              </w:rPr>
            </w:pPr>
            <w:r>
              <w:rPr>
                <w:rFonts w:ascii="Times New Roman;Times;serif" w:hAnsi="Times New Roman;Times;serif"/>
                <w:sz w:val="20"/>
              </w:rPr>
              <w:t>(c)</w:t>
            </w:r>
          </w:p>
        </w:tc>
        <w:tc>
          <w:tcPr>
            <w:tcW w:w="1531" w:type="dxa"/>
            <w:tcBorders/>
            <w:vAlign w:val="center"/>
          </w:tcPr>
          <w:p>
            <w:pPr>
              <w:pStyle w:val="TableContents"/>
              <w:bidi w:val="0"/>
              <w:spacing w:before="0" w:after="160"/>
              <w:jc w:val="left"/>
              <w:rPr>
                <w:rFonts w:ascii="Times New Roman;Times;serif" w:hAnsi="Times New Roman;Times;serif"/>
                <w:sz w:val="20"/>
              </w:rPr>
            </w:pPr>
            <w:r>
              <w:rPr>
                <w:rFonts w:ascii="Times New Roman;Times;serif" w:hAnsi="Times New Roman;Times;serif"/>
                <w:sz w:val="20"/>
              </w:rPr>
              <w:t>Filing Fee Table.</w:t>
            </w:r>
          </w:p>
        </w:tc>
      </w:tr>
    </w:tbl>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Filing Fee Table and related disclosure is filed herewith as Exhibit 107.</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bookmarkStart w:id="2186" w:name="_3326f739_947d_4a07_9ee0_4590fa609fe6"/>
      <w:bookmarkEnd w:id="2186"/>
      <w:r>
        <w:rPr>
          <w:rFonts w:ascii="Times New Roman;Times;serif" w:hAnsi="Times New Roman;Times;serif"/>
          <w:b/>
          <w:sz w:val="20"/>
        </w:rPr>
        <w:t>Item 9. Undertakings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undersigned registrant hereby undertakes:</w:t>
      </w:r>
    </w:p>
    <w:p>
      <w:pPr>
        <w:pStyle w:val="TextBody"/>
        <w:bidi w:val="0"/>
        <w:spacing w:before="0" w:after="240"/>
        <w:ind w:left="560" w:right="200" w:firstLine="360"/>
        <w:jc w:val="left"/>
        <w:rPr>
          <w:rFonts w:ascii="Times New Roman;Times;serif" w:hAnsi="Times New Roman;Times;serif"/>
          <w:sz w:val="20"/>
        </w:rPr>
      </w:pPr>
      <w:r>
        <w:rPr>
          <w:rFonts w:ascii="Times New Roman;Times;serif" w:hAnsi="Times New Roman;Times;serif"/>
          <w:sz w:val="20"/>
        </w:rPr>
        <w:t>(1)   to file, during any period in which offers or sales are being made, a post-effective amendment to this registration statement: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to include any prospectus required by Section 10(a)(3) of the Securities Act;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Registration Fee” table in the effective registration statement; and</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to include any material information with respect to the plan of distribution not previously disclosed in the registration statement or any material change to such information in the registration statement;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Paragraphs (i), (ii) and (iii) do not apply if the information required to be included in a post-effective amendment by those paragraphs is contained in reports filed with or furnished to the SEC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pStyle w:val="TextBody"/>
        <w:bidi w:val="0"/>
        <w:spacing w:before="0" w:after="240"/>
        <w:ind w:left="560" w:right="200" w:firstLine="360"/>
        <w:jc w:val="left"/>
        <w:rPr>
          <w:rFonts w:ascii="Times New Roman;Times;serif" w:hAnsi="Times New Roman;Times;serif"/>
          <w:sz w:val="20"/>
        </w:rPr>
      </w:pPr>
      <w:r>
        <w:rPr>
          <w:rFonts w:ascii="Times New Roman;Times;serif" w:hAnsi="Times New Roman;Times;serif"/>
          <w:sz w:val="20"/>
        </w:rPr>
        <w:t>(2)   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bidi w:val="0"/>
        <w:spacing w:before="0" w:after="240"/>
        <w:ind w:left="560" w:right="200" w:firstLine="360"/>
        <w:jc w:val="left"/>
        <w:rPr>
          <w:rFonts w:ascii="Times New Roman;Times;serif" w:hAnsi="Times New Roman;Times;serif"/>
          <w:sz w:val="20"/>
        </w:rPr>
      </w:pPr>
      <w:r>
        <w:rPr>
          <w:rFonts w:ascii="Times New Roman;Times;serif" w:hAnsi="Times New Roman;Times;serif"/>
          <w:sz w:val="20"/>
        </w:rPr>
        <w:t>(3)   To remove from registration by means of a post-effective amendment any of the securities being registered which remain unsold at the termination of the offering.</w:t>
      </w:r>
    </w:p>
    <w:p>
      <w:pPr>
        <w:pStyle w:val="TextBody"/>
        <w:bidi w:val="0"/>
        <w:spacing w:before="0" w:after="240"/>
        <w:ind w:left="560" w:right="200" w:firstLine="360"/>
        <w:jc w:val="left"/>
        <w:rPr>
          <w:rFonts w:ascii="Times New Roman;Times;serif" w:hAnsi="Times New Roman;Times;serif"/>
          <w:sz w:val="20"/>
        </w:rPr>
      </w:pPr>
      <w:r>
        <w:rPr>
          <w:rFonts w:ascii="Times New Roman;Times;serif" w:hAnsi="Times New Roman;Times;serif"/>
          <w:sz w:val="20"/>
        </w:rPr>
        <w:t>(4)   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this registration statement.</w:t>
      </w:r>
    </w:p>
    <w:p>
      <w:pPr>
        <w:pStyle w:val="TextBody"/>
        <w:bidi w:val="0"/>
        <w:spacing w:before="0" w:after="240"/>
        <w:ind w:left="560" w:right="200" w:firstLine="360"/>
        <w:jc w:val="left"/>
        <w:rPr>
          <w:rFonts w:ascii="Times New Roman;Times;serif" w:hAnsi="Times New Roman;Times;serif"/>
          <w:sz w:val="20"/>
        </w:rPr>
      </w:pPr>
      <w:r>
        <w:rPr>
          <w:rFonts w:ascii="Times New Roman;Times;serif" w:hAnsi="Times New Roman;Times;serif"/>
          <w:sz w:val="20"/>
        </w:rPr>
        <w:t>(5)   That, for the purpose of determining liability under the Securities Act to any purchaser:</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If the registrant is relying on Rule 430B:</w:t>
      </w:r>
    </w:p>
    <w:p>
      <w:pPr>
        <w:pStyle w:val="TextBody"/>
        <w:bidi w:val="0"/>
        <w:spacing w:before="0" w:after="240"/>
        <w:ind w:left="1280" w:right="200" w:firstLine="360"/>
        <w:jc w:val="left"/>
        <w:rPr>
          <w:rFonts w:ascii="Times New Roman;Times;serif" w:hAnsi="Times New Roman;Times;serif"/>
          <w:sz w:val="20"/>
        </w:rPr>
      </w:pPr>
      <w:r>
        <w:rPr>
          <w:rFonts w:ascii="Times New Roman;Times;serif" w:hAnsi="Times New Roman;Times;serif"/>
          <w:sz w:val="20"/>
        </w:rPr>
        <w:t>(A)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II-9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1280" w:right="200" w:firstLine="360"/>
        <w:jc w:val="left"/>
        <w:rPr>
          <w:rFonts w:ascii="Times New Roman;Times;serif" w:hAnsi="Times New Roman;Times;serif"/>
          <w:sz w:val="20"/>
        </w:rPr>
      </w:pPr>
      <w:r>
        <w:rPr>
          <w:rFonts w:ascii="Times New Roman;Times;serif" w:hAnsi="Times New Roman;Times;serif"/>
          <w:sz w:val="20"/>
        </w:rPr>
        <w:t>(B)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undersigned registrant hereby undertakes:</w:t>
      </w:r>
    </w:p>
    <w:p>
      <w:pPr>
        <w:pStyle w:val="TextBody"/>
        <w:bidi w:val="0"/>
        <w:spacing w:before="0" w:after="240"/>
        <w:ind w:left="560" w:right="200" w:firstLine="360"/>
        <w:jc w:val="left"/>
        <w:rPr>
          <w:rFonts w:ascii="Times New Roman;Times;serif" w:hAnsi="Times New Roman;Times;serif"/>
          <w:sz w:val="20"/>
        </w:rPr>
      </w:pPr>
      <w:r>
        <w:rPr>
          <w:rFonts w:ascii="Times New Roman;Times;serif" w:hAnsi="Times New Roman;Times;serif"/>
          <w:sz w:val="20"/>
        </w:rPr>
        <w:t>(1)   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pStyle w:val="TextBody"/>
        <w:bidi w:val="0"/>
        <w:spacing w:before="0" w:after="240"/>
        <w:ind w:left="560" w:right="200" w:firstLine="360"/>
        <w:jc w:val="left"/>
        <w:rPr>
          <w:rFonts w:ascii="Times New Roman;Times;serif" w:hAnsi="Times New Roman;Times;serif"/>
          <w:sz w:val="18"/>
        </w:rPr>
      </w:pPr>
      <w:r>
        <w:rPr>
          <w:rFonts w:ascii="Times New Roman;Times;serif" w:hAnsi="Times New Roman;Times;serif"/>
          <w:sz w:val="20"/>
        </w:rPr>
        <w:t>(2)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r>
        <w:rPr>
          <w:rFonts w:ascii="Times New Roman;Times;serif" w:hAnsi="Times New Roman;Times;serif"/>
          <w:sz w:val="18"/>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II-10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2187" w:name="_1e9d16bb_652a_433b_81d3_beb96312e9c3"/>
      <w:bookmarkEnd w:id="2187"/>
      <w:r>
        <w:rPr>
          <w:rFonts w:ascii="Times New Roman;Times;serif" w:hAnsi="Times New Roman;Times;serif"/>
          <w:b/>
          <w:sz w:val="20"/>
        </w:rPr>
        <w:t>SIGNATURES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Pursuant to the requirements of the Securities Act of 1933, as amended, the Registrant has duly caused this Registration Statement on Form F-1 to be signed on its behalf by the undersigned, thereunto duly authorized, in Freudenstadt, Germany, on July 16, 2026.</w:t>
      </w:r>
    </w:p>
    <w:tbl>
      <w:tblPr>
        <w:tblW w:w="3036" w:type="dxa"/>
        <w:jc w:val="left"/>
        <w:tblInd w:w="200" w:type="dxa"/>
        <w:tblLayout w:type="fixed"/>
        <w:tblCellMar>
          <w:top w:w="0" w:type="dxa"/>
          <w:left w:w="0" w:type="dxa"/>
          <w:bottom w:w="0" w:type="dxa"/>
          <w:right w:w="0" w:type="dxa"/>
        </w:tblCellMar>
      </w:tblPr>
      <w:tblGrid>
        <w:gridCol w:w="124"/>
        <w:gridCol w:w="406"/>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291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SCHMID Group N.V.</w:t>
            </w:r>
          </w:p>
        </w:tc>
      </w:tr>
      <w:tr>
        <w:trPr/>
        <w:tc>
          <w:tcPr>
            <w:tcW w:w="124" w:type="dxa"/>
            <w:tcBorders/>
            <w:vAlign w:val="center"/>
          </w:tcPr>
          <w:p>
            <w:pPr>
              <w:pStyle w:val="TableContents"/>
              <w:bidi w:val="0"/>
              <w:spacing w:before="0" w:after="0"/>
              <w:ind w:left="0" w:right="0" w:hanging="0"/>
              <w:jc w:val="left"/>
              <w:rPr/>
            </w:pPr>
            <w:r>
              <w:rPr/>
              <w:t>​</w:t>
            </w:r>
          </w:p>
        </w:tc>
        <w:tc>
          <w:tcPr>
            <w:tcW w:w="291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Arthur Schuetz</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Arthur Schuetz</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200" w:right="200" w:hanging="0"/>
        <w:jc w:val="left"/>
        <w:rPr/>
      </w:pPr>
      <w:r>
        <w:rPr/>
        <w:t>​</w:t>
      </w:r>
    </w:p>
    <w:p>
      <w:pPr>
        <w:pStyle w:val="TextBody"/>
        <w:bidi w:val="0"/>
        <w:spacing w:before="0" w:after="240"/>
        <w:ind w:left="200" w:right="200" w:hanging="0"/>
        <w:jc w:val="center"/>
        <w:rPr>
          <w:rFonts w:ascii="Times New Roman;Times;serif" w:hAnsi="Times New Roman;Times;serif"/>
          <w:b/>
          <w:sz w:val="20"/>
        </w:rPr>
      </w:pPr>
      <w:bookmarkStart w:id="2188" w:name="POWEROFATTORNEY"/>
      <w:bookmarkEnd w:id="2188"/>
      <w:r>
        <w:rPr>
          <w:rFonts w:ascii="Times New Roman;Times;serif" w:hAnsi="Times New Roman;Times;serif"/>
          <w:b/>
          <w:sz w:val="20"/>
        </w:rPr>
        <w:t>POWER OF ATTORNEY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Each of the undersigned individuals hereby severally constitutes and appoints each of Christian Schmid and Arthur Schuetz as the attorney-in-fact for the undersigned, in any and all capacities, with full power of substitution, to sign on such person’s behalf, individually and in each capacity stated below, any and all amendments to this registration statement, and any subsequent registration statement filed by the registrant pursuant to Rule 462(b) of the Securities Act, and to file or cause to be filed the same, with all exhibits thereto, and other documents in connection therewith, with the SEC, granting unto said attorney-in-fact, full power and authority to do and perform each and every act and thing requisite or necessary to be done in connection therewith, as fully to all intents and purposes as such person might or could do in person, hereby ratifying and confirming all that said attorney-in-fact, or his substitute or substitutes, may lawfully do or cause to be done by virtue hereof.</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Pursuant to the requirements of the Securities Act, this registration statement has been signed by the following persons in the capacities and on the dates indicated.</w:t>
      </w:r>
    </w:p>
    <w:tbl>
      <w:tblPr>
        <w:tblW w:w="7385" w:type="dxa"/>
        <w:jc w:val="left"/>
        <w:tblInd w:w="200" w:type="dxa"/>
        <w:tblLayout w:type="fixed"/>
        <w:tblCellMar>
          <w:top w:w="0" w:type="dxa"/>
          <w:left w:w="0" w:type="dxa"/>
          <w:bottom w:w="0" w:type="dxa"/>
          <w:right w:w="0" w:type="dxa"/>
        </w:tblCellMar>
      </w:tblPr>
      <w:tblGrid>
        <w:gridCol w:w="2191"/>
        <w:gridCol w:w="346"/>
        <w:gridCol w:w="3241"/>
        <w:gridCol w:w="346"/>
        <w:gridCol w:w="1261"/>
      </w:tblGrid>
      <w:tr>
        <w:trPr/>
        <w:tc>
          <w:tcPr>
            <w:tcW w:w="21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Signature</w:t>
            </w:r>
          </w:p>
        </w:tc>
        <w:tc>
          <w:tcPr>
            <w:tcW w:w="346" w:type="dxa"/>
            <w:tcBorders/>
            <w:vAlign w:val="center"/>
          </w:tcPr>
          <w:p>
            <w:pPr>
              <w:pStyle w:val="TableContents"/>
              <w:bidi w:val="0"/>
              <w:spacing w:before="0" w:after="0"/>
              <w:ind w:left="0" w:right="0" w:hanging="0"/>
              <w:jc w:val="center"/>
              <w:rPr/>
            </w:pPr>
            <w:r>
              <w:rPr/>
              <w:t>  ​ ​ ​</w:t>
            </w:r>
          </w:p>
        </w:tc>
        <w:tc>
          <w:tcPr>
            <w:tcW w:w="32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Capacity</w:t>
            </w:r>
          </w:p>
        </w:tc>
        <w:tc>
          <w:tcPr>
            <w:tcW w:w="346" w:type="dxa"/>
            <w:tcBorders/>
            <w:vAlign w:val="center"/>
          </w:tcPr>
          <w:p>
            <w:pPr>
              <w:pStyle w:val="TableContents"/>
              <w:bidi w:val="0"/>
              <w:spacing w:before="0" w:after="0"/>
              <w:ind w:left="0" w:right="0" w:hanging="0"/>
              <w:jc w:val="center"/>
              <w:rPr/>
            </w:pPr>
            <w:r>
              <w:rPr/>
              <w:t>  ​ ​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219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center"/>
              <w:rPr/>
            </w:pPr>
            <w:r>
              <w:rPr/>
              <w:t>​</w:t>
            </w:r>
          </w:p>
        </w:tc>
        <w:tc>
          <w:tcPr>
            <w:tcW w:w="324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center"/>
              <w:rPr/>
            </w:pPr>
            <w:r>
              <w:rPr/>
              <w:t>​</w:t>
            </w:r>
          </w:p>
        </w:tc>
        <w:tc>
          <w:tcPr>
            <w:tcW w:w="126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Arthur Schuetz</w:t>
            </w:r>
          </w:p>
        </w:tc>
        <w:tc>
          <w:tcPr>
            <w:tcW w:w="346" w:type="dxa"/>
            <w:tcBorders/>
            <w:vAlign w:val="center"/>
          </w:tcPr>
          <w:p>
            <w:pPr>
              <w:pStyle w:val="TableContents"/>
              <w:bidi w:val="0"/>
              <w:spacing w:before="0" w:after="0"/>
              <w:ind w:left="0" w:right="0" w:hanging="0"/>
              <w:jc w:val="center"/>
              <w:rPr/>
            </w:pPr>
            <w:r>
              <w:rPr/>
              <w:t>​</w:t>
            </w:r>
          </w:p>
        </w:tc>
        <w:tc>
          <w:tcPr>
            <w:tcW w:w="32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c>
          <w:tcPr>
            <w:tcW w:w="34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16, 2026</w:t>
            </w:r>
          </w:p>
        </w:tc>
      </w:tr>
      <w:tr>
        <w:trPr/>
        <w:tc>
          <w:tcPr>
            <w:tcW w:w="219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center"/>
              <w:rPr/>
            </w:pPr>
            <w:r>
              <w:rPr/>
              <w:t>​</w:t>
            </w:r>
          </w:p>
        </w:tc>
        <w:tc>
          <w:tcPr>
            <w:tcW w:w="32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pPr>
            <w:r>
              <w:rPr/>
              <w:t>​</w:t>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Christian Schmid</w:t>
            </w:r>
          </w:p>
        </w:tc>
        <w:tc>
          <w:tcPr>
            <w:tcW w:w="346" w:type="dxa"/>
            <w:tcBorders/>
            <w:vAlign w:val="center"/>
          </w:tcPr>
          <w:p>
            <w:pPr>
              <w:pStyle w:val="TableContents"/>
              <w:bidi w:val="0"/>
              <w:spacing w:before="0" w:after="0"/>
              <w:ind w:left="0" w:right="0" w:hanging="0"/>
              <w:jc w:val="center"/>
              <w:rPr/>
            </w:pPr>
            <w:r>
              <w:rPr/>
              <w:t>​</w:t>
            </w:r>
          </w:p>
        </w:tc>
        <w:tc>
          <w:tcPr>
            <w:tcW w:w="32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 and Executive</w:t>
            </w:r>
          </w:p>
        </w:tc>
        <w:tc>
          <w:tcPr>
            <w:tcW w:w="34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16, 2026</w:t>
            </w:r>
          </w:p>
        </w:tc>
      </w:tr>
      <w:tr>
        <w:trPr/>
        <w:tc>
          <w:tcPr>
            <w:tcW w:w="21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2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pPr>
            <w:r>
              <w:rPr/>
              <w:t>​</w:t>
            </w:r>
          </w:p>
        </w:tc>
      </w:tr>
      <w:tr>
        <w:trPr/>
        <w:tc>
          <w:tcPr>
            <w:tcW w:w="21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2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pPr>
            <w:r>
              <w:rPr/>
              <w:t>​</w:t>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Prof. Dr. Sir Ralf Speth</w:t>
            </w:r>
          </w:p>
        </w:tc>
        <w:tc>
          <w:tcPr>
            <w:tcW w:w="346" w:type="dxa"/>
            <w:tcBorders/>
            <w:vAlign w:val="center"/>
          </w:tcPr>
          <w:p>
            <w:pPr>
              <w:pStyle w:val="TableContents"/>
              <w:bidi w:val="0"/>
              <w:spacing w:before="0" w:after="0"/>
              <w:ind w:left="0" w:right="0" w:hanging="0"/>
              <w:jc w:val="center"/>
              <w:rPr/>
            </w:pPr>
            <w:r>
              <w:rPr/>
              <w:t>​</w:t>
            </w:r>
          </w:p>
        </w:tc>
        <w:tc>
          <w:tcPr>
            <w:tcW w:w="32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Chairman, Non-executive Director</w:t>
            </w:r>
          </w:p>
        </w:tc>
        <w:tc>
          <w:tcPr>
            <w:tcW w:w="34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16, 2026</w:t>
            </w:r>
          </w:p>
        </w:tc>
      </w:tr>
      <w:tr>
        <w:trPr/>
        <w:tc>
          <w:tcPr>
            <w:tcW w:w="219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2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pPr>
            <w:r>
              <w:rPr/>
              <w:t>​</w:t>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Anette Schmid</w:t>
            </w:r>
          </w:p>
        </w:tc>
        <w:tc>
          <w:tcPr>
            <w:tcW w:w="346" w:type="dxa"/>
            <w:tcBorders/>
            <w:vAlign w:val="center"/>
          </w:tcPr>
          <w:p>
            <w:pPr>
              <w:pStyle w:val="TableContents"/>
              <w:bidi w:val="0"/>
              <w:spacing w:before="0" w:after="0"/>
              <w:ind w:left="0" w:right="0" w:hanging="0"/>
              <w:jc w:val="center"/>
              <w:rPr/>
            </w:pPr>
            <w:r>
              <w:rPr/>
              <w:t>​</w:t>
            </w:r>
          </w:p>
        </w:tc>
        <w:tc>
          <w:tcPr>
            <w:tcW w:w="32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Non-executive Director</w:t>
            </w:r>
          </w:p>
        </w:tc>
        <w:tc>
          <w:tcPr>
            <w:tcW w:w="34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16, 2026</w:t>
            </w:r>
          </w:p>
        </w:tc>
      </w:tr>
      <w:tr>
        <w:trPr/>
        <w:tc>
          <w:tcPr>
            <w:tcW w:w="219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2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pPr>
            <w:r>
              <w:rPr/>
              <w:t>​</w:t>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Dr. Stefan Berger</w:t>
            </w:r>
          </w:p>
        </w:tc>
        <w:tc>
          <w:tcPr>
            <w:tcW w:w="346" w:type="dxa"/>
            <w:tcBorders/>
            <w:vAlign w:val="center"/>
          </w:tcPr>
          <w:p>
            <w:pPr>
              <w:pStyle w:val="TableContents"/>
              <w:bidi w:val="0"/>
              <w:spacing w:before="0" w:after="0"/>
              <w:ind w:left="0" w:right="0" w:hanging="0"/>
              <w:jc w:val="center"/>
              <w:rPr/>
            </w:pPr>
            <w:r>
              <w:rPr/>
              <w:t>​</w:t>
            </w:r>
          </w:p>
        </w:tc>
        <w:tc>
          <w:tcPr>
            <w:tcW w:w="32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Non-executive Director</w:t>
            </w:r>
          </w:p>
        </w:tc>
        <w:tc>
          <w:tcPr>
            <w:tcW w:w="34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16, 2026</w:t>
            </w:r>
          </w:p>
        </w:tc>
      </w:tr>
      <w:tr>
        <w:trPr/>
        <w:tc>
          <w:tcPr>
            <w:tcW w:w="219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2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pPr>
            <w:r>
              <w:rPr/>
              <w:t>​</w:t>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Annedore Streyl</w:t>
            </w:r>
          </w:p>
        </w:tc>
        <w:tc>
          <w:tcPr>
            <w:tcW w:w="346" w:type="dxa"/>
            <w:tcBorders/>
            <w:vAlign w:val="center"/>
          </w:tcPr>
          <w:p>
            <w:pPr>
              <w:pStyle w:val="TableContents"/>
              <w:bidi w:val="0"/>
              <w:spacing w:before="0" w:after="0"/>
              <w:ind w:left="0" w:right="0" w:hanging="0"/>
              <w:jc w:val="center"/>
              <w:rPr/>
            </w:pPr>
            <w:r>
              <w:rPr/>
              <w:t>​</w:t>
            </w:r>
          </w:p>
        </w:tc>
        <w:tc>
          <w:tcPr>
            <w:tcW w:w="32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Non-executive Director</w:t>
            </w:r>
          </w:p>
        </w:tc>
        <w:tc>
          <w:tcPr>
            <w:tcW w:w="34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16, 2026</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II-11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AUTHORIZED REPRESENTATIVE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Pursuant to the requirement of the Securities Act of 1933, the undersigned, the duly undersigned representative in the United States of America of SCHMID Group N.V., has signed this registration statement in the City of New York, State of New York, on July 16, 2026.</w:t>
      </w:r>
    </w:p>
    <w:tbl>
      <w:tblPr>
        <w:tblW w:w="5661" w:type="dxa"/>
        <w:jc w:val="left"/>
        <w:tblInd w:w="200" w:type="dxa"/>
        <w:tblLayout w:type="fixed"/>
        <w:tblCellMar>
          <w:top w:w="0" w:type="dxa"/>
          <w:left w:w="0" w:type="dxa"/>
          <w:bottom w:w="0" w:type="dxa"/>
          <w:right w:w="0" w:type="dxa"/>
        </w:tblCellMar>
      </w:tblPr>
      <w:tblGrid>
        <w:gridCol w:w="124"/>
        <w:gridCol w:w="406"/>
        <w:gridCol w:w="5131"/>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3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5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Colleen A. De Vries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1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Colleen A. De Vries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Senior Vice President on behalf of Cogency Global Inc.</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II-12</w:t>
      </w:r>
    </w:p>
    <w:p>
      <w:pPr>
        <w:pStyle w:val="TextBody"/>
        <w:bidi w:val="0"/>
        <w:spacing w:before="0" w:after="240"/>
        <w:ind w:left="0" w:right="0" w:hanging="0"/>
        <w:jc w:val="right"/>
        <w:rPr>
          <w:rFonts w:ascii="Times New Roman;Times;serif" w:hAnsi="Times New Roman;Times;serif"/>
          <w:b/>
          <w:sz w:val="20"/>
        </w:rPr>
      </w:pPr>
      <w:bookmarkStart w:id="2189" w:name="shmd-20251231xex4d51.htm"/>
      <w:bookmarkStart w:id="2190" w:name="ksshmd20251231xex4d51"/>
      <w:bookmarkEnd w:id="2189"/>
      <w:bookmarkEnd w:id="2190"/>
      <w:r>
        <w:rPr>
          <w:rFonts w:ascii="Times New Roman;Times;serif" w:hAnsi="Times New Roman;Times;serif"/>
          <w:b/>
          <w:sz w:val="20"/>
        </w:rPr>
        <w:t>Exhibit 4.51</w:t>
      </w:r>
      <w:r>
        <w:br w:type="page"/>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REPRESENTS THAT IT AND ANY ACCOUNT FOR WHICH IT IS ACTING IS (A) A “QUALIFIED INSTITUTIONAL BUYER” (WITHIN THE MEANING OF RULE 144A UNDER THE SECURITIES ACT) OR (B) NOT A U.S. PERSON AND LOCATED OUTSIDE THE UNITED STATES (WITHIN THE MEANING OF REGULATION S UNDER THE SECURITIES ACT) AND THAT IT EXERCISES SOLE INVESTMENT DISCRETION WITH RESPECT TO EACH SUCH ACCOUNT,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AGREES FOR THE BENEFIT OF SCHMID GROUP N.V. (THE “COMPANY”) THAT IT WILL NOT OFFER, SELL, PLEDGE OR OTHERWISE TRANSFER THIS SECURITY AND THE COMMON STOCK, IF ANY, ISSUABLE UPON CONVERSION OF THIS SECURITY, IF ANY OR ANY BENEFICIAL INTEREST HEREIN OR THEREIN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(A)TO THE COMPANY OR ANY SUBSIDIARY THEREOF, OR</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(B)PURSUANT TO A REGISTRATION STATEMENT WHICH HAS BECOME EFFECTIVE UNDER THE SECURITIES ACT, OR</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(C)TO A QUALIFIED INSTITUTIONAL BUYER IN COMPLIANCE WITH RULE 144A UNDER THE SECURITIES ACT,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w:t>
      </w:r>
    </w:p>
    <w:p>
      <w:pPr>
        <w:pStyle w:val="HorizontalLine"/>
        <w:pBdr>
          <w:bottom w:val="double" w:sz="2" w:space="0" w:color="808080"/>
        </w:pBdr>
        <w:bidi w:val="0"/>
        <w:spacing w:before="0" w:after="283"/>
        <w:jc w:val="left"/>
        <w:rPr/>
      </w:pPr>
      <w:r>
        <w:rPr/>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(D)TO A NON-U.S. PERSON LOCATED OUTSIDE THE UNITED STATES IN ACCORDANCE WITH REGULATION S UNDER THE SECURITIES ACT, OR</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(E)PURSUANT TO AN EXEMPTION FROM REGISTRATION PROVIDED BY RULE 144 UNDER THE SECURITIES ACT OR ANY OTHER AVAILABLE EXEMPTION FROM THE REGISTRATION REQUIREMENTS OF THE SECURITIES 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PRIOR TO THE REGISTRATION OF ANY TRANSFER IN ACCORDANCE WITH CLAUSE (2)(E)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24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NO AFFILIATE (AS DEFINED IN RULE 144 UNDER THE SECURITIES ACT) OF SCHMID GROUP N.V. OR PERSON THAT HAS BEEN AN AFFILIATE (AS DEFINED IN RULE 144 UNDER THE SECURITIES ACT) OF SCHMID GROUP N.V. DURING THE PRECEDING THREE MONTHS MAY PURCHASE, OTHERWISE ACQUIRE OR HOLD THIS SECURITY OR A BENEFICIAL INTEREST HEREIN.</w:t>
      </w:r>
    </w:p>
    <w:p>
      <w:pPr>
        <w:pStyle w:val="TextBody"/>
        <w:bidi w:val="0"/>
        <w:spacing w:before="0" w:after="24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THIS SECURITY WAS ISSUED WITH ORIGINAL ISSUE DISCOUNT (“OID”) WITHIN THE MEANING OF SECTION 1273 OF THE INTERNAL REVENUE CODE OF 1986, AS AMENDED. A HOLDER OF THIS NOTE MAY OBTAIN INFORMATION REGARDING THE AMOUNT OF OID, THE ISSUE PRICE, THE ISSUE DATE AND THE YIELD TO MATURITY BY CONTACTING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SCHMID Group N.V.</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5.0% Convertible Senior PIK Toggle Note due 2029</w:t>
      </w:r>
    </w:p>
    <w:p>
      <w:pPr>
        <w:pStyle w:val="TextBody"/>
        <w:bidi w:val="0"/>
        <w:spacing w:before="0" w:after="240"/>
        <w:ind w:left="0" w:right="0" w:hanging="0"/>
        <w:jc w:val="right"/>
        <w:rPr>
          <w:rFonts w:ascii="Times New Roman;Times;serif" w:hAnsi="Times New Roman;Times;serif"/>
          <w:sz w:val="20"/>
        </w:rPr>
      </w:pPr>
      <w:r>
        <w:rPr>
          <w:rFonts w:ascii="Times New Roman;Times;serif" w:hAnsi="Times New Roman;Times;serif"/>
          <w:sz w:val="20"/>
        </w:rPr>
        <w:t>Initially $20,000,000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CUSIP No. 806861 AF7</w:t>
      </w:r>
      <w:r>
        <w:rPr>
          <w:rFonts w:ascii="Times New Roman;Times;serif" w:hAnsi="Times New Roman;Times;serif"/>
          <w:sz w:val="15"/>
        </w:rPr>
        <w:t>1</w:t>
      </w:r>
      <w:r>
        <w:rPr>
          <w:rFonts w:ascii="Times New Roman;Times;serif" w:hAnsi="Times New Roman;Times;serif"/>
          <w:sz w:val="20"/>
        </w:rPr>
        <w:t xml:space="preserve"> / ISIN US806861AF76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SCHMID Group N.V., a Dutch public limited liability company (the “</w:t>
      </w:r>
      <w:r>
        <w:rPr>
          <w:rFonts w:ascii="Times New Roman;Times;serif" w:hAnsi="Times New Roman;Times;serif"/>
          <w:b/>
          <w:sz w:val="20"/>
        </w:rPr>
        <w:t>Company</w:t>
      </w:r>
      <w:r>
        <w:rPr>
          <w:rFonts w:ascii="Times New Roman;Times;serif" w:hAnsi="Times New Roman;Times;serif"/>
          <w:sz w:val="20"/>
        </w:rPr>
        <w:t>,” which term includes any successor corporation or other entity under the Indenture referred to on the reverse hereof), for value received hereby promises to pay to CEDE &amp; CO., or registered assigns, the principal sum as set forth in the “Schedule of Exchanges of Notes” attached hereto, which amount, taken together with the principal amounts of all other outstanding Notes, shall not, unless permitted by the Indenture, exceed $20,000,000 in aggregate at any time, in accordance with the rules and applicable procedures of the Depositary, on January 14, 2029, and interest thereon as set forth below.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Note shall bear interest at the applicable Cash Interest Rate or PIK Interest Rate from July 14, 2026 or from the most recent date to which interest has been paid or provided for to, but excluding, the next scheduled Interest Payment Date until January 14, 2029. Accrued interest on this Note shall be computed on the basis of a 360-day year composed of twelve 30-day months and, for partial months, on the basis of the number of days actually elapsed in a 30-day month. Interest is payable quarterly in arrears in cash at the Cash Interest Rate or by PIK Payments at the PIK Interest Rate, pursuant to Section 2.03(d) of the Indenture, on each March 15, June 15, September 15 and December 15 commencing on December 15, 2026, to Holders of record at the close of business on the preceding March 1, June 1, September 1 and December 1 (whether or not such day is a Business Day), respectively. The Company shall make payments on the Notes in the manner set forth in the Indenture. Step-Up Interest will be payable as set forth in Section 2.03(e) of the within-mentioned Indenture, and any reference to interest on, or in respect of, any Note therein shall be deemed to include Step-Up Interest if, in such context, Step-Up Interest is, was or would be payable pursuant to any of such Section 2.03(e), and any express mention of the payment of Step-Up Interest in any provision therein shall not be construed as excluding Step-Up Interest in those provisions thereof where such express mention is not made.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Defaulted Amounts shall accrue interest per annum at the rate equal to 2.0% per annum (“</w:t>
      </w:r>
      <w:r>
        <w:rPr>
          <w:rFonts w:ascii="Times New Roman;Times;serif" w:hAnsi="Times New Roman;Times;serif"/>
          <w:b/>
          <w:sz w:val="20"/>
        </w:rPr>
        <w:t>Default Interest</w:t>
      </w:r>
      <w:r>
        <w:rPr>
          <w:rFonts w:ascii="Times New Roman;Times;serif" w:hAnsi="Times New Roman;Times;serif"/>
          <w:sz w:val="20"/>
        </w:rPr>
        <w:t>”) (which shall be in addition to, not in lieu of, the interest payable pursuant to the Indenture and the Notes), subject to the enforceability thereof under applicable law, from, and including, the relevant payment date to, but excluding, the date on which such Defaulted Amounts and Default Interest shall have been paid by the Company, at its election, in accordance with Section 2.03(c) and Article 6 of the Indenture.</w:t>
      </w:r>
    </w:p>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rFonts w:ascii="Times New Roman;Times;serif" w:hAnsi="Times New Roman;Times;serif"/>
                <w:sz w:val="12"/>
              </w:rPr>
            </w:pPr>
            <w:r>
              <w:rPr>
                <w:rFonts w:ascii="Times New Roman;Times;serif" w:hAnsi="Times New Roman;Times;serif"/>
                <w:sz w:val="12"/>
              </w:rPr>
              <w:t>1</w:t>
            </w:r>
          </w:p>
        </w:tc>
        <w:tc>
          <w:tcPr>
            <w:tcW w:w="101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16"/>
              </w:rPr>
              <w:t>This Note will be deemed to be identified by CUSIP No. N68722 AB8 from and after such time when (i) the Company delivers, pursuant to Section</w:t>
            </w:r>
            <w:r>
              <w:rPr>
                <w:rFonts w:ascii="Times New Roman;Times;serif" w:hAnsi="Times New Roman;Times;serif"/>
                <w:sz w:val="20"/>
              </w:rPr>
              <w:t> </w:t>
            </w:r>
            <w:r>
              <w:rPr>
                <w:rFonts w:ascii="Times New Roman;Times;serif" w:hAnsi="Times New Roman;Times;serif"/>
                <w:sz w:val="16"/>
              </w:rPr>
              <w:t>2.05(c) of the within-mentioned Indenture, written notice to the Trustee of the occurrence of the Resale Restriction Termination Date and the removal of the restrictive legend affixed to this Note and (ii) this Note is identified by such CUSIP number in accordance with the applicable procedures of the Depositary.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A-3</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shall pay or cause the Paying Agent to pay the principal of and interest on this Note, if and so long as such Note is a Global Note, in immediately available funds to the Depositary or its nominee, as the case may be, as the registered Holder of such Note. As provided in and subject to the provisions of the Indenture, the Company shall pay or cause the Paying Agent to pay the principal of any Notes (other than Notes that are Global Notes) at the office or agency designated by the Company for that purpose. The Company has initially designated the entity acting as Trustee as its Paying Agent and Note Registrar in respect of the Notes and its agency in the contiguous United States, as a place where Notes may be presented for payment or for registration of transfer and exchange.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Reference is made to the further provisions of this Note set forth on the reverse hereof, including, without limitation, provisions giving the Holder of this Note the right to convert this Note into cash, shares of Common Stock or a combination of cash and shares of Common Stock, as applicable, on the terms and subject to the limitations set forth in the Indenture. Such further provisions shall for all purposes have the same effect as though fully set forth at this place.</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sz w:val="20"/>
        </w:rPr>
        <w:t>This Note, and any claim, controversy or dispute arising under or related to this Note, shall be construed in accordance with and governed by the laws of the State of New York (without regard to the conflict of laws provisions thereof).</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case of any conflict between this Note and the Indenture, the provisions of the Indenture shall control and govern.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Note shall not be valid or become obligatory for any purpose until the certificate of authentication hereon shall have been signed manually or electronically by the Trustee or a duly authorized authenticating agent under the Indenture.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Remainder of page intentionally left blank</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A-4</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Company has caused this Note to be duly executed.</w:t>
      </w:r>
    </w:p>
    <w:tbl>
      <w:tblPr>
        <w:tblW w:w="2600" w:type="dxa"/>
        <w:jc w:val="left"/>
        <w:tblInd w:w="0" w:type="dxa"/>
        <w:tblLayout w:type="fixed"/>
        <w:tblCellMar>
          <w:top w:w="0" w:type="dxa"/>
          <w:left w:w="0" w:type="dxa"/>
          <w:bottom w:w="0" w:type="dxa"/>
          <w:right w:w="0" w:type="dxa"/>
        </w:tblCellMar>
      </w:tblPr>
      <w:tblGrid>
        <w:gridCol w:w="124"/>
        <w:gridCol w:w="406"/>
        <w:gridCol w:w="1263"/>
        <w:gridCol w:w="807"/>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SCHMID GROUP N.V.</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Arthur Schuetz</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CFO</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TRUSTEE’S CERTIFICATE OF AUTHENTICATION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Wilmington Savings Fund Society, FSB</w:t>
      </w:r>
      <w:r>
        <w:rPr>
          <w:rFonts w:ascii="Times New Roman;Times;serif" w:hAnsi="Times New Roman;Times;serif"/>
          <w:sz w:val="20"/>
        </w:rPr>
        <w:t>, as Trustee, certifies that this is one of the Notes described in the within-named Indenture.</w:t>
      </w:r>
    </w:p>
    <w:p>
      <w:pPr>
        <w:pStyle w:val="TextBody"/>
        <w:bidi w:val="0"/>
        <w:spacing w:before="0" w:after="0"/>
        <w:ind w:left="0" w:right="0" w:hanging="0"/>
        <w:jc w:val="left"/>
        <w:rPr/>
      </w:pPr>
      <w:r>
        <w:rPr/>
        <w:t>​</w:t>
      </w:r>
    </w:p>
    <w:tbl>
      <w:tblPr>
        <w:tblW w:w="2434" w:type="dxa"/>
        <w:jc w:val="left"/>
        <w:tblInd w:w="0" w:type="dxa"/>
        <w:tblLayout w:type="fixed"/>
        <w:tblCellMar>
          <w:top w:w="0" w:type="dxa"/>
          <w:left w:w="0" w:type="dxa"/>
          <w:bottom w:w="0" w:type="dxa"/>
          <w:right w:w="0" w:type="dxa"/>
        </w:tblCellMar>
      </w:tblPr>
      <w:tblGrid>
        <w:gridCol w:w="421"/>
        <w:gridCol w:w="441"/>
        <w:gridCol w:w="976"/>
        <w:gridCol w:w="442"/>
        <w:gridCol w:w="154"/>
      </w:tblGrid>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85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REVERSE OF NOTE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SCHMID Group N.V.</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5.0% Convertible Senior PIK Toggle Note due 2029</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Note is one of a duly authorized issue of Notes of the Company, designated as its 5.0% Convertible Senior PIK Toggle Notes due 2029 (the “</w:t>
      </w:r>
      <w:r>
        <w:rPr>
          <w:rFonts w:ascii="Times New Roman;Times;serif" w:hAnsi="Times New Roman;Times;serif"/>
          <w:b/>
          <w:sz w:val="20"/>
        </w:rPr>
        <w:t>Notes</w:t>
      </w:r>
      <w:r>
        <w:rPr>
          <w:rFonts w:ascii="Times New Roman;Times;serif" w:hAnsi="Times New Roman;Times;serif"/>
          <w:sz w:val="20"/>
        </w:rPr>
        <w:t>”), in the aggregate principal amount of $20,000,000 (as may be increased by any PIK Payments) all issued or to be issued under and pursuant to an Indenture dated as of July 14, 2026 (the “</w:t>
      </w:r>
      <w:r>
        <w:rPr>
          <w:rFonts w:ascii="Times New Roman;Times;serif" w:hAnsi="Times New Roman;Times;serif"/>
          <w:b/>
          <w:sz w:val="20"/>
        </w:rPr>
        <w:t>Indenture</w:t>
      </w:r>
      <w:r>
        <w:rPr>
          <w:rFonts w:ascii="Times New Roman;Times;serif" w:hAnsi="Times New Roman;Times;serif"/>
          <w:sz w:val="20"/>
        </w:rPr>
        <w:t>”), between the Company, the Guarantors and Wilmington Savings Fund Society, FSB (the “</w:t>
      </w:r>
      <w:r>
        <w:rPr>
          <w:rFonts w:ascii="Times New Roman;Times;serif" w:hAnsi="Times New Roman;Times;serif"/>
          <w:b/>
          <w:sz w:val="20"/>
        </w:rPr>
        <w:t>Trustee</w:t>
      </w:r>
      <w:r>
        <w:rPr>
          <w:rFonts w:ascii="Times New Roman;Times;serif" w:hAnsi="Times New Roman;Times;serif"/>
          <w:sz w:val="20"/>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 The originally issued Notes, all PIK Notes, and any additional Notes issued as set forth in the Indenture or this Note shall constitute a single class.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Subject to the terms and conditions of the Indenture, the Company will make all payments and deliveries in respect of the Fundamental Change Repurchase Price on the Fundamental Change Repurchase Date and the Capitalized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Indenture contains provisions permitting the Company, the Guarantors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Notes are guaranteed to the extent provided in the Indenture.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Each Holder shall have the right to receive payment or delivery, as the case may be, of (x) the principal (including the Fundamental Change Repurchase Price, if applicable) of, (y) accrued and unpaid interest, if any, on, and (z) the consideration due upon conversion of, this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Note at the place, at the respective times, at the rate and in the lawful money and/or shares of Common Stock, as the case may be, herein prescribed.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Notes are issuable in registered form without coupons in denominations of $1.00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Notes shall be redeemable at the Company’s option on or after the date of the Indenture in accordance with the terms and subject to the conditions specified in the Indenture.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Upon the occurrence of a Fundamental Change, the Holder has the right, at such Holder’s option and subject to the limitations set forth in the Indenture, to require the Company to repurchase for cash all of such Holder’s Notes or any portion thereof (in principal amounts of $1,000 or an integral multiple of $1.00 in excess thereof) on the Fundamental Change Repurchase Date at a price equal to the Fundamental Change Repurchase Price.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of $1.00 in excess thereof, into cash, shares of Common Stock or a combination of cash and shares of Common Stock, as applicable and subject to the limitations set forth in the Indenture, in each case, at the Conversion Rate specified in the Indenture, as adjusted from time to time as provided in the Indenture.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ABBREVIATIONS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abbreviations, when used in the inscription of the face of this Note, shall be construed as though they were written out in full according to applicable laws or regulations: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TEN COM = as tenants in common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UNIF GIFT MIN ACT = Uniform Gifts to Minors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CUST = Custodian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TEN ENT = as tenants by the entireties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JT TEN = joint tenants with right of survivorship and not as tenants in common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 abbreviations may also be used though not in the above list.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SCHEDULE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SCHEDULE OF EXCHANGES OF NOTES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SCHMID Group. N.V.</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5.0% Convertible Senior PIK Toggle Notes due 2029</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initial principal amount of this Global Note is twenty million DOLLARS ($20,000,000). The following increases or decreases in this Global Note have been made:</w:t>
      </w:r>
    </w:p>
    <w:p>
      <w:pPr>
        <w:pStyle w:val="TextBody"/>
        <w:bidi w:val="0"/>
        <w:spacing w:before="0" w:after="0"/>
        <w:ind w:left="0" w:right="0" w:hanging="0"/>
        <w:jc w:val="left"/>
        <w:rPr/>
      </w:pPr>
      <w:r>
        <w:rPr/>
        <w:t>​</w:t>
      </w:r>
    </w:p>
    <w:tbl>
      <w:tblPr>
        <w:tblW w:w="7419" w:type="dxa"/>
        <w:jc w:val="center"/>
        <w:tblInd w:w="0" w:type="dxa"/>
        <w:tblLayout w:type="fixed"/>
        <w:tblCellMar>
          <w:top w:w="0" w:type="dxa"/>
          <w:left w:w="0" w:type="dxa"/>
          <w:bottom w:w="28" w:type="dxa"/>
          <w:right w:w="0" w:type="dxa"/>
        </w:tblCellMar>
      </w:tblPr>
      <w:tblGrid>
        <w:gridCol w:w="916"/>
        <w:gridCol w:w="346"/>
        <w:gridCol w:w="1306"/>
        <w:gridCol w:w="346"/>
        <w:gridCol w:w="1306"/>
        <w:gridCol w:w="346"/>
        <w:gridCol w:w="1321"/>
        <w:gridCol w:w="346"/>
        <w:gridCol w:w="1186"/>
      </w:tblGrid>
      <w:tr>
        <w:trPr/>
        <w:tc>
          <w:tcPr>
            <w:tcW w:w="9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w:t>
              <w:br/>
              <w:t>exchange</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130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 of</w:t>
              <w:br/>
              <w:t>decrease in</w:t>
              <w:br/>
              <w:t>principal</w:t>
              <w:br/>
              <w:t>amount of this</w:t>
              <w:br/>
              <w:t>Global Note</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130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 of</w:t>
              <w:br/>
              <w:t>increase in</w:t>
              <w:br/>
              <w:t>principal</w:t>
              <w:br/>
              <w:t>amount of this</w:t>
              <w:br/>
              <w:t>Global Note</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132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w:t>
              <w:br/>
              <w:t>amount of this</w:t>
              <w:br/>
              <w:t>Global Note</w:t>
              <w:br/>
              <w:t>following such</w:t>
              <w:br/>
              <w:t>decrease or</w:t>
              <w:br/>
              <w:t>increase</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118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 of</w:t>
              <w:br/>
              <w:t>authorized</w:t>
              <w:br/>
              <w:t>signatory of</w:t>
              <w:br/>
              <w:t>Trustee or</w:t>
              <w:br/>
              <w:t>Custodian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Attachment 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ATTACHMENT 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NOTICE OF CONVERSION</w:t>
      </w:r>
    </w:p>
    <w:tbl>
      <w:tblPr>
        <w:tblW w:w="3565" w:type="dxa"/>
        <w:jc w:val="left"/>
        <w:tblInd w:w="0" w:type="dxa"/>
        <w:tblLayout w:type="fixed"/>
        <w:tblCellMar>
          <w:top w:w="0" w:type="dxa"/>
          <w:left w:w="0" w:type="dxa"/>
          <w:bottom w:w="0" w:type="dxa"/>
          <w:right w:w="0" w:type="dxa"/>
        </w:tblCellMar>
      </w:tblPr>
      <w:tblGrid>
        <w:gridCol w:w="305"/>
        <w:gridCol w:w="3260"/>
      </w:tblGrid>
      <w:tr>
        <w:trPr/>
        <w:tc>
          <w:tcPr>
            <w:tcW w:w="3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To:</w:t>
            </w:r>
          </w:p>
        </w:tc>
        <w:tc>
          <w:tcPr>
            <w:tcW w:w="32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Wilmington Savings Fund Society, FSB</w:t>
              <w:br/>
              <w:t>500 Delaware Avenue, 11th Floor</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Wilmington, DE 19801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registered owner of this Note hereby exercises the option to convert this Note, or the portion hereof (that is $1,000 Capitalized Principal Amount or an integral multiple of $1.00 in excess thereof) below designated, into shares of Common Stock in accordance with the terms of the Indenture referred to in this Note (any fractional shares of Common Stock shall be rounded up to one (1) whole Share of Common Stock), and directs that any cash payable and any shares of Common Stock issuable and deliverable upon such conversion, together with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tbl>
      <w:tblPr>
        <w:tblW w:w="1787" w:type="dxa"/>
        <w:jc w:val="left"/>
        <w:tblInd w:w="0" w:type="dxa"/>
        <w:tblLayout w:type="fixed"/>
        <w:tblCellMar>
          <w:top w:w="0" w:type="dxa"/>
          <w:left w:w="0" w:type="dxa"/>
          <w:bottom w:w="0" w:type="dxa"/>
          <w:right w:w="0" w:type="dxa"/>
        </w:tblCellMar>
      </w:tblPr>
      <w:tblGrid>
        <w:gridCol w:w="661"/>
        <w:gridCol w:w="1126"/>
      </w:tblGrid>
      <w:tr>
        <w:trPr/>
        <w:tc>
          <w:tcPr>
            <w:tcW w:w="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1126" w:type="dxa"/>
            <w:tcBorders/>
            <w:vAlign w:val="center"/>
          </w:tcPr>
          <w:p>
            <w:pPr>
              <w:pStyle w:val="TableContents"/>
              <w:bidi w:val="0"/>
              <w:spacing w:before="0" w:after="0"/>
              <w:ind w:left="0" w:right="0" w:hanging="0"/>
              <w:jc w:val="left"/>
              <w:rPr/>
            </w:pPr>
            <w:r>
              <w:rPr/>
              <w:t>​</w:t>
            </w:r>
          </w:p>
        </w:tc>
      </w:tr>
      <w:tr>
        <w:trPr/>
        <w:tc>
          <w:tcPr>
            <w:tcW w:w="66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r>
      <w:tr>
        <w:trPr/>
        <w:tc>
          <w:tcPr>
            <w:tcW w:w="66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Signature Guarantee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Signature(s) must be guaranteed by an eligible Guarantor Institution (banks, stock brokers, savings and loan associations and credit unions) with membership in an approved signature guarantee medallion program pursuant to Securities and Exchange Commission Rule 17Ad-15 if shares of Common Stock are to be issued, or Notes are to be delivered, other than to and in the name of the registered holder.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Fill in for registration of shares if to be issued, and Notes if to be delivered, other than to and in the name of the registered holder:</w:t>
      </w:r>
    </w:p>
    <w:p>
      <w:pPr>
        <w:pStyle w:val="TextBody"/>
        <w:bidi w:val="0"/>
        <w:spacing w:before="0" w:after="0"/>
        <w:ind w:left="0" w:right="0" w:hanging="0"/>
        <w:jc w:val="left"/>
        <w:rPr/>
      </w:pPr>
      <w:r>
        <w:rPr/>
        <w:t>​</w:t>
      </w:r>
    </w:p>
    <w:tbl>
      <w:tblPr>
        <w:tblW w:w="2405" w:type="dxa"/>
        <w:jc w:val="left"/>
        <w:tblInd w:w="0" w:type="dxa"/>
        <w:tblLayout w:type="fixed"/>
        <w:tblCellMar>
          <w:top w:w="0" w:type="dxa"/>
          <w:left w:w="0" w:type="dxa"/>
          <w:bottom w:w="28" w:type="dxa"/>
          <w:right w:w="0" w:type="dxa"/>
        </w:tblCellMar>
      </w:tblPr>
      <w:tblGrid>
        <w:gridCol w:w="2251"/>
        <w:gridCol w:w="154"/>
      </w:tblGrid>
      <w:tr>
        <w:trPr/>
        <w:tc>
          <w:tcPr>
            <w:tcW w:w="2251" w:type="dxa"/>
            <w:tcBorders>
              <w:bottom w:val="single" w:sz="2" w:space="0" w:color="000000"/>
            </w:tcBorders>
            <w:vAlign w:val="center"/>
          </w:tcPr>
          <w:p>
            <w:pPr>
              <w:pStyle w:val="TableContents"/>
              <w:bidi w:val="0"/>
              <w:spacing w:before="0" w:after="0"/>
              <w:ind w:left="0" w:right="0" w:hanging="0"/>
              <w:jc w:val="left"/>
              <w:rPr/>
            </w:pPr>
            <w:r>
              <w:rPr/>
              <w:t>​</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225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2251" w:type="dxa"/>
            <w:tcBorders/>
            <w:tcMar>
              <w:bottom w:w="0" w:type="dxa"/>
            </w:tcMar>
            <w:vAlign w:val="center"/>
          </w:tcPr>
          <w:p>
            <w:pPr>
              <w:pStyle w:val="TableContents"/>
              <w:bidi w:val="0"/>
              <w:spacing w:before="0" w:after="0"/>
              <w:ind w:left="0" w:right="0" w:hanging="0"/>
              <w:jc w:val="left"/>
              <w:rPr/>
            </w:pPr>
            <w:r>
              <w:rPr/>
              <w:t>​</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2251" w:type="dxa"/>
            <w:tcBorders>
              <w:bottom w:val="single" w:sz="2" w:space="0" w:color="000000"/>
            </w:tcBorders>
            <w:vAlign w:val="center"/>
          </w:tcPr>
          <w:p>
            <w:pPr>
              <w:pStyle w:val="TableContents"/>
              <w:bidi w:val="0"/>
              <w:spacing w:before="0" w:after="0"/>
              <w:ind w:left="0" w:right="0" w:hanging="0"/>
              <w:jc w:val="left"/>
              <w:rPr/>
            </w:pPr>
            <w:r>
              <w:rPr/>
              <w:t>​</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225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(Street Address)</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2251" w:type="dxa"/>
            <w:tcBorders/>
            <w:tcMar>
              <w:bottom w:w="0" w:type="dxa"/>
            </w:tcMar>
            <w:vAlign w:val="center"/>
          </w:tcPr>
          <w:p>
            <w:pPr>
              <w:pStyle w:val="TableContents"/>
              <w:bidi w:val="0"/>
              <w:spacing w:before="0" w:after="0"/>
              <w:ind w:left="0" w:right="0" w:hanging="0"/>
              <w:jc w:val="left"/>
              <w:rPr/>
            </w:pPr>
            <w:r>
              <w:rPr/>
              <w:t>​</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2251" w:type="dxa"/>
            <w:tcBorders>
              <w:bottom w:val="single" w:sz="2" w:space="0" w:color="000000"/>
            </w:tcBorders>
            <w:vAlign w:val="center"/>
          </w:tcPr>
          <w:p>
            <w:pPr>
              <w:pStyle w:val="TableContents"/>
              <w:bidi w:val="0"/>
              <w:spacing w:before="0" w:after="0"/>
              <w:ind w:left="0" w:right="0" w:hanging="0"/>
              <w:jc w:val="left"/>
              <w:rPr/>
            </w:pPr>
            <w:r>
              <w:rPr/>
              <w:t>​</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225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(City, State and Zip Code)</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Attachment 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99"/>
        <w:gridCol w:w="8606"/>
      </w:tblGrid>
      <w:tr>
        <w:trPr/>
        <w:tc>
          <w:tcPr>
            <w:tcW w:w="15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Please print name and address</w:t>
            </w:r>
          </w:p>
        </w:tc>
        <w:tc>
          <w:tcPr>
            <w:tcW w:w="8606" w:type="dxa"/>
            <w:tcBorders/>
            <w:vAlign w:val="center"/>
          </w:tcPr>
          <w:p>
            <w:pPr>
              <w:pStyle w:val="TableContents"/>
              <w:bidi w:val="0"/>
              <w:spacing w:before="0" w:after="0"/>
              <w:ind w:left="0" w:right="0" w:hanging="0"/>
              <w:jc w:val="left"/>
              <w:rPr/>
            </w:pPr>
            <w:r>
              <w:rPr/>
              <w:t>​</w:t>
            </w:r>
          </w:p>
        </w:tc>
      </w:tr>
      <w:tr>
        <w:trPr/>
        <w:tc>
          <w:tcPr>
            <w:tcW w:w="1599" w:type="dxa"/>
            <w:tcBorders/>
            <w:vAlign w:val="center"/>
          </w:tcPr>
          <w:p>
            <w:pPr>
              <w:pStyle w:val="TableContents"/>
              <w:bidi w:val="0"/>
              <w:spacing w:before="0" w:after="0"/>
              <w:ind w:left="0" w:right="0" w:hanging="0"/>
              <w:jc w:val="left"/>
              <w:rPr/>
            </w:pPr>
            <w:r>
              <w:rPr/>
              <w:t>​</w:t>
            </w:r>
          </w:p>
        </w:tc>
        <w:tc>
          <w:tcPr>
            <w:tcW w:w="8606" w:type="dxa"/>
            <w:tcBorders/>
            <w:vAlign w:val="center"/>
          </w:tcPr>
          <w:p>
            <w:pPr>
              <w:pStyle w:val="TableContents"/>
              <w:bidi w:val="0"/>
              <w:spacing w:before="0" w:after="0"/>
              <w:ind w:left="0" w:right="0" w:hanging="0"/>
              <w:jc w:val="left"/>
              <w:rPr/>
            </w:pPr>
            <w:r>
              <w:rPr/>
              <w:t>​</w:t>
            </w:r>
          </w:p>
        </w:tc>
      </w:tr>
      <w:tr>
        <w:trPr/>
        <w:tc>
          <w:tcPr>
            <w:tcW w:w="1599" w:type="dxa"/>
            <w:tcBorders/>
            <w:vAlign w:val="center"/>
          </w:tcPr>
          <w:p>
            <w:pPr>
              <w:pStyle w:val="TableContents"/>
              <w:bidi w:val="0"/>
              <w:spacing w:before="0" w:after="0"/>
              <w:ind w:left="0" w:right="0" w:hanging="0"/>
              <w:jc w:val="left"/>
              <w:rPr/>
            </w:pPr>
            <w:r>
              <w:rPr/>
              <w:t>​</w:t>
            </w:r>
          </w:p>
        </w:tc>
        <w:tc>
          <w:tcPr>
            <w:tcW w:w="8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amount to be converted (if less than all): $</w:t>
            </w:r>
            <w:r>
              <w:rPr>
                <w:rFonts w:ascii="Times New Roman;Times;serif" w:hAnsi="Times New Roman;Times;serif"/>
                <w:sz w:val="20"/>
                <w:u w:val="single"/>
              </w:rPr>
              <w:t>       </w:t>
            </w:r>
            <w:r>
              <w:rPr>
                <w:rFonts w:ascii="Times New Roman;Times;serif" w:hAnsi="Times New Roman;Times;serif"/>
                <w:sz w:val="20"/>
              </w:rPr>
              <w:t>,000</w:t>
            </w:r>
          </w:p>
        </w:tc>
      </w:tr>
      <w:tr>
        <w:trPr/>
        <w:tc>
          <w:tcPr>
            <w:tcW w:w="1599" w:type="dxa"/>
            <w:tcBorders/>
            <w:vAlign w:val="center"/>
          </w:tcPr>
          <w:p>
            <w:pPr>
              <w:pStyle w:val="TableContents"/>
              <w:bidi w:val="0"/>
              <w:spacing w:before="0" w:after="0"/>
              <w:ind w:left="0" w:right="0" w:hanging="0"/>
              <w:jc w:val="left"/>
              <w:rPr/>
            </w:pPr>
            <w:r>
              <w:rPr/>
              <w:t>​</w:t>
            </w:r>
          </w:p>
        </w:tc>
        <w:tc>
          <w:tcPr>
            <w:tcW w:w="8606" w:type="dxa"/>
            <w:tcBorders/>
            <w:vAlign w:val="center"/>
          </w:tcPr>
          <w:p>
            <w:pPr>
              <w:pStyle w:val="TableContents"/>
              <w:bidi w:val="0"/>
              <w:spacing w:before="0" w:after="0"/>
              <w:ind w:left="0" w:right="0" w:hanging="0"/>
              <w:jc w:val="left"/>
              <w:rPr/>
            </w:pPr>
            <w:r>
              <w:rPr/>
              <w:t>​</w:t>
            </w:r>
          </w:p>
        </w:tc>
      </w:tr>
      <w:tr>
        <w:trPr/>
        <w:tc>
          <w:tcPr>
            <w:tcW w:w="1599" w:type="dxa"/>
            <w:tcBorders/>
            <w:vAlign w:val="center"/>
          </w:tcPr>
          <w:p>
            <w:pPr>
              <w:pStyle w:val="TableContents"/>
              <w:bidi w:val="0"/>
              <w:spacing w:before="0" w:after="0"/>
              <w:ind w:left="0" w:right="0" w:hanging="0"/>
              <w:jc w:val="left"/>
              <w:rPr/>
            </w:pPr>
            <w:r>
              <w:rPr/>
              <w:t>​</w:t>
            </w:r>
          </w:p>
        </w:tc>
        <w:tc>
          <w:tcPr>
            <w:tcW w:w="8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 The above signature(s) of the Holder(s) hereof must correspond with the name as written upon the face of the Note in every particular without alteration or enlargement or any change whatever.</w:t>
            </w:r>
          </w:p>
        </w:tc>
      </w:tr>
      <w:tr>
        <w:trPr/>
        <w:tc>
          <w:tcPr>
            <w:tcW w:w="1599" w:type="dxa"/>
            <w:tcBorders/>
            <w:vAlign w:val="center"/>
          </w:tcPr>
          <w:p>
            <w:pPr>
              <w:pStyle w:val="TableContents"/>
              <w:bidi w:val="0"/>
              <w:spacing w:before="0" w:after="0"/>
              <w:ind w:left="0" w:right="0" w:hanging="0"/>
              <w:jc w:val="left"/>
              <w:rPr/>
            </w:pPr>
            <w:r>
              <w:rPr/>
              <w:t>​</w:t>
            </w:r>
          </w:p>
        </w:tc>
        <w:tc>
          <w:tcPr>
            <w:tcW w:w="8606" w:type="dxa"/>
            <w:tcBorders/>
            <w:vAlign w:val="center"/>
          </w:tcPr>
          <w:p>
            <w:pPr>
              <w:pStyle w:val="TableContents"/>
              <w:bidi w:val="0"/>
              <w:spacing w:before="0" w:after="0"/>
              <w:ind w:left="0" w:right="0" w:hanging="0"/>
              <w:jc w:val="left"/>
              <w:rPr/>
            </w:pPr>
            <w:r>
              <w:rPr/>
              <w:t>​</w:t>
            </w:r>
          </w:p>
        </w:tc>
      </w:tr>
      <w:tr>
        <w:trPr/>
        <w:tc>
          <w:tcPr>
            <w:tcW w:w="1599" w:type="dxa"/>
            <w:tcBorders/>
            <w:vAlign w:val="center"/>
          </w:tcPr>
          <w:p>
            <w:pPr>
              <w:pStyle w:val="TableContents"/>
              <w:bidi w:val="0"/>
              <w:spacing w:before="0" w:after="0"/>
              <w:ind w:left="0" w:right="0" w:hanging="0"/>
              <w:jc w:val="left"/>
              <w:rPr/>
            </w:pPr>
            <w:r>
              <w:rPr/>
              <w:t>​</w:t>
            </w:r>
          </w:p>
        </w:tc>
        <w:tc>
          <w:tcPr>
            <w:tcW w:w="8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Social Security or Other Taxpayer 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Attachment 1-3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ATTACHMENT 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FUNDAMENTAL CHANGE REPURCHASE NOTICE</w:t>
      </w:r>
    </w:p>
    <w:tbl>
      <w:tblPr>
        <w:tblW w:w="3565" w:type="dxa"/>
        <w:jc w:val="left"/>
        <w:tblInd w:w="0" w:type="dxa"/>
        <w:tblLayout w:type="fixed"/>
        <w:tblCellMar>
          <w:top w:w="0" w:type="dxa"/>
          <w:left w:w="0" w:type="dxa"/>
          <w:bottom w:w="0" w:type="dxa"/>
          <w:right w:w="0" w:type="dxa"/>
        </w:tblCellMar>
      </w:tblPr>
      <w:tblGrid>
        <w:gridCol w:w="305"/>
        <w:gridCol w:w="3260"/>
      </w:tblGrid>
      <w:tr>
        <w:trPr/>
        <w:tc>
          <w:tcPr>
            <w:tcW w:w="3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To:</w:t>
            </w:r>
          </w:p>
        </w:tc>
        <w:tc>
          <w:tcPr>
            <w:tcW w:w="32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Wilmington Savings Fund Society, FSB</w:t>
              <w:br/>
              <w:t>500 Delaware Avenue, 11th Floor</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Wilmington, DE 19801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registered owner of this Note hereby acknowledges receipt of a notice from SCHMID Group N.V. (the “</w:t>
      </w:r>
      <w:r>
        <w:rPr>
          <w:rFonts w:ascii="Times New Roman;Times;serif" w:hAnsi="Times New Roman;Times;serif"/>
          <w:b/>
          <w:sz w:val="20"/>
        </w:rPr>
        <w:t>Company</w:t>
      </w:r>
      <w:r>
        <w:rPr>
          <w:rFonts w:ascii="Times New Roman;Times;serif" w:hAnsi="Times New Roman;Times;serif"/>
          <w:sz w:val="20"/>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Capitalized Principal Amount or an integral multiple of $1.00 in excess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the case of Physical Notes, the certificate numbers of the Notes to be repurchased are as set forth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33"/>
        <w:gridCol w:w="9572"/>
      </w:tblGrid>
      <w:tr>
        <w:trPr/>
        <w:tc>
          <w:tcPr>
            <w:tcW w:w="6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95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Signature(s)</w:t>
            </w:r>
          </w:p>
        </w:tc>
      </w:tr>
      <w:tr>
        <w:trPr/>
        <w:tc>
          <w:tcPr>
            <w:tcW w:w="633" w:type="dxa"/>
            <w:tcBorders/>
            <w:vAlign w:val="center"/>
          </w:tcPr>
          <w:p>
            <w:pPr>
              <w:pStyle w:val="TableContents"/>
              <w:bidi w:val="0"/>
              <w:spacing w:before="0" w:after="0"/>
              <w:ind w:left="0" w:right="0" w:hanging="0"/>
              <w:jc w:val="left"/>
              <w:rPr/>
            </w:pPr>
            <w:r>
              <w:rPr/>
              <w:t>​</w:t>
            </w:r>
          </w:p>
        </w:tc>
        <w:tc>
          <w:tcPr>
            <w:tcW w:w="9572" w:type="dxa"/>
            <w:tcBorders/>
            <w:vAlign w:val="center"/>
          </w:tcPr>
          <w:p>
            <w:pPr>
              <w:pStyle w:val="TableContents"/>
              <w:bidi w:val="0"/>
              <w:spacing w:before="0" w:after="0"/>
              <w:ind w:left="0" w:right="0" w:hanging="0"/>
              <w:jc w:val="left"/>
              <w:rPr/>
            </w:pPr>
            <w:r>
              <w:rPr/>
              <w:t>​</w:t>
            </w:r>
          </w:p>
        </w:tc>
      </w:tr>
      <w:tr>
        <w:trPr/>
        <w:tc>
          <w:tcPr>
            <w:tcW w:w="633" w:type="dxa"/>
            <w:tcBorders/>
            <w:vAlign w:val="center"/>
          </w:tcPr>
          <w:p>
            <w:pPr>
              <w:pStyle w:val="TableContents"/>
              <w:bidi w:val="0"/>
              <w:spacing w:before="0" w:after="0"/>
              <w:ind w:left="0" w:right="0" w:hanging="0"/>
              <w:jc w:val="left"/>
              <w:rPr/>
            </w:pPr>
            <w:r>
              <w:rPr/>
              <w:t>​</w:t>
            </w:r>
          </w:p>
        </w:tc>
        <w:tc>
          <w:tcPr>
            <w:tcW w:w="95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Social Security or Other Taxpayer Identification Number</w:t>
            </w:r>
          </w:p>
        </w:tc>
      </w:tr>
      <w:tr>
        <w:trPr/>
        <w:tc>
          <w:tcPr>
            <w:tcW w:w="633" w:type="dxa"/>
            <w:tcBorders/>
            <w:vAlign w:val="center"/>
          </w:tcPr>
          <w:p>
            <w:pPr>
              <w:pStyle w:val="TableContents"/>
              <w:bidi w:val="0"/>
              <w:spacing w:before="0" w:after="0"/>
              <w:ind w:left="0" w:right="0" w:hanging="0"/>
              <w:jc w:val="left"/>
              <w:rPr/>
            </w:pPr>
            <w:r>
              <w:rPr/>
              <w:t>​</w:t>
            </w:r>
          </w:p>
        </w:tc>
        <w:tc>
          <w:tcPr>
            <w:tcW w:w="9572" w:type="dxa"/>
            <w:tcBorders/>
            <w:vAlign w:val="center"/>
          </w:tcPr>
          <w:p>
            <w:pPr>
              <w:pStyle w:val="TableContents"/>
              <w:bidi w:val="0"/>
              <w:spacing w:before="0" w:after="0"/>
              <w:ind w:left="0" w:right="0" w:hanging="0"/>
              <w:jc w:val="left"/>
              <w:rPr/>
            </w:pPr>
            <w:r>
              <w:rPr/>
              <w:t>​</w:t>
            </w:r>
          </w:p>
        </w:tc>
      </w:tr>
      <w:tr>
        <w:trPr/>
        <w:tc>
          <w:tcPr>
            <w:tcW w:w="633" w:type="dxa"/>
            <w:tcBorders/>
            <w:vAlign w:val="center"/>
          </w:tcPr>
          <w:p>
            <w:pPr>
              <w:pStyle w:val="TableContents"/>
              <w:bidi w:val="0"/>
              <w:spacing w:before="0" w:after="0"/>
              <w:ind w:left="0" w:right="0" w:hanging="0"/>
              <w:jc w:val="left"/>
              <w:rPr/>
            </w:pPr>
            <w:r>
              <w:rPr/>
              <w:t>​</w:t>
            </w:r>
          </w:p>
        </w:tc>
        <w:tc>
          <w:tcPr>
            <w:tcW w:w="95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amount to be repaid (if less than all): $,000</w:t>
            </w:r>
          </w:p>
        </w:tc>
      </w:tr>
      <w:tr>
        <w:trPr/>
        <w:tc>
          <w:tcPr>
            <w:tcW w:w="633" w:type="dxa"/>
            <w:tcBorders/>
            <w:vAlign w:val="center"/>
          </w:tcPr>
          <w:p>
            <w:pPr>
              <w:pStyle w:val="TableContents"/>
              <w:bidi w:val="0"/>
              <w:spacing w:before="0" w:after="0"/>
              <w:ind w:left="0" w:right="0" w:hanging="0"/>
              <w:jc w:val="left"/>
              <w:rPr/>
            </w:pPr>
            <w:r>
              <w:rPr/>
              <w:t>​</w:t>
            </w:r>
          </w:p>
        </w:tc>
        <w:tc>
          <w:tcPr>
            <w:tcW w:w="9572" w:type="dxa"/>
            <w:tcBorders/>
            <w:vAlign w:val="center"/>
          </w:tcPr>
          <w:p>
            <w:pPr>
              <w:pStyle w:val="TableContents"/>
              <w:bidi w:val="0"/>
              <w:spacing w:before="0" w:after="0"/>
              <w:ind w:left="0" w:right="0" w:hanging="0"/>
              <w:jc w:val="left"/>
              <w:rPr/>
            </w:pPr>
            <w:r>
              <w:rPr/>
              <w:t>​</w:t>
            </w:r>
          </w:p>
        </w:tc>
      </w:tr>
      <w:tr>
        <w:trPr/>
        <w:tc>
          <w:tcPr>
            <w:tcW w:w="633" w:type="dxa"/>
            <w:tcBorders/>
            <w:vAlign w:val="center"/>
          </w:tcPr>
          <w:p>
            <w:pPr>
              <w:pStyle w:val="TableContents"/>
              <w:bidi w:val="0"/>
              <w:spacing w:before="0" w:after="0"/>
              <w:ind w:left="0" w:right="0" w:hanging="0"/>
              <w:jc w:val="left"/>
              <w:rPr/>
            </w:pPr>
            <w:r>
              <w:rPr/>
              <w:t>​</w:t>
            </w:r>
          </w:p>
        </w:tc>
        <w:tc>
          <w:tcPr>
            <w:tcW w:w="95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 The above signature(s) of the Holder(s) hereof must correspond with the name as written upon the face of the Note in every particular without alteration or enlargement or any change whatever.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Attachment 2-1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ATTACHMENT 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ASSIGNMENT AND TRANSFER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value received hereby sell(s), assign(s) and transfer(s) unto (Please insert social security or Taxpayer Identification Number of assignee) the within Note, and hereby irrevocably constitutes and appoints attorney to transfer the said Note on the books of the Company, with full power of substitution in the premises.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any transfer of the within Note occurring prior to the Resale Restriction Termination Date, as defined in the Indenture governing such Note, the undersigned confirms that such Note is being transferred:</w:t>
      </w:r>
    </w:p>
    <w:tbl>
      <w:tblPr>
        <w:tblW w:w="4345" w:type="dxa"/>
        <w:jc w:val="left"/>
        <w:tblInd w:w="0" w:type="dxa"/>
        <w:tblLayout w:type="fixed"/>
        <w:tblCellMar>
          <w:top w:w="0" w:type="dxa"/>
          <w:left w:w="0" w:type="dxa"/>
          <w:bottom w:w="0" w:type="dxa"/>
          <w:right w:w="0" w:type="dxa"/>
        </w:tblCellMar>
      </w:tblPr>
      <w:tblGrid>
        <w:gridCol w:w="230"/>
        <w:gridCol w:w="4115"/>
      </w:tblGrid>
      <w:tr>
        <w:trPr/>
        <w:tc>
          <w:tcPr>
            <w:tcW w:w="230" w:type="dxa"/>
            <w:tcBorders/>
            <w:vAlign w:val="center"/>
          </w:tcPr>
          <w:p>
            <w:pPr>
              <w:pStyle w:val="TableContents"/>
              <w:bidi w:val="0"/>
              <w:spacing w:before="0" w:after="240"/>
              <w:jc w:val="left"/>
              <w:rPr/>
            </w:pPr>
            <w:r>
              <w:rPr/>
              <w:t>☐</w:t>
            </w:r>
          </w:p>
        </w:tc>
        <w:tc>
          <w:tcPr>
            <w:tcW w:w="41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To SCHMID Group N.V. or a subsidiary thereof; or</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40"/>
              <w:jc w:val="left"/>
              <w:rPr/>
            </w:pPr>
            <w:r>
              <w:rPr/>
              <w:t>☐</w:t>
            </w:r>
          </w:p>
        </w:tc>
        <w:tc>
          <w:tcPr>
            <w:tcW w:w="9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Pursuant to a registration statement that has become or been declared effective under the Securities Act of 1933, as amended; or</w:t>
            </w:r>
          </w:p>
        </w:tc>
      </w:tr>
    </w:tbl>
    <w:tbl>
      <w:tblPr>
        <w:tblW w:w="8005" w:type="dxa"/>
        <w:jc w:val="left"/>
        <w:tblInd w:w="0" w:type="dxa"/>
        <w:tblLayout w:type="fixed"/>
        <w:tblCellMar>
          <w:top w:w="0" w:type="dxa"/>
          <w:left w:w="0" w:type="dxa"/>
          <w:bottom w:w="0" w:type="dxa"/>
          <w:right w:w="0" w:type="dxa"/>
        </w:tblCellMar>
      </w:tblPr>
      <w:tblGrid>
        <w:gridCol w:w="230"/>
        <w:gridCol w:w="7775"/>
      </w:tblGrid>
      <w:tr>
        <w:trPr/>
        <w:tc>
          <w:tcPr>
            <w:tcW w:w="230" w:type="dxa"/>
            <w:tcBorders/>
            <w:vAlign w:val="center"/>
          </w:tcPr>
          <w:p>
            <w:pPr>
              <w:pStyle w:val="TableContents"/>
              <w:bidi w:val="0"/>
              <w:spacing w:before="0" w:after="240"/>
              <w:jc w:val="left"/>
              <w:rPr/>
            </w:pPr>
            <w:r>
              <w:rPr/>
              <w:t>☐</w:t>
            </w:r>
          </w:p>
        </w:tc>
        <w:tc>
          <w:tcPr>
            <w:tcW w:w="77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Pursuant to and in compliance with Rule 144A under the Securities Act of 1933, as amended; or</w:t>
            </w:r>
          </w:p>
        </w:tc>
      </w:tr>
    </w:tbl>
    <w:tbl>
      <w:tblPr>
        <w:tblW w:w="8950" w:type="dxa"/>
        <w:jc w:val="left"/>
        <w:tblInd w:w="0" w:type="dxa"/>
        <w:tblLayout w:type="fixed"/>
        <w:tblCellMar>
          <w:top w:w="0" w:type="dxa"/>
          <w:left w:w="0" w:type="dxa"/>
          <w:bottom w:w="0" w:type="dxa"/>
          <w:right w:w="0" w:type="dxa"/>
        </w:tblCellMar>
      </w:tblPr>
      <w:tblGrid>
        <w:gridCol w:w="230"/>
        <w:gridCol w:w="8720"/>
      </w:tblGrid>
      <w:tr>
        <w:trPr/>
        <w:tc>
          <w:tcPr>
            <w:tcW w:w="230" w:type="dxa"/>
            <w:tcBorders/>
            <w:vAlign w:val="center"/>
          </w:tcPr>
          <w:p>
            <w:pPr>
              <w:pStyle w:val="TableContents"/>
              <w:bidi w:val="0"/>
              <w:spacing w:before="0" w:after="240"/>
              <w:jc w:val="left"/>
              <w:rPr/>
            </w:pPr>
            <w:r>
              <w:rPr/>
              <w:t>☐</w:t>
            </w:r>
          </w:p>
        </w:tc>
        <w:tc>
          <w:tcPr>
            <w:tcW w:w="87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Outside the United States in accordance with Regulation S under the Securities Act of 1933, as amended; or</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Pursuant to and in compliance with Rule 144 under the Securities Act of 1933, as amended, or any other available exemption from the registration requirements of the Securities Act of 1933, as amended.</w:t>
            </w:r>
          </w:p>
        </w:tc>
      </w:tr>
    </w:tbl>
    <w:p>
      <w:pPr>
        <w:pStyle w:val="TextBody"/>
        <w:bidi w:val="0"/>
        <w:spacing w:before="0" w:after="0"/>
        <w:ind w:left="0" w:right="0" w:hanging="0"/>
        <w:jc w:val="left"/>
        <w:rPr/>
      </w:pPr>
      <w:r>
        <w:rPr/>
        <w:t>​</w:t>
      </w:r>
    </w:p>
    <w:tbl>
      <w:tblPr>
        <w:tblW w:w="1924" w:type="dxa"/>
        <w:jc w:val="left"/>
        <w:tblInd w:w="0" w:type="dxa"/>
        <w:tblLayout w:type="fixed"/>
        <w:tblCellMar>
          <w:top w:w="0" w:type="dxa"/>
          <w:left w:w="0" w:type="dxa"/>
          <w:bottom w:w="0" w:type="dxa"/>
          <w:right w:w="0" w:type="dxa"/>
        </w:tblCellMar>
      </w:tblPr>
      <w:tblGrid>
        <w:gridCol w:w="1499"/>
        <w:gridCol w:w="271"/>
        <w:gridCol w:w="154"/>
      </w:tblGrid>
      <w:tr>
        <w:trPr/>
        <w:tc>
          <w:tcPr>
            <w:tcW w:w="14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70" w:type="dxa"/>
            <w:gridSpan w:val="2"/>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7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Signature(s)</w:t>
            </w:r>
          </w:p>
        </w:tc>
        <w:tc>
          <w:tcPr>
            <w:tcW w:w="154" w:type="dxa"/>
            <w:tcBorders/>
            <w:vAlign w:val="center"/>
          </w:tcPr>
          <w:p>
            <w:pPr>
              <w:pStyle w:val="TableContents"/>
              <w:bidi w:val="0"/>
              <w:spacing w:before="0" w:after="0"/>
              <w:ind w:left="0" w:right="0" w:hanging="0"/>
              <w:jc w:val="left"/>
              <w:rPr/>
            </w:pPr>
            <w:r>
              <w:rPr/>
              <w:t>​</w:t>
            </w:r>
          </w:p>
        </w:tc>
      </w:tr>
      <w:tr>
        <w:trPr/>
        <w:tc>
          <w:tcPr>
            <w:tcW w:w="17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7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 Guarantee</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Signature(s) must be guaranteed by an eligible Guarantor Institution (banks, stock brokers, savings and loan associations and credit unions) with membership in an approved signature guarantee medallion program pursuant to Securities and Exchange Commission Rule 17Ad-15 if Notes are to be delivered, other than to and in the name of the registered holder.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NOTICE: The signature on the assignment must correspond with the name as written upon the face of the Note in every particular without alteration or enlargement or any change whatever.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right"/>
        <w:rPr>
          <w:rFonts w:ascii="Times New Roman;Times;serif" w:hAnsi="Times New Roman;Times;serif"/>
          <w:b/>
          <w:sz w:val="20"/>
        </w:rPr>
      </w:pPr>
      <w:bookmarkStart w:id="2191" w:name="shmd-20251231xex4d52.htm"/>
      <w:bookmarkStart w:id="2192" w:name="ksshmd20251231xex4d52"/>
      <w:bookmarkEnd w:id="2191"/>
      <w:bookmarkEnd w:id="2192"/>
      <w:r>
        <w:rPr>
          <w:rFonts w:ascii="Times New Roman;Times;serif" w:hAnsi="Times New Roman;Times;serif"/>
          <w:b/>
          <w:sz w:val="20"/>
        </w:rPr>
        <w:t>Exhibit 4.52</w:t>
      </w:r>
      <w:r>
        <w:br w:type="page"/>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SCHMID Group N.V.</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5.0% Convertible Senior PIK Toggle Note due 2029</w:t>
      </w:r>
    </w:p>
    <w:p>
      <w:pPr>
        <w:pStyle w:val="TextBody"/>
        <w:bidi w:val="0"/>
        <w:spacing w:before="0" w:after="240"/>
        <w:ind w:left="0" w:right="0" w:hanging="0"/>
        <w:jc w:val="right"/>
        <w:rPr>
          <w:rFonts w:ascii="Times New Roman;Times;serif" w:hAnsi="Times New Roman;Times;serif"/>
          <w:sz w:val="20"/>
        </w:rPr>
      </w:pPr>
      <w:r>
        <w:rPr>
          <w:rFonts w:ascii="Times New Roman;Times;serif" w:hAnsi="Times New Roman;Times;serif"/>
          <w:sz w:val="20"/>
        </w:rPr>
        <w:t>Initially $0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CUSIP No. N68722 AB8 / ISIN USN68722AB82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SCHMID Group N.V., a Dutch public limited liability company (the “</w:t>
      </w:r>
      <w:r>
        <w:rPr>
          <w:rFonts w:ascii="Times New Roman;Times;serif" w:hAnsi="Times New Roman;Times;serif"/>
          <w:b/>
          <w:sz w:val="20"/>
        </w:rPr>
        <w:t>Company</w:t>
      </w:r>
      <w:r>
        <w:rPr>
          <w:rFonts w:ascii="Times New Roman;Times;serif" w:hAnsi="Times New Roman;Times;serif"/>
          <w:sz w:val="20"/>
        </w:rPr>
        <w:t>,” which term includes any successor corporation or other entity under the Indenture referred to on the reverse hereof), for value received hereby promises to pay to CEDE &amp; CO., or registered assigns, the principal sum as set forth in the “Schedule of Exchanges of Notes” attached hereto, which amount, taken together with the principal amounts of all other outstanding Notes, shall not, unless permitted by the Indenture, exceed $20,000,000 in aggregate at any time, in accordance with the rules and applicable procedures of the Depositary, on January 14, 2029, and interest thereon as set forth below.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Note shall bear interest at the applicable Cash Interest Rate or PIK Interest Rate from July 14, 2026 or from the most recent date to which interest has been paid or provided for to, but excluding, the next scheduled Interest Payment Date until January 14, 2029. Accrued interest on this Note shall be computed on the basis of a 360-day year composed of twelve 30-day months and, for partial months, on the basis of the number of days actually elapsed in a 30-day month. Interest is payable quarterly in arrears in cash at the Cash Interest Rate or by PIK Payments at the PIK Interest Rate, pursuant to Section 2.03(d) of the Indenture, on each March 15, June 15, September 15 and December 15 commencing on December 15, 2026, to Holders of record at the close of business on the preceding March 1, June 1, September 1 and December 1 (whether or not such day is a Business Day), respectively. The Company shall make payments on the Notes in the manner set forth in the Indenture. Step-Up Interest will be payable as set forth in Section 2.03(e) of the within-mentioned Indenture, and any reference to interest on, or in respect of, any Note therein shall be deemed to include Step-Up Interest if, in such context, Step-Up Interest is, was or would be payable pursuant to any of such Section 2.03(e), and any express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mention of the payment of Step-Up Interest in any provision therein shall not be construed as excluding Step-Up Interest in those provisions thereof where such express mention is not made.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Defaulted Amounts shall accrue interest per annum at the rate equal to 2.0% per annum (“</w:t>
      </w:r>
      <w:r>
        <w:rPr>
          <w:rFonts w:ascii="Times New Roman;Times;serif" w:hAnsi="Times New Roman;Times;serif"/>
          <w:b/>
          <w:sz w:val="20"/>
        </w:rPr>
        <w:t>Default Interest</w:t>
      </w:r>
      <w:r>
        <w:rPr>
          <w:rFonts w:ascii="Times New Roman;Times;serif" w:hAnsi="Times New Roman;Times;serif"/>
          <w:sz w:val="20"/>
        </w:rPr>
        <w:t>”) (which shall be in addition to, not in lieu of, the interest payable pursuant to the Indenture and the Notes), subject to the enforceability thereof under applicable law, from, and including, the relevant payment date to, but excluding, the date on which such Defaulted Amounts and Default Interest shall have been paid by the Company, at its election, in accordance with Section 2.03(c) and Article 6 of the Indenture.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shall pay or cause the Paying Agent to pay the principal of and interest on this Note, if and so long as such Note is a Global Note, in immediately available funds to the Depositary or its nominee, as the case may be, as the registered Holder of such Note. As provided in and subject to the provisions of the Indenture, the Company shall pay or cause the Paying Agent to pay the principal of any Notes (other than Notes that are Global Notes) at the office or agency designated by the Company for that purpose. The Company has initially designated the entity acting as Trustee as its Paying Agent and Note Registrar in respect of the Notes and its agency in the contiguous United States, as a place where Notes may be presented for payment or for registration of transfer and exchange.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Reference is made to the further provisions of this Note set forth on the reverse hereof, including, without limitation, provisions giving the Holder of this Note the right to convert this Note into cash, shares of Common Stock or a combination of cash and shares of Common Stock, as applicable, on the terms and subject to the limitations set forth in the Indenture. Such further provisions shall for all purposes have the same effect as though fully set forth at this place.</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sz w:val="20"/>
        </w:rPr>
        <w:t>This Note, and any claim, controversy or dispute arising under or related to this Note, shall be construed in accordance with and governed by the laws of the State of New York (without regard to the conflict of laws provisions thereof).</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case of any conflict between this Note and the Indenture, the provisions of the Indenture shall control and govern.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Note shall not be valid or become obligatory for any purpose until the certificate of authentication hereon shall have been signed manually or electronically by the Trustee or a duly authorized authenticating agent under the Indenture.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Remainder of page intentionally left blank</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A-2</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Company has caused this Note to be duly executed.</w:t>
      </w:r>
    </w:p>
    <w:tbl>
      <w:tblPr>
        <w:tblW w:w="2600" w:type="dxa"/>
        <w:jc w:val="left"/>
        <w:tblInd w:w="0" w:type="dxa"/>
        <w:tblLayout w:type="fixed"/>
        <w:tblCellMar>
          <w:top w:w="0" w:type="dxa"/>
          <w:left w:w="0" w:type="dxa"/>
          <w:bottom w:w="0" w:type="dxa"/>
          <w:right w:w="0" w:type="dxa"/>
        </w:tblCellMar>
      </w:tblPr>
      <w:tblGrid>
        <w:gridCol w:w="124"/>
        <w:gridCol w:w="406"/>
        <w:gridCol w:w="1263"/>
        <w:gridCol w:w="807"/>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SCHMID GROUP N.V.</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Arthur Schuetz</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CFO</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TRUSTEE’S CERTIFICATE OF AUTHENTICATION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Wilmington Savings Fund Society, FSB</w:t>
      </w:r>
      <w:r>
        <w:rPr>
          <w:rFonts w:ascii="Times New Roman;Times;serif" w:hAnsi="Times New Roman;Times;serif"/>
          <w:sz w:val="20"/>
        </w:rPr>
        <w:t>, as Trustee, certifies that this is one of the Notes described in the within-named Indenture.</w:t>
      </w:r>
    </w:p>
    <w:p>
      <w:pPr>
        <w:pStyle w:val="TextBody"/>
        <w:bidi w:val="0"/>
        <w:spacing w:before="0" w:after="0"/>
        <w:ind w:left="0" w:right="0" w:hanging="0"/>
        <w:jc w:val="left"/>
        <w:rPr/>
      </w:pPr>
      <w:r>
        <w:rPr/>
        <w:t>​</w:t>
      </w:r>
    </w:p>
    <w:tbl>
      <w:tblPr>
        <w:tblW w:w="1094" w:type="dxa"/>
        <w:jc w:val="left"/>
        <w:tblInd w:w="0" w:type="dxa"/>
        <w:tblLayout w:type="fixed"/>
        <w:tblCellMar>
          <w:top w:w="0" w:type="dxa"/>
          <w:left w:w="0" w:type="dxa"/>
          <w:bottom w:w="0" w:type="dxa"/>
          <w:right w:w="0" w:type="dxa"/>
        </w:tblCellMar>
      </w:tblPr>
      <w:tblGrid>
        <w:gridCol w:w="421"/>
        <w:gridCol w:w="109"/>
        <w:gridCol w:w="301"/>
        <w:gridCol w:w="109"/>
        <w:gridCol w:w="154"/>
      </w:tblGrid>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A-3</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REVERSE OF NOTE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SCHMID Group N.V.</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5.0% Convertible Senior PIK Toggle Note due 2029</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Note is one of a duly authorized issue of Notes of the Company, designated as its 5.0% Convertible Senior PIK Toggle Notes due 2029 (the “</w:t>
      </w:r>
      <w:r>
        <w:rPr>
          <w:rFonts w:ascii="Times New Roman;Times;serif" w:hAnsi="Times New Roman;Times;serif"/>
          <w:b/>
          <w:sz w:val="20"/>
        </w:rPr>
        <w:t>Notes</w:t>
      </w:r>
      <w:r>
        <w:rPr>
          <w:rFonts w:ascii="Times New Roman;Times;serif" w:hAnsi="Times New Roman;Times;serif"/>
          <w:sz w:val="20"/>
        </w:rPr>
        <w:t>”), in the aggregate principal amount of $20,000,000 (as may be increased by any PIK Payments) all issued or to be issued under and pursuant to an Indenture dated as of July 14, 2026 (the “</w:t>
      </w:r>
      <w:r>
        <w:rPr>
          <w:rFonts w:ascii="Times New Roman;Times;serif" w:hAnsi="Times New Roman;Times;serif"/>
          <w:b/>
          <w:sz w:val="20"/>
        </w:rPr>
        <w:t>Indenture</w:t>
      </w:r>
      <w:r>
        <w:rPr>
          <w:rFonts w:ascii="Times New Roman;Times;serif" w:hAnsi="Times New Roman;Times;serif"/>
          <w:sz w:val="20"/>
        </w:rPr>
        <w:t>”), between the Company, the Guarantors and Wilmington Savings Fund Society, FSB (the “</w:t>
      </w:r>
      <w:r>
        <w:rPr>
          <w:rFonts w:ascii="Times New Roman;Times;serif" w:hAnsi="Times New Roman;Times;serif"/>
          <w:b/>
          <w:sz w:val="20"/>
        </w:rPr>
        <w:t>Trustee</w:t>
      </w:r>
      <w:r>
        <w:rPr>
          <w:rFonts w:ascii="Times New Roman;Times;serif" w:hAnsi="Times New Roman;Times;serif"/>
          <w:sz w:val="20"/>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 The originally issued Notes, all PIK Notes, and any additional Notes issued as set forth in the Indenture or this Note shall constitute a single class.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Subject to the terms and conditions of the Indenture, the Company will make all payments and deliveries in respect of the Fundamental Change Repurchase Price on the Fundamental Change Repurchase Date and the Capitalized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Indenture contains provisions permitting the Company, the Guarantors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Notes are guaranteed to the extent provided in the Indenture.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Each Holder shall have the right to receive payment or delivery, as the case may be, of (x) the principal (including the Fundamental Change Repurchase Price, if applicable) of, (y) accrued and unpaid interest, if any, on, and (z) the consideration due upon conversion of, this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Note at the place, at the respective times, at the rate and in the lawful money and/or shares of Common Stock, as the case may be, herein prescribed.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Notes are issuable in registered form without coupons in denominations of $1.00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Notes shall be redeemable at the Company’s option on or after the date of the Indenture in accordance with the terms and subject to the conditions specified in the Indenture.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Upon the occurrence of a Fundamental Change, the Holder has the right, at such Holder’s option and subject to the limitations set forth in the Indenture, to require the Company to repurchase for cash all of such Holder’s Notes or any portion thereof (in principal amounts of $1,000 or an integral multiple of $1.00 in excess thereof) on the Fundamental Change Repurchase Date at a price equal to the Fundamental Change Repurchase Price.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of $1.00 in excess thereof, into cash, shares of Common Stock or a combination of cash and shares of Common Stock, as applicable and subject to the limitations set forth in the Indenture, in each case, at the Conversion Rate specified in the Indenture, as adjusted from time to time as provided in the Indenture.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ABBREVIATIONS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abbreviations, when used in the inscription of the face of this Note, shall be construed as though they were written out in full according to applicable laws or regulations: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TEN COM = as tenants in common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UNIF GIFT MIN ACT = Uniform Gifts to Minors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CUST = Custodian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TEN ENT = as tenants by the entireties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JT TEN = joint tenants with right of survivorship and not as tenants in common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 abbreviations may also be used though not in the above list.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SCHEDULE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SCHEDULE OF EXCHANGES OF NOTES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SCHMID Group. N.V.</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5.0% Convertible Senior PIK Toggle Notes due 2029</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initial principal amount of this Global Note is twenty million DOLLARS ($20,000,000). The following increases or decreases in this Global Note have been made:</w:t>
      </w:r>
    </w:p>
    <w:tbl>
      <w:tblPr>
        <w:tblW w:w="7419" w:type="dxa"/>
        <w:jc w:val="center"/>
        <w:tblInd w:w="0" w:type="dxa"/>
        <w:tblLayout w:type="fixed"/>
        <w:tblCellMar>
          <w:top w:w="0" w:type="dxa"/>
          <w:left w:w="0" w:type="dxa"/>
          <w:bottom w:w="0" w:type="dxa"/>
          <w:right w:w="0" w:type="dxa"/>
        </w:tblCellMar>
      </w:tblPr>
      <w:tblGrid>
        <w:gridCol w:w="916"/>
        <w:gridCol w:w="346"/>
        <w:gridCol w:w="1306"/>
        <w:gridCol w:w="346"/>
        <w:gridCol w:w="1306"/>
        <w:gridCol w:w="346"/>
        <w:gridCol w:w="1321"/>
        <w:gridCol w:w="346"/>
        <w:gridCol w:w="1186"/>
      </w:tblGrid>
      <w:tr>
        <w:trPr/>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581660" cy="29210"/>
                      <wp:effectExtent l="0" t="0" r="0" b="0"/>
                      <wp:wrapNone/>
                      <wp:docPr id="647" name="Frame645"/>
                      <a:graphic xmlns:a="http://schemas.openxmlformats.org/drawingml/2006/main">
                        <a:graphicData uri="http://schemas.microsoft.com/office/word/2010/wordprocessingShape">
                          <wps:wsp>
                            <wps:cNvSpPr txBox="1"/>
                            <wps:spPr>
                              <a:xfrm>
                                <a:off x="0" y="0"/>
                                <a:ext cx="581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219710" cy="29210"/>
                      <wp:effectExtent l="0" t="0" r="0" b="0"/>
                      <wp:wrapNone/>
                      <wp:docPr id="648" name="Frame646"/>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829310" cy="29210"/>
                      <wp:effectExtent l="0" t="0" r="0" b="0"/>
                      <wp:wrapNone/>
                      <wp:docPr id="649" name="Frame647"/>
                      <a:graphic xmlns:a="http://schemas.openxmlformats.org/drawingml/2006/main">
                        <a:graphicData uri="http://schemas.microsoft.com/office/word/2010/wordprocessingShape">
                          <wps:wsp>
                            <wps:cNvSpPr txBox="1"/>
                            <wps:spPr>
                              <a:xfrm>
                                <a:off x="0" y="0"/>
                                <a:ext cx="829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219710" cy="29210"/>
                      <wp:effectExtent l="0" t="0" r="0" b="0"/>
                      <wp:wrapNone/>
                      <wp:docPr id="650" name="Frame648"/>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829310" cy="29210"/>
                      <wp:effectExtent l="0" t="0" r="0" b="0"/>
                      <wp:wrapNone/>
                      <wp:docPr id="651" name="Frame649"/>
                      <a:graphic xmlns:a="http://schemas.openxmlformats.org/drawingml/2006/main">
                        <a:graphicData uri="http://schemas.microsoft.com/office/word/2010/wordprocessingShape">
                          <wps:wsp>
                            <wps:cNvSpPr txBox="1"/>
                            <wps:spPr>
                              <a:xfrm>
                                <a:off x="0" y="0"/>
                                <a:ext cx="829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219710" cy="29210"/>
                      <wp:effectExtent l="0" t="0" r="0" b="0"/>
                      <wp:wrapNone/>
                      <wp:docPr id="652" name="Frame650"/>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838835" cy="29210"/>
                      <wp:effectExtent l="0" t="0" r="0" b="0"/>
                      <wp:wrapNone/>
                      <wp:docPr id="653" name="Frame651"/>
                      <a:graphic xmlns:a="http://schemas.openxmlformats.org/drawingml/2006/main">
                        <a:graphicData uri="http://schemas.microsoft.com/office/word/2010/wordprocessingShape">
                          <wps:wsp>
                            <wps:cNvSpPr txBox="1"/>
                            <wps:spPr>
                              <a:xfrm>
                                <a:off x="0" y="0"/>
                                <a:ext cx="8388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219710" cy="29210"/>
                      <wp:effectExtent l="0" t="0" r="0" b="0"/>
                      <wp:wrapNone/>
                      <wp:docPr id="654" name="Frame65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753110" cy="29210"/>
                      <wp:effectExtent l="0" t="0" r="0" b="0"/>
                      <wp:wrapNone/>
                      <wp:docPr id="655" name="Frame653"/>
                      <a:graphic xmlns:a="http://schemas.openxmlformats.org/drawingml/2006/main">
                        <a:graphicData uri="http://schemas.microsoft.com/office/word/2010/wordprocessingShape">
                          <wps:wsp>
                            <wps:cNvSpPr txBox="1"/>
                            <wps:spPr>
                              <a:xfrm>
                                <a:off x="0" y="0"/>
                                <a:ext cx="7531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w:t>
              <w:br/>
              <w:t>exchange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 of</w:t>
              <w:br/>
              <w:t>decrease in</w:t>
              <w:br/>
              <w:t>principal</w:t>
              <w:br/>
              <w:t>amount of this</w:t>
              <w:br/>
              <w:t>Global Note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 of</w:t>
              <w:br/>
              <w:t>increase in</w:t>
              <w:br/>
              <w:t>principal</w:t>
              <w:br/>
              <w:t>amount of this</w:t>
              <w:br/>
              <w:t>Global Note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w:t>
              <w:br/>
              <w:t>amount of this</w:t>
              <w:br/>
              <w:t>Global Note</w:t>
              <w:br/>
              <w:t>following such</w:t>
              <w:br/>
              <w:t>decrease or</w:t>
              <w:br/>
              <w:t>increase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 of</w:t>
              <w:br/>
              <w:t>authorized</w:t>
              <w:br/>
              <w:t>signatory of</w:t>
              <w:br/>
              <w:t>Trustee or</w:t>
              <w:br/>
              <w:t>Custodian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Attachment 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ATTACHMENT 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NOTICE OF CONVERSION</w:t>
      </w:r>
    </w:p>
    <w:tbl>
      <w:tblPr>
        <w:tblW w:w="3565" w:type="dxa"/>
        <w:jc w:val="left"/>
        <w:tblInd w:w="0" w:type="dxa"/>
        <w:tblLayout w:type="fixed"/>
        <w:tblCellMar>
          <w:top w:w="0" w:type="dxa"/>
          <w:left w:w="0" w:type="dxa"/>
          <w:bottom w:w="0" w:type="dxa"/>
          <w:right w:w="0" w:type="dxa"/>
        </w:tblCellMar>
      </w:tblPr>
      <w:tblGrid>
        <w:gridCol w:w="305"/>
        <w:gridCol w:w="3260"/>
      </w:tblGrid>
      <w:tr>
        <w:trPr/>
        <w:tc>
          <w:tcPr>
            <w:tcW w:w="3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To:</w:t>
            </w:r>
          </w:p>
        </w:tc>
        <w:tc>
          <w:tcPr>
            <w:tcW w:w="32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Wilmington Savings Fund Society, FSB</w:t>
              <w:br/>
              <w:t>500 Delaware Avenue, 11th Floor</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Wilmington, DE 19801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registered owner of this Note hereby exercises the option to convert this Note, or the portion hereof (that is $1,000 Capitalized Principal Amount or an integral multiple of $1.00 in excess thereof) below designated, into shares of Common Stock in accordance with the terms of the Indenture referred to in this Note (any fractional shares of Common Stock shall be rounded up to one (1) whole Share of Common Stock), and directs that any cash payable and any shares of Common Stock issuable and deliverable upon such conversion, together with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tbl>
      <w:tblPr>
        <w:tblW w:w="1787" w:type="dxa"/>
        <w:jc w:val="left"/>
        <w:tblInd w:w="0" w:type="dxa"/>
        <w:tblLayout w:type="fixed"/>
        <w:tblCellMar>
          <w:top w:w="0" w:type="dxa"/>
          <w:left w:w="0" w:type="dxa"/>
          <w:bottom w:w="0" w:type="dxa"/>
          <w:right w:w="0" w:type="dxa"/>
        </w:tblCellMar>
      </w:tblPr>
      <w:tblGrid>
        <w:gridCol w:w="661"/>
        <w:gridCol w:w="1126"/>
      </w:tblGrid>
      <w:tr>
        <w:trPr/>
        <w:tc>
          <w:tcPr>
            <w:tcW w:w="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1126" w:type="dxa"/>
            <w:tcBorders/>
            <w:vAlign w:val="center"/>
          </w:tcPr>
          <w:p>
            <w:pPr>
              <w:pStyle w:val="TableContents"/>
              <w:bidi w:val="0"/>
              <w:spacing w:before="0" w:after="0"/>
              <w:ind w:left="0" w:right="0" w:hanging="0"/>
              <w:jc w:val="left"/>
              <w:rPr/>
            </w:pPr>
            <w:r>
              <w:rPr/>
              <w:t>​</w:t>
            </w:r>
          </w:p>
        </w:tc>
      </w:tr>
      <w:tr>
        <w:trPr/>
        <w:tc>
          <w:tcPr>
            <w:tcW w:w="66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r>
      <w:tr>
        <w:trPr/>
        <w:tc>
          <w:tcPr>
            <w:tcW w:w="66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Signature Guarantee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Signature(s) must be guaranteed by an eligible Guarantor Institution (banks, stock brokers, savings and loan associations and credit unions) with membership in an approved signature guarantee medallion program pursuant to Securities and Exchange Commission Rule 17Ad-15 if shares of Common Stock are to be issued, or Notes are to be delivered, other than to and in the name of the registered holder.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Fill in for registration of shares if to be issued, and Notes if to be delivered, other than to and in the name of the registered holder:</w:t>
      </w:r>
    </w:p>
    <w:tbl>
      <w:tblPr>
        <w:tblW w:w="2405" w:type="dxa"/>
        <w:jc w:val="left"/>
        <w:tblInd w:w="0" w:type="dxa"/>
        <w:tblLayout w:type="fixed"/>
        <w:tblCellMar>
          <w:top w:w="0" w:type="dxa"/>
          <w:left w:w="0" w:type="dxa"/>
          <w:bottom w:w="0" w:type="dxa"/>
          <w:right w:w="0" w:type="dxa"/>
        </w:tblCellMar>
      </w:tblPr>
      <w:tblGrid>
        <w:gridCol w:w="2251"/>
        <w:gridCol w:w="154"/>
      </w:tblGrid>
      <w:tr>
        <w:trPr/>
        <w:tc>
          <w:tcPr>
            <w:tcW w:w="225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54"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(Street Address)</w:t>
            </w:r>
          </w:p>
        </w:tc>
        <w:tc>
          <w:tcPr>
            <w:tcW w:w="154"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(City, State and Zip Code)</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Attachment 1-2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599"/>
        <w:gridCol w:w="8606"/>
      </w:tblGrid>
      <w:tr>
        <w:trPr/>
        <w:tc>
          <w:tcPr>
            <w:tcW w:w="1599" w:type="dxa"/>
            <w:tcBorders/>
            <w:vAlign w:val="center"/>
          </w:tcPr>
          <w:p>
            <w:pPr>
              <w:pStyle w:val="TableContents"/>
              <w:bidi w:val="0"/>
              <w:spacing w:before="0" w:after="283"/>
              <w:ind w:left="0" w:right="0" w:hanging="0"/>
              <w:jc w:val="left"/>
              <w:rPr>
                <w:sz w:val="4"/>
                <w:szCs w:val="4"/>
              </w:rPr>
            </w:pPr>
            <w:r>
              <w:rPr>
                <w:sz w:val="4"/>
                <w:szCs w:val="4"/>
              </w:rPr>
            </w:r>
          </w:p>
        </w:tc>
        <w:tc>
          <w:tcPr>
            <w:tcW w:w="8606" w:type="dxa"/>
            <w:tcBorders/>
            <w:vAlign w:val="center"/>
          </w:tcPr>
          <w:p>
            <w:pPr>
              <w:pStyle w:val="TableContents"/>
              <w:bidi w:val="0"/>
              <w:spacing w:before="0" w:after="0"/>
              <w:ind w:left="0" w:right="0" w:hanging="0"/>
              <w:jc w:val="left"/>
              <w:rPr/>
            </w:pPr>
            <w:r>
              <w:rPr/>
              <w:t>​</w:t>
            </w:r>
          </w:p>
        </w:tc>
      </w:tr>
      <w:tr>
        <w:trPr/>
        <w:tc>
          <w:tcPr>
            <w:tcW w:w="15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Please print name and address</w:t>
            </w:r>
          </w:p>
        </w:tc>
        <w:tc>
          <w:tcPr>
            <w:tcW w:w="8606" w:type="dxa"/>
            <w:tcBorders/>
            <w:vAlign w:val="center"/>
          </w:tcPr>
          <w:p>
            <w:pPr>
              <w:pStyle w:val="TableContents"/>
              <w:bidi w:val="0"/>
              <w:spacing w:before="0" w:after="0"/>
              <w:ind w:left="0" w:right="0" w:hanging="0"/>
              <w:jc w:val="left"/>
              <w:rPr/>
            </w:pPr>
            <w:r>
              <w:rPr/>
              <w:t>​</w:t>
            </w:r>
          </w:p>
        </w:tc>
      </w:tr>
      <w:tr>
        <w:trPr/>
        <w:tc>
          <w:tcPr>
            <w:tcW w:w="1599" w:type="dxa"/>
            <w:tcBorders/>
            <w:vAlign w:val="center"/>
          </w:tcPr>
          <w:p>
            <w:pPr>
              <w:pStyle w:val="TableContents"/>
              <w:bidi w:val="0"/>
              <w:spacing w:before="0" w:after="0"/>
              <w:ind w:left="0" w:right="0" w:hanging="0"/>
              <w:jc w:val="left"/>
              <w:rPr/>
            </w:pPr>
            <w:r>
              <w:rPr/>
              <w:t>​</w:t>
            </w:r>
          </w:p>
        </w:tc>
        <w:tc>
          <w:tcPr>
            <w:tcW w:w="8606" w:type="dxa"/>
            <w:tcBorders/>
            <w:vAlign w:val="center"/>
          </w:tcPr>
          <w:p>
            <w:pPr>
              <w:pStyle w:val="TableContents"/>
              <w:bidi w:val="0"/>
              <w:spacing w:before="0" w:after="0"/>
              <w:ind w:left="0" w:right="0" w:hanging="0"/>
              <w:jc w:val="left"/>
              <w:rPr/>
            </w:pPr>
            <w:r>
              <w:rPr/>
              <w:t>​</w:t>
            </w:r>
          </w:p>
        </w:tc>
      </w:tr>
      <w:tr>
        <w:trPr/>
        <w:tc>
          <w:tcPr>
            <w:tcW w:w="1599" w:type="dxa"/>
            <w:tcBorders/>
            <w:vAlign w:val="center"/>
          </w:tcPr>
          <w:p>
            <w:pPr>
              <w:pStyle w:val="TableContents"/>
              <w:bidi w:val="0"/>
              <w:spacing w:before="0" w:after="0"/>
              <w:ind w:left="0" w:right="0" w:hanging="0"/>
              <w:jc w:val="left"/>
              <w:rPr/>
            </w:pPr>
            <w:r>
              <w:rPr/>
              <w:t>​</w:t>
            </w:r>
          </w:p>
        </w:tc>
        <w:tc>
          <w:tcPr>
            <w:tcW w:w="8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amount to be converted (if less than all): $</w:t>
            </w:r>
            <w:r>
              <w:rPr>
                <w:rFonts w:ascii="Times New Roman;Times;serif" w:hAnsi="Times New Roman;Times;serif"/>
                <w:sz w:val="20"/>
                <w:u w:val="single"/>
              </w:rPr>
              <w:t>       </w:t>
            </w:r>
            <w:r>
              <w:rPr>
                <w:rFonts w:ascii="Times New Roman;Times;serif" w:hAnsi="Times New Roman;Times;serif"/>
                <w:sz w:val="20"/>
              </w:rPr>
              <w:t>,000</w:t>
            </w:r>
          </w:p>
        </w:tc>
      </w:tr>
      <w:tr>
        <w:trPr/>
        <w:tc>
          <w:tcPr>
            <w:tcW w:w="1599" w:type="dxa"/>
            <w:tcBorders/>
            <w:vAlign w:val="center"/>
          </w:tcPr>
          <w:p>
            <w:pPr>
              <w:pStyle w:val="TableContents"/>
              <w:bidi w:val="0"/>
              <w:spacing w:before="0" w:after="0"/>
              <w:ind w:left="0" w:right="0" w:hanging="0"/>
              <w:jc w:val="left"/>
              <w:rPr/>
            </w:pPr>
            <w:r>
              <w:rPr/>
              <w:t>​</w:t>
            </w:r>
          </w:p>
        </w:tc>
        <w:tc>
          <w:tcPr>
            <w:tcW w:w="8606" w:type="dxa"/>
            <w:tcBorders/>
            <w:vAlign w:val="center"/>
          </w:tcPr>
          <w:p>
            <w:pPr>
              <w:pStyle w:val="TableContents"/>
              <w:bidi w:val="0"/>
              <w:spacing w:before="0" w:after="0"/>
              <w:ind w:left="0" w:right="0" w:hanging="0"/>
              <w:jc w:val="left"/>
              <w:rPr/>
            </w:pPr>
            <w:r>
              <w:rPr/>
              <w:t>​</w:t>
            </w:r>
          </w:p>
        </w:tc>
      </w:tr>
      <w:tr>
        <w:trPr/>
        <w:tc>
          <w:tcPr>
            <w:tcW w:w="1599" w:type="dxa"/>
            <w:tcBorders/>
            <w:vAlign w:val="center"/>
          </w:tcPr>
          <w:p>
            <w:pPr>
              <w:pStyle w:val="TableContents"/>
              <w:bidi w:val="0"/>
              <w:spacing w:before="0" w:after="0"/>
              <w:ind w:left="0" w:right="0" w:hanging="0"/>
              <w:jc w:val="left"/>
              <w:rPr/>
            </w:pPr>
            <w:r>
              <w:rPr/>
              <w:t>​</w:t>
            </w:r>
          </w:p>
        </w:tc>
        <w:tc>
          <w:tcPr>
            <w:tcW w:w="8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 The above signature(s) of the Holder(s) hereof must correspond with the name as written upon the face of the Note in every particular without alteration or enlargement or any change whatever.</w:t>
            </w:r>
          </w:p>
        </w:tc>
      </w:tr>
      <w:tr>
        <w:trPr/>
        <w:tc>
          <w:tcPr>
            <w:tcW w:w="1599" w:type="dxa"/>
            <w:tcBorders/>
            <w:vAlign w:val="center"/>
          </w:tcPr>
          <w:p>
            <w:pPr>
              <w:pStyle w:val="TableContents"/>
              <w:bidi w:val="0"/>
              <w:spacing w:before="0" w:after="0"/>
              <w:ind w:left="0" w:right="0" w:hanging="0"/>
              <w:jc w:val="left"/>
              <w:rPr/>
            </w:pPr>
            <w:r>
              <w:rPr/>
              <w:t>​</w:t>
            </w:r>
          </w:p>
        </w:tc>
        <w:tc>
          <w:tcPr>
            <w:tcW w:w="8606" w:type="dxa"/>
            <w:tcBorders/>
            <w:vAlign w:val="center"/>
          </w:tcPr>
          <w:p>
            <w:pPr>
              <w:pStyle w:val="TableContents"/>
              <w:bidi w:val="0"/>
              <w:spacing w:before="0" w:after="0"/>
              <w:ind w:left="0" w:right="0" w:hanging="0"/>
              <w:jc w:val="left"/>
              <w:rPr/>
            </w:pPr>
            <w:r>
              <w:rPr/>
              <w:t>​</w:t>
            </w:r>
          </w:p>
        </w:tc>
      </w:tr>
      <w:tr>
        <w:trPr/>
        <w:tc>
          <w:tcPr>
            <w:tcW w:w="1599" w:type="dxa"/>
            <w:tcBorders/>
            <w:vAlign w:val="center"/>
          </w:tcPr>
          <w:p>
            <w:pPr>
              <w:pStyle w:val="TableContents"/>
              <w:bidi w:val="0"/>
              <w:spacing w:before="0" w:after="0"/>
              <w:ind w:left="0" w:right="0" w:hanging="0"/>
              <w:jc w:val="left"/>
              <w:rPr/>
            </w:pPr>
            <w:r>
              <w:rPr/>
              <w:t>​</w:t>
            </w:r>
          </w:p>
        </w:tc>
        <w:tc>
          <w:tcPr>
            <w:tcW w:w="8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Social Security or Other Taxpayer 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Attachment 1-3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ATTACHMENT 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FUNDAMENTAL CHANGE REPURCHASE NOTICE</w:t>
      </w:r>
    </w:p>
    <w:tbl>
      <w:tblPr>
        <w:tblW w:w="3565" w:type="dxa"/>
        <w:jc w:val="left"/>
        <w:tblInd w:w="0" w:type="dxa"/>
        <w:tblLayout w:type="fixed"/>
        <w:tblCellMar>
          <w:top w:w="0" w:type="dxa"/>
          <w:left w:w="0" w:type="dxa"/>
          <w:bottom w:w="0" w:type="dxa"/>
          <w:right w:w="0" w:type="dxa"/>
        </w:tblCellMar>
      </w:tblPr>
      <w:tblGrid>
        <w:gridCol w:w="305"/>
        <w:gridCol w:w="3260"/>
      </w:tblGrid>
      <w:tr>
        <w:trPr/>
        <w:tc>
          <w:tcPr>
            <w:tcW w:w="3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To:</w:t>
            </w:r>
          </w:p>
        </w:tc>
        <w:tc>
          <w:tcPr>
            <w:tcW w:w="32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Wilmington Savings Fund Society, FSB</w:t>
              <w:br/>
              <w:t>500 Delaware Avenue, 11th Floor</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Wilmington, DE 19801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registered owner of this Note hereby acknowledges receipt of a notice from SCHMID Group N.V. (the “</w:t>
      </w:r>
      <w:r>
        <w:rPr>
          <w:rFonts w:ascii="Times New Roman;Times;serif" w:hAnsi="Times New Roman;Times;serif"/>
          <w:b/>
          <w:sz w:val="20"/>
        </w:rPr>
        <w:t>Company</w:t>
      </w:r>
      <w:r>
        <w:rPr>
          <w:rFonts w:ascii="Times New Roman;Times;serif" w:hAnsi="Times New Roman;Times;serif"/>
          <w:sz w:val="20"/>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Capitalized Principal Amount or an integral multiple of $1.00 in excess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case of Physical Notes, the certificate numbers of the Notes to be repurchased are as set forth below:</w:t>
      </w:r>
    </w:p>
    <w:tbl>
      <w:tblPr>
        <w:tblW w:w="10205" w:type="dxa"/>
        <w:jc w:val="left"/>
        <w:tblInd w:w="0" w:type="dxa"/>
        <w:tblLayout w:type="fixed"/>
        <w:tblCellMar>
          <w:top w:w="0" w:type="dxa"/>
          <w:left w:w="0" w:type="dxa"/>
          <w:bottom w:w="0" w:type="dxa"/>
          <w:right w:w="0" w:type="dxa"/>
        </w:tblCellMar>
      </w:tblPr>
      <w:tblGrid>
        <w:gridCol w:w="633"/>
        <w:gridCol w:w="9572"/>
      </w:tblGrid>
      <w:tr>
        <w:trPr/>
        <w:tc>
          <w:tcPr>
            <w:tcW w:w="633" w:type="dxa"/>
            <w:tcBorders/>
            <w:vAlign w:val="center"/>
          </w:tcPr>
          <w:p>
            <w:pPr>
              <w:pStyle w:val="TableContents"/>
              <w:bidi w:val="0"/>
              <w:spacing w:before="0" w:after="283"/>
              <w:ind w:left="0" w:right="0" w:hanging="0"/>
              <w:jc w:val="left"/>
              <w:rPr>
                <w:sz w:val="4"/>
                <w:szCs w:val="4"/>
              </w:rPr>
            </w:pPr>
            <w:r>
              <w:rPr>
                <w:sz w:val="4"/>
                <w:szCs w:val="4"/>
              </w:rPr>
            </w:r>
          </w:p>
        </w:tc>
        <w:tc>
          <w:tcPr>
            <w:tcW w:w="9572" w:type="dxa"/>
            <w:tcBorders/>
            <w:vAlign w:val="center"/>
          </w:tcPr>
          <w:p>
            <w:pPr>
              <w:pStyle w:val="TableContents"/>
              <w:bidi w:val="0"/>
              <w:spacing w:before="0" w:after="283"/>
              <w:ind w:left="0" w:right="0" w:hanging="0"/>
              <w:jc w:val="left"/>
              <w:rPr>
                <w:sz w:val="4"/>
                <w:szCs w:val="4"/>
              </w:rPr>
            </w:pPr>
            <w:r>
              <w:rPr>
                <w:sz w:val="4"/>
                <w:szCs w:val="4"/>
              </w:rPr>
            </w:r>
          </w:p>
        </w:tc>
      </w:tr>
      <w:tr>
        <w:trPr/>
        <w:tc>
          <w:tcPr>
            <w:tcW w:w="6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95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Signature(s)</w:t>
            </w:r>
          </w:p>
        </w:tc>
      </w:tr>
      <w:tr>
        <w:trPr/>
        <w:tc>
          <w:tcPr>
            <w:tcW w:w="633" w:type="dxa"/>
            <w:tcBorders/>
            <w:vAlign w:val="center"/>
          </w:tcPr>
          <w:p>
            <w:pPr>
              <w:pStyle w:val="TableContents"/>
              <w:bidi w:val="0"/>
              <w:spacing w:before="0" w:after="0"/>
              <w:ind w:left="0" w:right="0" w:hanging="0"/>
              <w:jc w:val="left"/>
              <w:rPr/>
            </w:pPr>
            <w:r>
              <w:rPr/>
              <w:t>​</w:t>
            </w:r>
          </w:p>
        </w:tc>
        <w:tc>
          <w:tcPr>
            <w:tcW w:w="9572" w:type="dxa"/>
            <w:tcBorders/>
            <w:vAlign w:val="center"/>
          </w:tcPr>
          <w:p>
            <w:pPr>
              <w:pStyle w:val="TableContents"/>
              <w:bidi w:val="0"/>
              <w:spacing w:before="0" w:after="0"/>
              <w:ind w:left="0" w:right="0" w:hanging="0"/>
              <w:jc w:val="left"/>
              <w:rPr/>
            </w:pPr>
            <w:r>
              <w:rPr/>
              <w:t>​</w:t>
            </w:r>
          </w:p>
        </w:tc>
      </w:tr>
      <w:tr>
        <w:trPr/>
        <w:tc>
          <w:tcPr>
            <w:tcW w:w="633" w:type="dxa"/>
            <w:tcBorders/>
            <w:vAlign w:val="center"/>
          </w:tcPr>
          <w:p>
            <w:pPr>
              <w:pStyle w:val="TableContents"/>
              <w:bidi w:val="0"/>
              <w:spacing w:before="0" w:after="0"/>
              <w:ind w:left="0" w:right="0" w:hanging="0"/>
              <w:jc w:val="left"/>
              <w:rPr/>
            </w:pPr>
            <w:r>
              <w:rPr/>
              <w:t>​</w:t>
            </w:r>
          </w:p>
        </w:tc>
        <w:tc>
          <w:tcPr>
            <w:tcW w:w="95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Social Security or Other Taxpayer Identification Number</w:t>
            </w:r>
          </w:p>
        </w:tc>
      </w:tr>
      <w:tr>
        <w:trPr/>
        <w:tc>
          <w:tcPr>
            <w:tcW w:w="633" w:type="dxa"/>
            <w:tcBorders/>
            <w:vAlign w:val="center"/>
          </w:tcPr>
          <w:p>
            <w:pPr>
              <w:pStyle w:val="TableContents"/>
              <w:bidi w:val="0"/>
              <w:spacing w:before="0" w:after="0"/>
              <w:ind w:left="0" w:right="0" w:hanging="0"/>
              <w:jc w:val="left"/>
              <w:rPr/>
            </w:pPr>
            <w:r>
              <w:rPr/>
              <w:t>​</w:t>
            </w:r>
          </w:p>
        </w:tc>
        <w:tc>
          <w:tcPr>
            <w:tcW w:w="9572" w:type="dxa"/>
            <w:tcBorders/>
            <w:vAlign w:val="center"/>
          </w:tcPr>
          <w:p>
            <w:pPr>
              <w:pStyle w:val="TableContents"/>
              <w:bidi w:val="0"/>
              <w:spacing w:before="0" w:after="0"/>
              <w:ind w:left="0" w:right="0" w:hanging="0"/>
              <w:jc w:val="left"/>
              <w:rPr/>
            </w:pPr>
            <w:r>
              <w:rPr/>
              <w:t>​</w:t>
            </w:r>
          </w:p>
        </w:tc>
      </w:tr>
      <w:tr>
        <w:trPr/>
        <w:tc>
          <w:tcPr>
            <w:tcW w:w="633" w:type="dxa"/>
            <w:tcBorders/>
            <w:vAlign w:val="center"/>
          </w:tcPr>
          <w:p>
            <w:pPr>
              <w:pStyle w:val="TableContents"/>
              <w:bidi w:val="0"/>
              <w:spacing w:before="0" w:after="0"/>
              <w:ind w:left="0" w:right="0" w:hanging="0"/>
              <w:jc w:val="left"/>
              <w:rPr/>
            </w:pPr>
            <w:r>
              <w:rPr/>
              <w:t>​</w:t>
            </w:r>
          </w:p>
        </w:tc>
        <w:tc>
          <w:tcPr>
            <w:tcW w:w="95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amount to be repaid (if less than all): $,000</w:t>
            </w:r>
          </w:p>
        </w:tc>
      </w:tr>
      <w:tr>
        <w:trPr/>
        <w:tc>
          <w:tcPr>
            <w:tcW w:w="633" w:type="dxa"/>
            <w:tcBorders/>
            <w:vAlign w:val="center"/>
          </w:tcPr>
          <w:p>
            <w:pPr>
              <w:pStyle w:val="TableContents"/>
              <w:bidi w:val="0"/>
              <w:spacing w:before="0" w:after="0"/>
              <w:ind w:left="0" w:right="0" w:hanging="0"/>
              <w:jc w:val="left"/>
              <w:rPr/>
            </w:pPr>
            <w:r>
              <w:rPr/>
              <w:t>​</w:t>
            </w:r>
          </w:p>
        </w:tc>
        <w:tc>
          <w:tcPr>
            <w:tcW w:w="9572" w:type="dxa"/>
            <w:tcBorders/>
            <w:vAlign w:val="center"/>
          </w:tcPr>
          <w:p>
            <w:pPr>
              <w:pStyle w:val="TableContents"/>
              <w:bidi w:val="0"/>
              <w:spacing w:before="0" w:after="0"/>
              <w:ind w:left="0" w:right="0" w:hanging="0"/>
              <w:jc w:val="left"/>
              <w:rPr/>
            </w:pPr>
            <w:r>
              <w:rPr/>
              <w:t>​</w:t>
            </w:r>
          </w:p>
        </w:tc>
      </w:tr>
      <w:tr>
        <w:trPr/>
        <w:tc>
          <w:tcPr>
            <w:tcW w:w="633" w:type="dxa"/>
            <w:tcBorders/>
            <w:vAlign w:val="center"/>
          </w:tcPr>
          <w:p>
            <w:pPr>
              <w:pStyle w:val="TableContents"/>
              <w:bidi w:val="0"/>
              <w:spacing w:before="0" w:after="0"/>
              <w:ind w:left="0" w:right="0" w:hanging="0"/>
              <w:jc w:val="left"/>
              <w:rPr/>
            </w:pPr>
            <w:r>
              <w:rPr/>
              <w:t>​</w:t>
            </w:r>
          </w:p>
        </w:tc>
        <w:tc>
          <w:tcPr>
            <w:tcW w:w="95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 The above signature(s) of the Holder(s) hereof must correspond with the name as written upon the face of the Note in every particular without alteration or enlargement or any change whatever.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Attachment 2-1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ATTACHMENT 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ASSIGNMENT AND TRANSFER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value received hereby sell(s), assign(s) and transfer(s) unto (Please insert social security or Taxpayer Identification Number of assignee) the within Note, and hereby irrevocably constitutes and appoints attorney to transfer the said Note on the books of the Company, with full power of substitution in the premises.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any transfer of the within Note occurring prior to the Resale Restriction Termination Date, as defined in the Indenture governing such Note, the undersigned confirms that such Note is being transferred:</w:t>
      </w:r>
    </w:p>
    <w:tbl>
      <w:tblPr>
        <w:tblW w:w="4345" w:type="dxa"/>
        <w:jc w:val="left"/>
        <w:tblInd w:w="0" w:type="dxa"/>
        <w:tblLayout w:type="fixed"/>
        <w:tblCellMar>
          <w:top w:w="0" w:type="dxa"/>
          <w:left w:w="0" w:type="dxa"/>
          <w:bottom w:w="0" w:type="dxa"/>
          <w:right w:w="0" w:type="dxa"/>
        </w:tblCellMar>
      </w:tblPr>
      <w:tblGrid>
        <w:gridCol w:w="230"/>
        <w:gridCol w:w="4115"/>
      </w:tblGrid>
      <w:tr>
        <w:trPr/>
        <w:tc>
          <w:tcPr>
            <w:tcW w:w="230" w:type="dxa"/>
            <w:tcBorders/>
            <w:vAlign w:val="center"/>
          </w:tcPr>
          <w:p>
            <w:pPr>
              <w:pStyle w:val="TableContents"/>
              <w:bidi w:val="0"/>
              <w:spacing w:before="0" w:after="240"/>
              <w:jc w:val="left"/>
              <w:rPr/>
            </w:pPr>
            <w:r>
              <w:rPr/>
              <w:t>☐</w:t>
            </w:r>
          </w:p>
        </w:tc>
        <w:tc>
          <w:tcPr>
            <w:tcW w:w="41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To SCHMID Group N.V. or a subsidiary thereof; or</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40"/>
              <w:jc w:val="left"/>
              <w:rPr/>
            </w:pPr>
            <w:r>
              <w:rPr/>
              <w:t>☐</w:t>
            </w:r>
          </w:p>
        </w:tc>
        <w:tc>
          <w:tcPr>
            <w:tcW w:w="9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Pursuant to a registration statement that has become or been declared effective under the Securities Act of 1933, as amended; or</w:t>
            </w:r>
          </w:p>
        </w:tc>
      </w:tr>
    </w:tbl>
    <w:tbl>
      <w:tblPr>
        <w:tblW w:w="8005" w:type="dxa"/>
        <w:jc w:val="left"/>
        <w:tblInd w:w="0" w:type="dxa"/>
        <w:tblLayout w:type="fixed"/>
        <w:tblCellMar>
          <w:top w:w="0" w:type="dxa"/>
          <w:left w:w="0" w:type="dxa"/>
          <w:bottom w:w="0" w:type="dxa"/>
          <w:right w:w="0" w:type="dxa"/>
        </w:tblCellMar>
      </w:tblPr>
      <w:tblGrid>
        <w:gridCol w:w="230"/>
        <w:gridCol w:w="7775"/>
      </w:tblGrid>
      <w:tr>
        <w:trPr/>
        <w:tc>
          <w:tcPr>
            <w:tcW w:w="230" w:type="dxa"/>
            <w:tcBorders/>
            <w:vAlign w:val="center"/>
          </w:tcPr>
          <w:p>
            <w:pPr>
              <w:pStyle w:val="TableContents"/>
              <w:bidi w:val="0"/>
              <w:spacing w:before="0" w:after="240"/>
              <w:jc w:val="left"/>
              <w:rPr/>
            </w:pPr>
            <w:r>
              <w:rPr/>
              <w:t>☐</w:t>
            </w:r>
          </w:p>
        </w:tc>
        <w:tc>
          <w:tcPr>
            <w:tcW w:w="77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Pursuant to and in compliance with Rule 144A under the Securities Act of 1933, as amended; or</w:t>
            </w:r>
          </w:p>
        </w:tc>
      </w:tr>
    </w:tbl>
    <w:tbl>
      <w:tblPr>
        <w:tblW w:w="8950" w:type="dxa"/>
        <w:jc w:val="left"/>
        <w:tblInd w:w="0" w:type="dxa"/>
        <w:tblLayout w:type="fixed"/>
        <w:tblCellMar>
          <w:top w:w="0" w:type="dxa"/>
          <w:left w:w="0" w:type="dxa"/>
          <w:bottom w:w="0" w:type="dxa"/>
          <w:right w:w="0" w:type="dxa"/>
        </w:tblCellMar>
      </w:tblPr>
      <w:tblGrid>
        <w:gridCol w:w="230"/>
        <w:gridCol w:w="8720"/>
      </w:tblGrid>
      <w:tr>
        <w:trPr/>
        <w:tc>
          <w:tcPr>
            <w:tcW w:w="230" w:type="dxa"/>
            <w:tcBorders/>
            <w:vAlign w:val="center"/>
          </w:tcPr>
          <w:p>
            <w:pPr>
              <w:pStyle w:val="TableContents"/>
              <w:bidi w:val="0"/>
              <w:spacing w:before="0" w:after="240"/>
              <w:jc w:val="left"/>
              <w:rPr/>
            </w:pPr>
            <w:r>
              <w:rPr/>
              <w:t>☐</w:t>
            </w:r>
          </w:p>
        </w:tc>
        <w:tc>
          <w:tcPr>
            <w:tcW w:w="87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Outside the United States in accordance with Regulation S under the Securities Act of 1933, as amended; or</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40"/>
              <w:jc w:val="left"/>
              <w:rPr/>
            </w:pPr>
            <w:r>
              <w:rPr/>
              <w:t>☐</w:t>
            </w:r>
          </w:p>
        </w:tc>
        <w:tc>
          <w:tcPr>
            <w:tcW w:w="9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Pursuant to and in compliance with Rule 144 under the Securities Act of 1933, as amended, or any other available exemption from the registration requirements of the Securities Act of 1933, as amended.</w:t>
            </w:r>
          </w:p>
        </w:tc>
      </w:tr>
    </w:tbl>
    <w:tbl>
      <w:tblPr>
        <w:tblW w:w="1924" w:type="dxa"/>
        <w:jc w:val="left"/>
        <w:tblInd w:w="0" w:type="dxa"/>
        <w:tblLayout w:type="fixed"/>
        <w:tblCellMar>
          <w:top w:w="0" w:type="dxa"/>
          <w:left w:w="0" w:type="dxa"/>
          <w:bottom w:w="0" w:type="dxa"/>
          <w:right w:w="0" w:type="dxa"/>
        </w:tblCellMar>
      </w:tblPr>
      <w:tblGrid>
        <w:gridCol w:w="1499"/>
        <w:gridCol w:w="271"/>
        <w:gridCol w:w="154"/>
      </w:tblGrid>
      <w:tr>
        <w:trPr/>
        <w:tc>
          <w:tcPr>
            <w:tcW w:w="14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70" w:type="dxa"/>
            <w:gridSpan w:val="2"/>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7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Signature(s)</w:t>
            </w:r>
          </w:p>
        </w:tc>
        <w:tc>
          <w:tcPr>
            <w:tcW w:w="154" w:type="dxa"/>
            <w:tcBorders/>
            <w:vAlign w:val="center"/>
          </w:tcPr>
          <w:p>
            <w:pPr>
              <w:pStyle w:val="TableContents"/>
              <w:bidi w:val="0"/>
              <w:spacing w:before="0" w:after="0"/>
              <w:ind w:left="0" w:right="0" w:hanging="0"/>
              <w:jc w:val="left"/>
              <w:rPr/>
            </w:pPr>
            <w:r>
              <w:rPr/>
              <w:t>​</w:t>
            </w:r>
          </w:p>
        </w:tc>
      </w:tr>
      <w:tr>
        <w:trPr/>
        <w:tc>
          <w:tcPr>
            <w:tcW w:w="17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7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 Guarantee</w:t>
            </w:r>
          </w:p>
        </w:tc>
        <w:tc>
          <w:tcPr>
            <w:tcW w:w="154" w:type="dxa"/>
            <w:tcBorders/>
            <w:vAlign w:val="center"/>
          </w:tcPr>
          <w:p>
            <w:pPr>
              <w:pStyle w:val="TableContents"/>
              <w:bidi w:val="0"/>
              <w:spacing w:before="0" w:after="0"/>
              <w:ind w:left="0" w:right="0" w:hanging="0"/>
              <w:jc w:val="left"/>
              <w:rPr/>
            </w:pPr>
            <w:r>
              <w:rPr/>
              <w:t>​</w:t>
            </w:r>
          </w:p>
        </w:tc>
      </w:tr>
    </w:tbl>
    <w:p>
      <w:pPr>
        <w:pStyle w:val="TextBody"/>
        <w:pBdr/>
        <w:bidi w:val="0"/>
        <w:spacing w:before="0" w:after="0"/>
        <w:ind w:left="0" w:right="0" w:hanging="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Signature(s) must be guaranteed by an eligible Guarantor Institution (banks, stock brokers, savings and loan associations and credit unions) with membership in an approved signature guarantee medallion program pursuant to Securities and Exchange Commission Rule 17Ad-15 if Notes are to be delivered, other than to and in the name of the registered holder.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NOTICE: The signature on the assignment must correspond with the name as written upon the face of the Note in every particular without alteration or enlargement or any change whatever.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193" w:name="shmd-20251231xex5d1.htm"/>
      <w:bookmarkStart w:id="2194" w:name="ksshmd20251231xex5d1"/>
      <w:bookmarkEnd w:id="2193"/>
      <w:bookmarkEnd w:id="2194"/>
      <w:r>
        <w:rPr>
          <w:rFonts w:ascii="Times New Roman;Times;serif" w:hAnsi="Times New Roman;Times;serif"/>
          <w:b/>
          <w:sz w:val="20"/>
        </w:rPr>
        <w:t>Exhibit 5.1</w:t>
      </w:r>
      <w:r>
        <w:br w:type="page"/>
      </w:r>
    </w:p>
    <w:tbl>
      <w:tblPr>
        <w:tblW w:w="1865" w:type="dxa"/>
        <w:jc w:val="left"/>
        <w:tblInd w:w="0" w:type="dxa"/>
        <w:tblLayout w:type="fixed"/>
        <w:tblCellMar>
          <w:top w:w="0" w:type="dxa"/>
          <w:left w:w="0" w:type="dxa"/>
          <w:bottom w:w="0" w:type="dxa"/>
          <w:right w:w="0" w:type="dxa"/>
        </w:tblCellMar>
      </w:tblPr>
      <w:tblGrid>
        <w:gridCol w:w="124"/>
        <w:gridCol w:w="1741"/>
      </w:tblGrid>
      <w:tr>
        <w:trPr/>
        <w:tc>
          <w:tcPr>
            <w:tcW w:w="124"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40"/>
              <w:ind w:left="0" w:right="0" w:hanging="0"/>
              <w:jc w:val="left"/>
              <w:rPr>
                <w:rFonts w:ascii="Times New Roman;Times;serif" w:hAnsi="Times New Roman;Times;serif"/>
                <w:b/>
                <w:sz w:val="14"/>
              </w:rPr>
            </w:pPr>
            <w:r>
              <w:rPr>
                <w:rFonts w:ascii="Times New Roman;Times;serif" w:hAnsi="Times New Roman;Times;serif"/>
                <w:b/>
                <w:sz w:val="14"/>
              </w:rPr>
              <w:t xml:space="preserve">CLIFFORD CHANCE LLP </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ADVOCATEN SOLICITORS </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NOTARIS </w:t>
            </w:r>
          </w:p>
          <w:p>
            <w:pPr>
              <w:pStyle w:val="TableContents"/>
              <w:bidi w:val="0"/>
              <w:spacing w:before="0" w:after="80"/>
              <w:ind w:left="0" w:right="0" w:hanging="0"/>
              <w:jc w:val="left"/>
              <w:rPr>
                <w:rFonts w:ascii="Times New Roman;Times;serif" w:hAnsi="Times New Roman;Times;serif"/>
                <w:sz w:val="14"/>
              </w:rPr>
            </w:pPr>
            <w:r>
              <w:rPr>
                <w:rFonts w:ascii="Times New Roman;Times;serif" w:hAnsi="Times New Roman;Times;serif"/>
                <w:sz w:val="14"/>
              </w:rPr>
              <w:t>BELASTINGADVISEURS</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DROOGBAK 1A</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1013 GE </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AMSTERDAM PO </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BOX 251</w:t>
            </w:r>
          </w:p>
          <w:p>
            <w:pPr>
              <w:pStyle w:val="TableContents"/>
              <w:bidi w:val="0"/>
              <w:spacing w:before="0" w:after="80"/>
              <w:ind w:left="0" w:right="0" w:hanging="0"/>
              <w:jc w:val="left"/>
              <w:rPr>
                <w:rFonts w:ascii="Times New Roman;Times;serif" w:hAnsi="Times New Roman;Times;serif"/>
                <w:sz w:val="14"/>
              </w:rPr>
            </w:pPr>
            <w:r>
              <w:rPr>
                <w:rFonts w:ascii="Times New Roman;Times;serif" w:hAnsi="Times New Roman;Times;serif"/>
                <w:sz w:val="14"/>
              </w:rPr>
              <w:t>1000 AG AMSTERDAM</w:t>
            </w:r>
          </w:p>
          <w:p>
            <w:pPr>
              <w:pStyle w:val="TableContents"/>
              <w:bidi w:val="0"/>
              <w:spacing w:before="0" w:after="31"/>
              <w:ind w:left="0" w:right="0" w:hanging="0"/>
              <w:jc w:val="left"/>
              <w:rPr>
                <w:rFonts w:ascii="Times New Roman;Times;serif" w:hAnsi="Times New Roman;Times;serif"/>
                <w:sz w:val="14"/>
              </w:rPr>
            </w:pPr>
            <w:r>
              <w:rPr>
                <w:rFonts w:ascii="Times New Roman;Times;serif" w:hAnsi="Times New Roman;Times;serif"/>
                <w:sz w:val="14"/>
              </w:rPr>
              <w:t>TEL +31 20 7119 000</w:t>
            </w:r>
          </w:p>
          <w:p>
            <w:pPr>
              <w:pStyle w:val="TableContents"/>
              <w:bidi w:val="0"/>
              <w:spacing w:before="0" w:after="80"/>
              <w:ind w:left="0" w:right="0" w:hanging="0"/>
              <w:jc w:val="left"/>
              <w:rPr>
                <w:rFonts w:ascii="Times New Roman;Times;serif" w:hAnsi="Times New Roman;Times;serif"/>
                <w:sz w:val="14"/>
              </w:rPr>
            </w:pPr>
            <w:r>
              <w:rPr>
                <w:rFonts w:ascii="Times New Roman;Times;serif" w:hAnsi="Times New Roman;Times;serif"/>
                <w:sz w:val="14"/>
              </w:rPr>
              <w:t>FAX +31 20 7119 999</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www.cliffordchance.com</w:t>
            </w:r>
          </w:p>
        </w:tc>
      </w:tr>
    </w:tbl>
    <w:p>
      <w:pPr>
        <w:pStyle w:val="TextBody"/>
        <w:bidi w:val="0"/>
        <w:spacing w:before="0" w:after="1"/>
        <w:ind w:left="0" w:right="0" w:hanging="0"/>
        <w:jc w:val="left"/>
        <w:rPr/>
      </w:pPr>
      <w:r>
        <w:rPr/>
        <w:t>​</w:t>
      </w:r>
    </w:p>
    <w:tbl>
      <w:tblPr>
        <w:tblW w:w="6063" w:type="dxa"/>
        <w:jc w:val="left"/>
        <w:tblInd w:w="0" w:type="dxa"/>
        <w:tblLayout w:type="fixed"/>
        <w:tblCellMar>
          <w:top w:w="0" w:type="dxa"/>
          <w:left w:w="0" w:type="dxa"/>
          <w:bottom w:w="0" w:type="dxa"/>
          <w:right w:w="0" w:type="dxa"/>
        </w:tblCellMar>
      </w:tblPr>
      <w:tblGrid>
        <w:gridCol w:w="406"/>
        <w:gridCol w:w="2086"/>
        <w:gridCol w:w="3571"/>
      </w:tblGrid>
      <w:tr>
        <w:trPr/>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w:t>
            </w:r>
          </w:p>
        </w:tc>
        <w:tc>
          <w:tcPr>
            <w:tcW w:w="20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SCHMID Group N.V</w:t>
            </w:r>
          </w:p>
        </w:tc>
        <w:tc>
          <w:tcPr>
            <w:tcW w:w="3571" w:type="dxa"/>
            <w:tcBorders/>
            <w:vAlign w:val="center"/>
          </w:tcPr>
          <w:p>
            <w:pPr>
              <w:pStyle w:val="TableContents"/>
              <w:bidi w:val="0"/>
              <w:spacing w:before="0" w:after="0"/>
              <w:ind w:left="0" w:right="0" w:hanging="0"/>
              <w:jc w:val="left"/>
              <w:rPr/>
            </w:pPr>
            <w:r>
              <w:rPr/>
              <w:t>​</w:t>
            </w:r>
          </w:p>
        </w:tc>
      </w:tr>
      <w:tr>
        <w:trPr/>
        <w:tc>
          <w:tcPr>
            <w:tcW w:w="40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Robert-Bosch-Str. 32-36</w:t>
            </w:r>
          </w:p>
        </w:tc>
        <w:tc>
          <w:tcPr>
            <w:tcW w:w="3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Our ref: 41-41076028</w:t>
            </w:r>
          </w:p>
        </w:tc>
      </w:tr>
      <w:tr>
        <w:trPr/>
        <w:tc>
          <w:tcPr>
            <w:tcW w:w="40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72250 Freudenstadt</w:t>
            </w:r>
          </w:p>
        </w:tc>
        <w:tc>
          <w:tcPr>
            <w:tcW w:w="3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Direct Dial: +31 20 711 9132 </w:t>
            </w:r>
          </w:p>
        </w:tc>
      </w:tr>
      <w:tr>
        <w:trPr/>
        <w:tc>
          <w:tcPr>
            <w:tcW w:w="40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c>
          <w:tcPr>
            <w:tcW w:w="3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E-Mail: Han.Teerink@cliffordchance.com</w:t>
            </w:r>
          </w:p>
        </w:tc>
      </w:tr>
    </w:tbl>
    <w:p>
      <w:pPr>
        <w:pStyle w:val="TextBody"/>
        <w:bidi w:val="0"/>
        <w:spacing w:before="0" w:after="1"/>
        <w:ind w:left="0" w:right="0" w:hanging="0"/>
        <w:jc w:val="right"/>
        <w:rPr/>
      </w:pPr>
      <w:r>
        <w:rPr/>
        <w:t>​</w:t>
      </w:r>
    </w:p>
    <w:p>
      <w:pPr>
        <w:pStyle w:val="TextBody"/>
        <w:bidi w:val="0"/>
        <w:spacing w:before="0" w:after="240"/>
        <w:ind w:left="0" w:right="0" w:hanging="0"/>
        <w:jc w:val="right"/>
        <w:rPr>
          <w:rFonts w:ascii="Times New Roman;Times;serif" w:hAnsi="Times New Roman;Times;serif"/>
          <w:sz w:val="20"/>
        </w:rPr>
      </w:pPr>
      <w:r>
        <w:rPr>
          <w:rFonts w:ascii="Times New Roman;Times;serif" w:hAnsi="Times New Roman;Times;serif"/>
          <w:sz w:val="20"/>
        </w:rPr>
        <w:t>17 July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acted as legal counsel (</w:t>
      </w:r>
      <w:r>
        <w:rPr>
          <w:rFonts w:ascii="Times New Roman;Times;serif" w:hAnsi="Times New Roman;Times;serif"/>
          <w:i/>
          <w:sz w:val="20"/>
        </w:rPr>
        <w:t>advocaten</w:t>
      </w:r>
      <w:r>
        <w:rPr>
          <w:rFonts w:ascii="Times New Roman;Times;serif" w:hAnsi="Times New Roman;Times;serif"/>
          <w:sz w:val="20"/>
        </w:rPr>
        <w:t>) in The Netherlands to SCHMID Group N.V. of Robert-Bosch-Str. 32-36, 72250 Freudenstadt, Germany (the “</w:t>
      </w:r>
      <w:r>
        <w:rPr>
          <w:rFonts w:ascii="Times New Roman;Times;serif" w:hAnsi="Times New Roman;Times;serif"/>
          <w:b/>
          <w:sz w:val="20"/>
        </w:rPr>
        <w:t>Company</w:t>
      </w:r>
      <w:r>
        <w:rPr>
          <w:rFonts w:ascii="Times New Roman;Times;serif" w:hAnsi="Times New Roman;Times;serif"/>
          <w:sz w:val="20"/>
        </w:rPr>
        <w:t>”) for the purpose of, amongst other things, rendering a legal opinion (this “</w:t>
      </w:r>
      <w:r>
        <w:rPr>
          <w:rFonts w:ascii="Times New Roman;Times;serif" w:hAnsi="Times New Roman;Times;serif"/>
          <w:b/>
          <w:sz w:val="20"/>
        </w:rPr>
        <w:t>Opinion Letter</w:t>
      </w:r>
      <w:r>
        <w:rPr>
          <w:rFonts w:ascii="Times New Roman;Times;serif" w:hAnsi="Times New Roman;Times;serif"/>
          <w:sz w:val="20"/>
        </w:rPr>
        <w:t>”) as to certain matters of Dutch corporate law with the filing of the Registration Statement on Form F-1 (the “</w:t>
      </w:r>
      <w:r>
        <w:rPr>
          <w:rFonts w:ascii="Times New Roman;Times;serif" w:hAnsi="Times New Roman;Times;serif"/>
          <w:b/>
          <w:sz w:val="20"/>
        </w:rPr>
        <w:t>Registration Statement</w:t>
      </w:r>
      <w:r>
        <w:rPr>
          <w:rFonts w:ascii="Times New Roman;Times;serif" w:hAnsi="Times New Roman;Times;serif"/>
          <w:sz w:val="20"/>
        </w:rPr>
        <w:t>”) relating to the potential issuance of new ordinary shares of the Company upon the exercise of convertible notes of the Company, with the United States Securities and Exchange Commission (the “</w:t>
      </w:r>
      <w:r>
        <w:rPr>
          <w:rFonts w:ascii="Times New Roman;Times;serif" w:hAnsi="Times New Roman;Times;serif"/>
          <w:b/>
          <w:sz w:val="20"/>
        </w:rPr>
        <w:t>SEC</w:t>
      </w:r>
      <w:r>
        <w:rPr>
          <w:rFonts w:ascii="Times New Roman;Times;serif" w:hAnsi="Times New Roman;Times;serif"/>
          <w:sz w:val="20"/>
        </w:rPr>
        <w:t>”) covering the legality of the issuance of all ordinary shares of the Company. The new ordinary shares to be issued upon the exercise of the convertible notes constitute all securities which are to be registered through the Registration Statement. This opinion letter is rendered to you to be filed with the SEC as an exhibit to the Registration Statement.</w:t>
      </w:r>
    </w:p>
    <w:tbl>
      <w:tblPr>
        <w:tblW w:w="1720" w:type="dxa"/>
        <w:jc w:val="left"/>
        <w:tblInd w:w="0" w:type="dxa"/>
        <w:tblLayout w:type="fixed"/>
        <w:tblCellMar>
          <w:top w:w="0" w:type="dxa"/>
          <w:left w:w="0" w:type="dxa"/>
          <w:bottom w:w="0" w:type="dxa"/>
          <w:right w:w="0" w:type="dxa"/>
        </w:tblCellMar>
      </w:tblPr>
      <w:tblGrid>
        <w:gridCol w:w="170"/>
        <w:gridCol w:w="155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15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INTRODUCTION</w:t>
            </w:r>
          </w:p>
        </w:tc>
      </w:tr>
    </w:tbl>
    <w:tbl>
      <w:tblPr>
        <w:tblW w:w="1960" w:type="dxa"/>
        <w:jc w:val="left"/>
        <w:tblInd w:w="0" w:type="dxa"/>
        <w:tblLayout w:type="fixed"/>
        <w:tblCellMar>
          <w:top w:w="0" w:type="dxa"/>
          <w:left w:w="0" w:type="dxa"/>
          <w:bottom w:w="0" w:type="dxa"/>
          <w:right w:w="0" w:type="dxa"/>
        </w:tblCellMar>
      </w:tblPr>
      <w:tblGrid>
        <w:gridCol w:w="275"/>
        <w:gridCol w:w="1685"/>
      </w:tblGrid>
      <w:tr>
        <w:trPr/>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1.1</w:t>
            </w:r>
          </w:p>
        </w:tc>
        <w:tc>
          <w:tcPr>
            <w:tcW w:w="168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Opinion Documents</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For the purpose of issuing this Opinion Letter, we have reviewed only the documents and performed only the enquiries referred to in Schedule 1 (</w:t>
      </w:r>
      <w:r>
        <w:rPr>
          <w:rFonts w:ascii="Times New Roman;Times;serif" w:hAnsi="Times New Roman;Times;serif"/>
          <w:i/>
          <w:sz w:val="20"/>
        </w:rPr>
        <w:t>Documents and Enquiries</w:t>
      </w:r>
      <w:r>
        <w:rPr>
          <w:rFonts w:ascii="Times New Roman;Times;serif" w:hAnsi="Times New Roman;Times;serif"/>
          <w:sz w:val="20"/>
        </w:rPr>
        <w:t>).</w:t>
      </w:r>
    </w:p>
    <w:tbl>
      <w:tblPr>
        <w:tblW w:w="1540" w:type="dxa"/>
        <w:jc w:val="left"/>
        <w:tblInd w:w="0" w:type="dxa"/>
        <w:tblLayout w:type="fixed"/>
        <w:tblCellMar>
          <w:top w:w="0" w:type="dxa"/>
          <w:left w:w="0" w:type="dxa"/>
          <w:bottom w:w="0" w:type="dxa"/>
          <w:right w:w="0" w:type="dxa"/>
        </w:tblCellMar>
      </w:tblPr>
      <w:tblGrid>
        <w:gridCol w:w="275"/>
        <w:gridCol w:w="1265"/>
      </w:tblGrid>
      <w:tr>
        <w:trPr/>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1.2</w:t>
            </w:r>
          </w:p>
        </w:tc>
        <w:tc>
          <w:tcPr>
            <w:tcW w:w="126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Defined Terms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1.2.1</w:t>
            </w:r>
          </w:p>
        </w:tc>
        <w:tc>
          <w:tcPr>
            <w:tcW w:w="97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Capitalised terms used herein without definition shall, unless the context otherwise requires, have the same meanings ascribed to them in the Registration Statement.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tbl>
      <w:tblPr>
        <w:tblW w:w="8418" w:type="dxa"/>
        <w:jc w:val="left"/>
        <w:tblInd w:w="0" w:type="dxa"/>
        <w:tblLayout w:type="fixed"/>
        <w:tblCellMar>
          <w:top w:w="0" w:type="dxa"/>
          <w:left w:w="0" w:type="dxa"/>
          <w:bottom w:w="0" w:type="dxa"/>
          <w:right w:w="0" w:type="dxa"/>
        </w:tblCellMar>
      </w:tblPr>
      <w:tblGrid>
        <w:gridCol w:w="23"/>
        <w:gridCol w:w="425"/>
        <w:gridCol w:w="7970"/>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1.2.2</w:t>
            </w:r>
          </w:p>
        </w:tc>
        <w:tc>
          <w:tcPr>
            <w:tcW w:w="79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Headings in this Opinion Letter are for ease of reference only and shall not affect its interpretation.</w:t>
            </w:r>
          </w:p>
        </w:tc>
      </w:tr>
    </w:tbl>
    <w:tbl>
      <w:tblPr>
        <w:tblW w:w="7788" w:type="dxa"/>
        <w:jc w:val="left"/>
        <w:tblInd w:w="0" w:type="dxa"/>
        <w:tblLayout w:type="fixed"/>
        <w:tblCellMar>
          <w:top w:w="0" w:type="dxa"/>
          <w:left w:w="0" w:type="dxa"/>
          <w:bottom w:w="0" w:type="dxa"/>
          <w:right w:w="0" w:type="dxa"/>
        </w:tblCellMar>
      </w:tblPr>
      <w:tblGrid>
        <w:gridCol w:w="23"/>
        <w:gridCol w:w="425"/>
        <w:gridCol w:w="7340"/>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1.2.3</w:t>
            </w:r>
          </w:p>
        </w:tc>
        <w:tc>
          <w:tcPr>
            <w:tcW w:w="73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references in this Opinion Letter to paragraphs are to paragraphs in this Opinion Letter.</w:t>
            </w:r>
          </w:p>
        </w:tc>
      </w:tr>
    </w:tbl>
    <w:tbl>
      <w:tblPr>
        <w:tblW w:w="4548" w:type="dxa"/>
        <w:jc w:val="left"/>
        <w:tblInd w:w="0" w:type="dxa"/>
        <w:tblLayout w:type="fixed"/>
        <w:tblCellMar>
          <w:top w:w="0" w:type="dxa"/>
          <w:left w:w="0" w:type="dxa"/>
          <w:bottom w:w="0" w:type="dxa"/>
          <w:right w:w="0" w:type="dxa"/>
        </w:tblCellMar>
      </w:tblPr>
      <w:tblGrid>
        <w:gridCol w:w="23"/>
        <w:gridCol w:w="425"/>
        <w:gridCol w:w="4100"/>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1.2.4</w:t>
            </w:r>
          </w:p>
        </w:tc>
        <w:tc>
          <w:tcPr>
            <w:tcW w:w="4100" w:type="dxa"/>
            <w:tcBorders/>
            <w:vAlign w:val="center"/>
          </w:tcPr>
          <w:p>
            <w:pPr>
              <w:pStyle w:val="TableContents"/>
              <w:bidi w:val="0"/>
              <w:spacing w:before="0" w:after="240"/>
              <w:jc w:val="both"/>
              <w:rPr/>
            </w:pPr>
            <w:r>
              <w:rPr/>
              <w:t>“</w:t>
            </w:r>
            <w:r>
              <w:rPr>
                <w:rFonts w:ascii="Times New Roman;Times;serif" w:hAnsi="Times New Roman;Times;serif"/>
                <w:b/>
                <w:sz w:val="20"/>
              </w:rPr>
              <w:t>Board</w:t>
            </w:r>
            <w:r>
              <w:rPr>
                <w:rFonts w:ascii="Times New Roman;Times;serif" w:hAnsi="Times New Roman;Times;serif"/>
                <w:sz w:val="20"/>
              </w:rPr>
              <w:t>” means the Company’s board of directors.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1.2.5</w:t>
            </w:r>
          </w:p>
        </w:tc>
        <w:tc>
          <w:tcPr>
            <w:tcW w:w="9757" w:type="dxa"/>
            <w:tcBorders/>
            <w:vAlign w:val="center"/>
          </w:tcPr>
          <w:p>
            <w:pPr>
              <w:pStyle w:val="TableContents"/>
              <w:bidi w:val="0"/>
              <w:spacing w:before="0" w:after="240"/>
              <w:jc w:val="both"/>
              <w:rPr/>
            </w:pPr>
            <w:r>
              <w:rPr/>
              <w:t>“</w:t>
            </w:r>
            <w:r>
              <w:rPr>
                <w:rFonts w:ascii="Times New Roman;Times;serif" w:hAnsi="Times New Roman;Times;serif"/>
                <w:b/>
                <w:sz w:val="20"/>
              </w:rPr>
              <w:t>Board Resolution</w:t>
            </w:r>
            <w:r>
              <w:rPr>
                <w:rFonts w:ascii="Times New Roman;Times;serif" w:hAnsi="Times New Roman;Times;serif"/>
                <w:sz w:val="20"/>
              </w:rPr>
              <w:t>” means the written resolutions executed by the Board dated 7 July 2026, in which meeting the board of directors of the Company resolved to approve the issuance of the 2029 Convertible Notes.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1.2.6</w:t>
            </w:r>
          </w:p>
        </w:tc>
        <w:tc>
          <w:tcPr>
            <w:tcW w:w="9757" w:type="dxa"/>
            <w:tcBorders/>
            <w:vAlign w:val="center"/>
          </w:tcPr>
          <w:p>
            <w:pPr>
              <w:pStyle w:val="TableContents"/>
              <w:bidi w:val="0"/>
              <w:spacing w:before="0" w:after="240"/>
              <w:jc w:val="both"/>
              <w:rPr/>
            </w:pPr>
            <w:r>
              <w:rPr/>
              <w:t>“</w:t>
            </w:r>
            <w:r>
              <w:rPr>
                <w:rFonts w:ascii="Times New Roman;Times;serif" w:hAnsi="Times New Roman;Times;serif"/>
                <w:b/>
                <w:sz w:val="20"/>
              </w:rPr>
              <w:t>2029 Convertible Notes Shares</w:t>
            </w:r>
            <w:r>
              <w:rPr>
                <w:rFonts w:ascii="Times New Roman;Times;serif" w:hAnsi="Times New Roman;Times;serif"/>
                <w:sz w:val="20"/>
              </w:rPr>
              <w:t>” means the Ordinary Shares to be issued by the Company upon conversion of the 2029 Convertible Notes.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1.2.7</w:t>
            </w:r>
          </w:p>
        </w:tc>
        <w:tc>
          <w:tcPr>
            <w:tcW w:w="9757" w:type="dxa"/>
            <w:tcBorders/>
            <w:vAlign w:val="center"/>
          </w:tcPr>
          <w:p>
            <w:pPr>
              <w:pStyle w:val="TableContents"/>
              <w:bidi w:val="0"/>
              <w:spacing w:before="0" w:after="240"/>
              <w:jc w:val="both"/>
              <w:rPr/>
            </w:pPr>
            <w:r>
              <w:rPr/>
              <w:t>“</w:t>
            </w:r>
            <w:r>
              <w:rPr>
                <w:rFonts w:ascii="Times New Roman;Times;serif" w:hAnsi="Times New Roman;Times;serif"/>
                <w:b/>
                <w:sz w:val="20"/>
              </w:rPr>
              <w:t xml:space="preserve">2029 Convertible Notes </w:t>
            </w:r>
            <w:r>
              <w:rPr>
                <w:rFonts w:ascii="Times New Roman;Times;serif" w:hAnsi="Times New Roman;Times;serif"/>
                <w:sz w:val="20"/>
              </w:rPr>
              <w:t>“ means the 5.000% Convertible Senior PIK Toggle Notes due 2029 issued by the Company on 14 July 2026.</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1.2.8</w:t>
            </w:r>
          </w:p>
        </w:tc>
        <w:tc>
          <w:tcPr>
            <w:tcW w:w="9757" w:type="dxa"/>
            <w:tcBorders/>
            <w:vAlign w:val="center"/>
          </w:tcPr>
          <w:p>
            <w:pPr>
              <w:pStyle w:val="TableContents"/>
              <w:bidi w:val="0"/>
              <w:spacing w:before="0" w:after="240"/>
              <w:jc w:val="both"/>
              <w:rPr/>
            </w:pPr>
            <w:r>
              <w:rPr/>
              <w:t>“</w:t>
            </w:r>
            <w:r>
              <w:rPr>
                <w:rFonts w:ascii="Times New Roman;Times;serif" w:hAnsi="Times New Roman;Times;serif"/>
                <w:b/>
                <w:sz w:val="20"/>
              </w:rPr>
              <w:t>Deeds of Issue</w:t>
            </w:r>
            <w:r>
              <w:rPr>
                <w:rFonts w:ascii="Times New Roman;Times;serif" w:hAnsi="Times New Roman;Times;serif"/>
                <w:sz w:val="20"/>
              </w:rPr>
              <w:t>” means the private deeds or resolutions of the board of directors of the Company giving effect to the creation and/or issuance of the shares in the capital of the Company including, for the avoidance of doubt, the Board Resolution.</w:t>
            </w:r>
          </w:p>
        </w:tc>
      </w:tr>
    </w:tbl>
    <w:tbl>
      <w:tblPr>
        <w:tblW w:w="8538" w:type="dxa"/>
        <w:jc w:val="left"/>
        <w:tblInd w:w="0" w:type="dxa"/>
        <w:tblLayout w:type="fixed"/>
        <w:tblCellMar>
          <w:top w:w="0" w:type="dxa"/>
          <w:left w:w="0" w:type="dxa"/>
          <w:bottom w:w="0" w:type="dxa"/>
          <w:right w:w="0" w:type="dxa"/>
        </w:tblCellMar>
      </w:tblPr>
      <w:tblGrid>
        <w:gridCol w:w="23"/>
        <w:gridCol w:w="425"/>
        <w:gridCol w:w="8090"/>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1.2.9</w:t>
            </w:r>
          </w:p>
        </w:tc>
        <w:tc>
          <w:tcPr>
            <w:tcW w:w="8090" w:type="dxa"/>
            <w:tcBorders/>
            <w:vAlign w:val="center"/>
          </w:tcPr>
          <w:p>
            <w:pPr>
              <w:pStyle w:val="TableContents"/>
              <w:bidi w:val="0"/>
              <w:spacing w:before="0" w:after="240"/>
              <w:jc w:val="both"/>
              <w:rPr/>
            </w:pPr>
            <w:r>
              <w:rPr/>
              <w:t>“</w:t>
            </w:r>
            <w:r>
              <w:rPr>
                <w:rFonts w:ascii="Times New Roman;Times;serif" w:hAnsi="Times New Roman;Times;serif"/>
                <w:b/>
                <w:sz w:val="20"/>
              </w:rPr>
              <w:t>Existing Ordinary Shares</w:t>
            </w:r>
            <w:r>
              <w:rPr>
                <w:rFonts w:ascii="Times New Roman;Times;serif" w:hAnsi="Times New Roman;Times;serif"/>
                <w:sz w:val="20"/>
              </w:rPr>
              <w:t>” means all Ordinary Shares of the Company existing on the day hereof.</w:t>
            </w:r>
          </w:p>
        </w:tc>
      </w:tr>
    </w:tbl>
    <w:tbl>
      <w:tblPr>
        <w:tblW w:w="9453" w:type="dxa"/>
        <w:jc w:val="left"/>
        <w:tblInd w:w="0" w:type="dxa"/>
        <w:tblLayout w:type="fixed"/>
        <w:tblCellMar>
          <w:top w:w="0" w:type="dxa"/>
          <w:left w:w="0" w:type="dxa"/>
          <w:bottom w:w="0" w:type="dxa"/>
          <w:right w:w="0" w:type="dxa"/>
        </w:tblCellMar>
      </w:tblPr>
      <w:tblGrid>
        <w:gridCol w:w="23"/>
        <w:gridCol w:w="530"/>
        <w:gridCol w:w="8900"/>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1.2.10</w:t>
            </w:r>
          </w:p>
        </w:tc>
        <w:tc>
          <w:tcPr>
            <w:tcW w:w="8900" w:type="dxa"/>
            <w:tcBorders/>
            <w:vAlign w:val="center"/>
          </w:tcPr>
          <w:p>
            <w:pPr>
              <w:pStyle w:val="TableContents"/>
              <w:bidi w:val="0"/>
              <w:spacing w:before="0" w:after="240"/>
              <w:jc w:val="both"/>
              <w:rPr/>
            </w:pPr>
            <w:r>
              <w:rPr/>
              <w:t>“</w:t>
            </w:r>
            <w:r>
              <w:rPr>
                <w:rFonts w:ascii="Times New Roman;Times;serif" w:hAnsi="Times New Roman;Times;serif"/>
                <w:b/>
                <w:sz w:val="20"/>
              </w:rPr>
              <w:t>Ordinary Shares</w:t>
            </w:r>
            <w:r>
              <w:rPr>
                <w:rFonts w:ascii="Times New Roman;Times;serif" w:hAnsi="Times New Roman;Times;serif"/>
                <w:sz w:val="20"/>
              </w:rPr>
              <w:t>” means Ordinary shares in the Company’s capital, with a nominal value of EUR 0.01 each.</w:t>
            </w:r>
          </w:p>
        </w:tc>
      </w:tr>
    </w:tbl>
    <w:tbl>
      <w:tblPr>
        <w:tblW w:w="8178" w:type="dxa"/>
        <w:jc w:val="left"/>
        <w:tblInd w:w="0" w:type="dxa"/>
        <w:tblLayout w:type="fixed"/>
        <w:tblCellMar>
          <w:top w:w="0" w:type="dxa"/>
          <w:left w:w="0" w:type="dxa"/>
          <w:bottom w:w="0" w:type="dxa"/>
          <w:right w:w="0" w:type="dxa"/>
        </w:tblCellMar>
      </w:tblPr>
      <w:tblGrid>
        <w:gridCol w:w="23"/>
        <w:gridCol w:w="530"/>
        <w:gridCol w:w="7625"/>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1.2.11</w:t>
            </w:r>
          </w:p>
        </w:tc>
        <w:tc>
          <w:tcPr>
            <w:tcW w:w="7625" w:type="dxa"/>
            <w:tcBorders/>
            <w:vAlign w:val="center"/>
          </w:tcPr>
          <w:p>
            <w:pPr>
              <w:pStyle w:val="TableContents"/>
              <w:bidi w:val="0"/>
              <w:spacing w:before="0" w:after="240"/>
              <w:jc w:val="both"/>
              <w:rPr/>
            </w:pPr>
            <w:r>
              <w:rPr/>
              <w:t>“</w:t>
            </w:r>
            <w:r>
              <w:rPr>
                <w:rFonts w:ascii="Times New Roman;Times;serif" w:hAnsi="Times New Roman;Times;serif"/>
                <w:b/>
                <w:sz w:val="20"/>
              </w:rPr>
              <w:t>Registered Shares</w:t>
            </w:r>
            <w:r>
              <w:rPr>
                <w:rFonts w:ascii="Times New Roman;Times;serif" w:hAnsi="Times New Roman;Times;serif"/>
                <w:sz w:val="20"/>
              </w:rPr>
              <w:t>” means the Ordinary Shares as referred to in the respective Deeds of Issue.</w:t>
            </w:r>
          </w:p>
        </w:tc>
      </w:tr>
    </w:tbl>
    <w:tbl>
      <w:tblPr>
        <w:tblW w:w="1450" w:type="dxa"/>
        <w:jc w:val="left"/>
        <w:tblInd w:w="0" w:type="dxa"/>
        <w:tblLayout w:type="fixed"/>
        <w:tblCellMar>
          <w:top w:w="0" w:type="dxa"/>
          <w:left w:w="0" w:type="dxa"/>
          <w:bottom w:w="0" w:type="dxa"/>
          <w:right w:w="0" w:type="dxa"/>
        </w:tblCellMar>
      </w:tblPr>
      <w:tblGrid>
        <w:gridCol w:w="275"/>
        <w:gridCol w:w="1175"/>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1.3</w:t>
            </w:r>
          </w:p>
        </w:tc>
        <w:tc>
          <w:tcPr>
            <w:tcW w:w="11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Legal Review</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assume no responsibility for and have not investigated or verified: (i) any statements of fact or the reasonableness of any statements of opinion (including statements as to foreign law) contained in the Deeds of Issue and the Opinion Documents, (ii) the appropriateness or accuracy of any disclosures made in the Deeds of Issue and the Opinion Documents or (iii) the accuracy of any facts, representations or warranties set out in the Deeds of Issue and the Opinion Documents (with the exception of those matters on which we have specifically and expressly given our opinion) or otherwise disclosed to us in the course of our review. To the extent that the accuracy of such facts, representations and warranties not so investigated or verified and of any facts stated in any of the other documents listed above (or orally confirmed) is relevant to the contents of this Opinion Letter,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have assumed,with your permission, that such facts, representations and warranties were true and accurate when made and remain true and accurate.</w:t>
      </w:r>
    </w:p>
    <w:tbl>
      <w:tblPr>
        <w:tblW w:w="1630" w:type="dxa"/>
        <w:jc w:val="left"/>
        <w:tblInd w:w="0" w:type="dxa"/>
        <w:tblLayout w:type="fixed"/>
        <w:tblCellMar>
          <w:top w:w="0" w:type="dxa"/>
          <w:left w:w="0" w:type="dxa"/>
          <w:bottom w:w="0" w:type="dxa"/>
          <w:right w:w="0" w:type="dxa"/>
        </w:tblCellMar>
      </w:tblPr>
      <w:tblGrid>
        <w:gridCol w:w="275"/>
        <w:gridCol w:w="1355"/>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1.4</w:t>
            </w:r>
          </w:p>
        </w:tc>
        <w:tc>
          <w:tcPr>
            <w:tcW w:w="135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Applicable Law</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1.4.1</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This Opinion Letter relates only to the laws of The Netherlands in force as at the date hereof as applied and interpreted according to present published case- law of the Dutch courts, administrative rulings and authoritative literature. This Opinion Letter does not extend to the laws of any other jurisdiction and no opinion is expressed with regard to the effect of any systems of law (other than the laws of The Netherlands) even in cases where, under Dutch law, any foreign law should be applied and we assume that any applicable law (other than Dutch law) would not affect or qualify our opinion as set out below.</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1.4.2</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For the purpose of this Opinion Letter, where reference is made to the laws of The Netherlands or to The Netherlands in a geographical sense this should be read as:</w:t>
            </w:r>
          </w:p>
        </w:tc>
      </w:tr>
    </w:tbl>
    <w:tbl>
      <w:tblPr>
        <w:tblW w:w="10205" w:type="dxa"/>
        <w:jc w:val="left"/>
        <w:tblInd w:w="0" w:type="dxa"/>
        <w:tblLayout w:type="fixed"/>
        <w:tblCellMar>
          <w:top w:w="0" w:type="dxa"/>
          <w:left w:w="0" w:type="dxa"/>
          <w:bottom w:w="0" w:type="dxa"/>
          <w:right w:w="0" w:type="dxa"/>
        </w:tblCellMar>
      </w:tblPr>
      <w:tblGrid>
        <w:gridCol w:w="23"/>
        <w:gridCol w:w="220"/>
        <w:gridCol w:w="9962"/>
      </w:tblGrid>
      <w:tr>
        <w:trP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reference to the laws as in effect in that part of the Kingdom of The Netherlands that is located in Europe (</w:t>
            </w:r>
            <w:r>
              <w:rPr>
                <w:rFonts w:ascii="Times New Roman;Times;serif" w:hAnsi="Times New Roman;Times;serif"/>
                <w:i/>
                <w:sz w:val="20"/>
              </w:rPr>
              <w:t>Europese deel van Nederland</w:t>
            </w:r>
            <w:r>
              <w:rPr>
                <w:rFonts w:ascii="Times New Roman;Times;serif" w:hAnsi="Times New Roman;Times;serif"/>
                <w:sz w:val="20"/>
              </w:rPr>
              <w:t>); and</w:t>
            </w:r>
          </w:p>
        </w:tc>
      </w:tr>
    </w:tbl>
    <w:tbl>
      <w:tblPr>
        <w:tblW w:w="8073" w:type="dxa"/>
        <w:jc w:val="left"/>
        <w:tblInd w:w="0" w:type="dxa"/>
        <w:tblLayout w:type="fixed"/>
        <w:tblCellMar>
          <w:top w:w="0" w:type="dxa"/>
          <w:left w:w="0" w:type="dxa"/>
          <w:bottom w:w="0" w:type="dxa"/>
          <w:right w:w="0" w:type="dxa"/>
        </w:tblCellMar>
      </w:tblPr>
      <w:tblGrid>
        <w:gridCol w:w="23"/>
        <w:gridCol w:w="245"/>
        <w:gridCol w:w="780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78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reference to the geographical part of the Kingdom of the Netherlands that is located in Europe;</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excluding, for the avoidance of doubt, any overseas nations forming part of the Kingdom of The Netherlands (such as Aruba, Curacao and St Maarten), any overseas special public bodies of the Kingdom of The Netherlands (such as Saba, St. Eustatius and Bonaire) and their respective laws and regulations.</w:t>
      </w:r>
    </w:p>
    <w:tbl>
      <w:tblPr>
        <w:tblW w:w="3790" w:type="dxa"/>
        <w:jc w:val="left"/>
        <w:tblInd w:w="0" w:type="dxa"/>
        <w:tblLayout w:type="fixed"/>
        <w:tblCellMar>
          <w:top w:w="0" w:type="dxa"/>
          <w:left w:w="0" w:type="dxa"/>
          <w:bottom w:w="0" w:type="dxa"/>
          <w:right w:w="0" w:type="dxa"/>
        </w:tblCellMar>
      </w:tblPr>
      <w:tblGrid>
        <w:gridCol w:w="275"/>
        <w:gridCol w:w="3515"/>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1.5</w:t>
            </w:r>
          </w:p>
        </w:tc>
        <w:tc>
          <w:tcPr>
            <w:tcW w:w="351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Assumptions, Reservations &amp; Limitations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This Opinion Letter is given on the basis of the assumptions set out in Schedule 2 (</w:t>
      </w:r>
      <w:r>
        <w:rPr>
          <w:rFonts w:ascii="Times New Roman;Times;serif" w:hAnsi="Times New Roman;Times;serif"/>
          <w:i/>
          <w:sz w:val="20"/>
        </w:rPr>
        <w:t>Assumptions</w:t>
      </w:r>
      <w:r>
        <w:rPr>
          <w:rFonts w:ascii="Times New Roman;Times;serif" w:hAnsi="Times New Roman;Times;serif"/>
          <w:sz w:val="20"/>
        </w:rPr>
        <w:t>) and is subject to the qualifications and reservations set out in Schedule 3 (</w:t>
      </w:r>
      <w:r>
        <w:rPr>
          <w:rFonts w:ascii="Times New Roman;Times;serif" w:hAnsi="Times New Roman;Times;serif"/>
          <w:i/>
          <w:sz w:val="20"/>
        </w:rPr>
        <w:t>Reservations</w:t>
      </w:r>
      <w:r>
        <w:rPr>
          <w:rFonts w:ascii="Times New Roman;Times;serif" w:hAnsi="Times New Roman;Times;serif"/>
          <w:sz w:val="20"/>
        </w:rPr>
        <w:t>). This Opinion Letter is strictly limited to the matters stated in paragraph 2 (</w:t>
      </w:r>
      <w:r>
        <w:rPr>
          <w:rFonts w:ascii="Times New Roman;Times;serif" w:hAnsi="Times New Roman;Times;serif"/>
          <w:i/>
          <w:sz w:val="20"/>
        </w:rPr>
        <w:t>Opinion</w:t>
      </w:r>
      <w:r>
        <w:rPr>
          <w:rFonts w:ascii="Times New Roman;Times;serif" w:hAnsi="Times New Roman;Times;serif"/>
          <w:sz w:val="20"/>
        </w:rPr>
        <w:t>) and does not extend to any other matters.</w:t>
      </w:r>
    </w:p>
    <w:tbl>
      <w:tblPr>
        <w:tblW w:w="1030" w:type="dxa"/>
        <w:jc w:val="left"/>
        <w:tblInd w:w="0" w:type="dxa"/>
        <w:tblLayout w:type="fixed"/>
        <w:tblCellMar>
          <w:top w:w="0" w:type="dxa"/>
          <w:left w:w="0" w:type="dxa"/>
          <w:bottom w:w="0" w:type="dxa"/>
          <w:right w:w="0" w:type="dxa"/>
        </w:tblCellMar>
      </w:tblPr>
      <w:tblGrid>
        <w:gridCol w:w="170"/>
        <w:gridCol w:w="860"/>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86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OPINION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are of the opinion that:</w:t>
      </w:r>
    </w:p>
    <w:tbl>
      <w:tblPr>
        <w:tblW w:w="2035" w:type="dxa"/>
        <w:jc w:val="left"/>
        <w:tblInd w:w="0" w:type="dxa"/>
        <w:tblLayout w:type="fixed"/>
        <w:tblCellMar>
          <w:top w:w="0" w:type="dxa"/>
          <w:left w:w="0" w:type="dxa"/>
          <w:bottom w:w="0" w:type="dxa"/>
          <w:right w:w="0" w:type="dxa"/>
        </w:tblCellMar>
      </w:tblPr>
      <w:tblGrid>
        <w:gridCol w:w="275"/>
        <w:gridCol w:w="176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w:t>
            </w:r>
          </w:p>
        </w:tc>
        <w:tc>
          <w:tcPr>
            <w:tcW w:w="176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Corporate Existence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 is duly incorporated and is validly existing as a public company with limited liability (</w:t>
      </w:r>
      <w:r>
        <w:rPr>
          <w:rFonts w:ascii="Times New Roman;Times;serif" w:hAnsi="Times New Roman;Times;serif"/>
          <w:i/>
          <w:sz w:val="20"/>
        </w:rPr>
        <w:t>naamloze vennootschap</w:t>
      </w:r>
      <w:r>
        <w:rPr>
          <w:rFonts w:ascii="Times New Roman;Times;serif" w:hAnsi="Times New Roman;Times;serif"/>
          <w:sz w:val="20"/>
        </w:rPr>
        <w:t>) under the laws of The Netherlands.</w:t>
      </w:r>
    </w:p>
    <w:tbl>
      <w:tblPr>
        <w:tblW w:w="2470" w:type="dxa"/>
        <w:jc w:val="left"/>
        <w:tblInd w:w="0" w:type="dxa"/>
        <w:tblLayout w:type="fixed"/>
        <w:tblCellMar>
          <w:top w:w="0" w:type="dxa"/>
          <w:left w:w="0" w:type="dxa"/>
          <w:bottom w:w="0" w:type="dxa"/>
          <w:right w:w="0" w:type="dxa"/>
        </w:tblCellMar>
      </w:tblPr>
      <w:tblGrid>
        <w:gridCol w:w="275"/>
        <w:gridCol w:w="2195"/>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2.2</w:t>
            </w:r>
          </w:p>
        </w:tc>
        <w:tc>
          <w:tcPr>
            <w:tcW w:w="219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Existing Ordinary Shares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Existing Ordinary Shares have been validly issued, fully paid-up and are non-assessable.</w:t>
      </w:r>
    </w:p>
    <w:tbl>
      <w:tblPr>
        <w:tblW w:w="2890" w:type="dxa"/>
        <w:jc w:val="left"/>
        <w:tblInd w:w="0" w:type="dxa"/>
        <w:tblLayout w:type="fixed"/>
        <w:tblCellMar>
          <w:top w:w="0" w:type="dxa"/>
          <w:left w:w="0" w:type="dxa"/>
          <w:bottom w:w="0" w:type="dxa"/>
          <w:right w:w="0" w:type="dxa"/>
        </w:tblCellMar>
      </w:tblPr>
      <w:tblGrid>
        <w:gridCol w:w="275"/>
        <w:gridCol w:w="2615"/>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2.3</w:t>
            </w:r>
          </w:p>
        </w:tc>
        <w:tc>
          <w:tcPr>
            <w:tcW w:w="261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2029 Convertible Notes Shares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Subject to receipt by the Company of payment in full for the 2029 Convertible Notes Shares through set-off against the principal amount under the 2029 Convertible Notes, and when issued and accepted in accordance with the Investment Agreement, Deeds of Issue and the Current Articles, the 2029 Convertible Notes Shares shall be validly issued, fully paid and non-assessable.</w:t>
      </w:r>
    </w:p>
    <w:tbl>
      <w:tblPr>
        <w:tblW w:w="2095" w:type="dxa"/>
        <w:jc w:val="left"/>
        <w:tblInd w:w="0" w:type="dxa"/>
        <w:tblLayout w:type="fixed"/>
        <w:tblCellMar>
          <w:top w:w="0" w:type="dxa"/>
          <w:left w:w="0" w:type="dxa"/>
          <w:bottom w:w="0" w:type="dxa"/>
          <w:right w:w="0" w:type="dxa"/>
        </w:tblCellMar>
      </w:tblPr>
      <w:tblGrid>
        <w:gridCol w:w="170"/>
        <w:gridCol w:w="192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92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LIMITS OF OPINION</w:t>
            </w:r>
          </w:p>
        </w:tc>
      </w:tr>
    </w:tbl>
    <w:tbl>
      <w:tblPr>
        <w:tblW w:w="2215" w:type="dxa"/>
        <w:jc w:val="left"/>
        <w:tblInd w:w="0" w:type="dxa"/>
        <w:tblLayout w:type="fixed"/>
        <w:tblCellMar>
          <w:top w:w="0" w:type="dxa"/>
          <w:left w:w="0" w:type="dxa"/>
          <w:bottom w:w="0" w:type="dxa"/>
          <w:right w:w="0" w:type="dxa"/>
        </w:tblCellMar>
      </w:tblPr>
      <w:tblGrid>
        <w:gridCol w:w="275"/>
        <w:gridCol w:w="194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3.1</w:t>
            </w:r>
          </w:p>
        </w:tc>
        <w:tc>
          <w:tcPr>
            <w:tcW w:w="19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We express no opinion:</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except as explicitly stated above, on international law, including (without limitation) the rules of or promulgated under or by any bi- or multi-lateral treaty or treaty organisation (unless directly applicable in The Netherlands or implemented into the laws of The Netherlands);</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on any competition, anti-trust, state aid, anti-money laundering, data protection, market abuse, securitisation, financial assistance, regulatory or public procurement laws;</w:t>
            </w:r>
          </w:p>
        </w:tc>
      </w:tr>
    </w:tbl>
    <w:tbl>
      <w:tblPr>
        <w:tblW w:w="3123" w:type="dxa"/>
        <w:jc w:val="left"/>
        <w:tblInd w:w="0" w:type="dxa"/>
        <w:tblLayout w:type="fixed"/>
        <w:tblCellMar>
          <w:top w:w="0" w:type="dxa"/>
          <w:left w:w="0" w:type="dxa"/>
          <w:bottom w:w="0" w:type="dxa"/>
          <w:right w:w="0" w:type="dxa"/>
        </w:tblCellMar>
      </w:tblPr>
      <w:tblGrid>
        <w:gridCol w:w="23"/>
        <w:gridCol w:w="230"/>
        <w:gridCol w:w="287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28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on the tax laws of The Netherlands.</w:t>
            </w:r>
          </w:p>
        </w:tc>
      </w:tr>
    </w:tbl>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7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with regard to the effect of any systems of law (other than the laws of the Netherlands) even in cases where, under Dutch law, any foreign law would be applicable and we assume that any applicable law (other than the laws of the Netherlands) would not affect or qualify our opinion as set out below;</w:t>
            </w:r>
          </w:p>
        </w:tc>
      </w:tr>
    </w:tbl>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998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on whether the future or continued performance of the Company’s obligations or the consummation of the transactions contemplated by the Opinion Documents will not contravene such laws, application or interpretation if altered in the future; or</w:t>
            </w:r>
          </w:p>
        </w:tc>
      </w:tr>
    </w:tbl>
    <w:tbl>
      <w:tblPr>
        <w:tblW w:w="10205" w:type="dxa"/>
        <w:jc w:val="left"/>
        <w:tblInd w:w="0" w:type="dxa"/>
        <w:tblLayout w:type="fixed"/>
        <w:tblCellMar>
          <w:top w:w="0" w:type="dxa"/>
          <w:left w:w="0" w:type="dxa"/>
          <w:bottom w:w="0" w:type="dxa"/>
          <w:right w:w="0" w:type="dxa"/>
        </w:tblCellMar>
      </w:tblPr>
      <w:tblGrid>
        <w:gridCol w:w="23"/>
        <w:gridCol w:w="171"/>
        <w:gridCol w:w="10011"/>
      </w:tblGrid>
      <w:tr>
        <w:trPr/>
        <w:tc>
          <w:tcPr>
            <w:tcW w:w="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w:t>
            </w:r>
          </w:p>
        </w:tc>
        <w:tc>
          <w:tcPr>
            <w:tcW w:w="100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on any commercial, accounting, capital adequacy or other non-legal matter or on the ability of the Company to meet its financial or other obligations under the transactions contemplated by the Opinion Documents and this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Opinion Letter does not discuss or confirm the financial merits or the practical feasibility of the obligations from and the transactions envisaged by the Opinion Documents.</w:t>
      </w:r>
    </w:p>
    <w:tbl>
      <w:tblPr>
        <w:tblW w:w="2845" w:type="dxa"/>
        <w:jc w:val="left"/>
        <w:tblInd w:w="0" w:type="dxa"/>
        <w:tblLayout w:type="fixed"/>
        <w:tblCellMar>
          <w:top w:w="0" w:type="dxa"/>
          <w:left w:w="0" w:type="dxa"/>
          <w:bottom w:w="0" w:type="dxa"/>
          <w:right w:w="0" w:type="dxa"/>
        </w:tblCellMar>
      </w:tblPr>
      <w:tblGrid>
        <w:gridCol w:w="170"/>
        <w:gridCol w:w="267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26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ADDRESSEES AND PURPOSE</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This Opinion Letter:</w:t>
      </w:r>
    </w:p>
    <w:tbl>
      <w:tblPr>
        <w:tblW w:w="8358" w:type="dxa"/>
        <w:jc w:val="left"/>
        <w:tblInd w:w="0" w:type="dxa"/>
        <w:tblLayout w:type="fixed"/>
        <w:tblCellMar>
          <w:top w:w="0" w:type="dxa"/>
          <w:left w:w="0" w:type="dxa"/>
          <w:bottom w:w="0" w:type="dxa"/>
          <w:right w:w="0" w:type="dxa"/>
        </w:tblCellMar>
      </w:tblPr>
      <w:tblGrid>
        <w:gridCol w:w="23"/>
        <w:gridCol w:w="230"/>
        <w:gridCol w:w="810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81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expresses and describes Netherlands legal concepts in English and not in their original Dutch terms;</w:t>
            </w:r>
          </w:p>
        </w:tc>
      </w:tr>
    </w:tbl>
    <w:tbl>
      <w:tblPr>
        <w:tblW w:w="10205" w:type="dxa"/>
        <w:jc w:val="left"/>
        <w:tblInd w:w="0" w:type="dxa"/>
        <w:tblLayout w:type="fixed"/>
        <w:tblCellMar>
          <w:top w:w="0" w:type="dxa"/>
          <w:left w:w="0" w:type="dxa"/>
          <w:bottom w:w="0" w:type="dxa"/>
          <w:right w:w="0" w:type="dxa"/>
        </w:tblCellMar>
      </w:tblPr>
      <w:tblGrid>
        <w:gridCol w:w="23"/>
        <w:gridCol w:w="202"/>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is issued and may only be relied upon on the express condition that (a) it shall be governed by and that all words and expressions used herein shall be construed and interpreted in accordance with the laws of The Netherlands and (b) all non-contractual obligations and any other matters arising out of or in connection with this Opinion Letter shall be governed by Dutch law;</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is, subject as provided in (d) and (e) below, addressed to you and is solely for your benefit and may not, without our prior written consent, be relied upon by the addressees hereof for any purpose other than in connection with the filing of the Registration Statement with the SEC;</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may not be disclosed to or relied upon by any other person, company, entity, enterprise or institution, save that we consent to the filing of this Opinion Letter as an exhibit to the Registration Statement and also consent to the reference to Clifford Chance LLP in the Registration Statement under the caption “Legal Matters”. In giving this consent we do not admit or imply that we are a person whose consent is required under Section 7 of the United States Securities Act of 1933, as amended, or any rules and regulations promulgated thereunder; and</w:t>
            </w:r>
          </w:p>
        </w:tc>
      </w:tr>
    </w:tbl>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997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is issued on the basis that we do not assume any obligation to notify or to inform you of any developments subsequent to its date that might render its contents untrue or inaccurate in whole or in part at such time.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legal opinion is given subject to, and may only be relied upon on, the express condition that (i) Clifford Chance is the exclusive party issuing this legal opinion, (ii) any liability of individual persons or legal entities involved in the services provided by or on behalf of Clifford Chance is expressly excluded (</w:t>
      </w:r>
      <w:r>
        <w:rPr>
          <w:rFonts w:ascii="Times New Roman;Times;serif" w:hAnsi="Times New Roman;Times;serif"/>
          <w:i/>
          <w:sz w:val="20"/>
        </w:rPr>
        <w:t>uitgesloten</w:t>
      </w:r>
      <w:r>
        <w:rPr>
          <w:rFonts w:ascii="Times New Roman;Times;serif" w:hAnsi="Times New Roman;Times;serif"/>
          <w:sz w:val="20"/>
        </w:rPr>
        <w:t>), (iii) in respect of Dutch legal concepts, which are expressed in this legal opinion in English terms, the original Dutch terms shall prevail, (iv) this legal opinion shall be governed by, and construed in accordance with, Dutch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law, (v) all disputes arising from or in connection with this legal opinion must be submitted to the exclusive jurisdiction of, and will be exclusively decided by, the competent court in Amsterdam, the Netherlands, without prejudice to the right of appeal and appeal to the Supreme Court and (vi) the aggregate liability of Clifford Chance (and the individual persons and legal entities involved in the services provided by or on behalf of Clifford Chance) in respect of this legal opinion towards the Addressees and any other person entitled to rely upon this legal opinion (as set out in the next paragraph) will be limited to the amount which can be claimed under the professional liability insurance(s) taken out by Clifford Chance, increased by the amount which Clifford Chance has to bear as their own risk pursuant to the terms of such insurance(s).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legal opinion is strictly limited to the matters stated herein and may not be read by implication as extending to matters not specifically referred to and may only be relied upon in connection with transactions contemplated by the Registration Statement. We hereby consent to the filing of this legal opinion in connection with the Registration Statement and any amendments thereto. In giving such consent, we do not admit that we come within the category of persons whose consent is required under Section 7 of the U.S. Securities Act of 1933 or the rules and regulations promulgated thereunder.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liability arising out of or in connection with this opinion letter shall be limited to the amount which is paid out under Clifford Chance LLP’s insurance policy in the matter concerned. No person other than Clifford Chance LLP may be held liable in connection with this opinion letter.</w:t>
      </w:r>
    </w:p>
    <w:p>
      <w:pPr>
        <w:pStyle w:val="TextBody"/>
        <w:bidi w:val="0"/>
        <w:spacing w:before="0" w:after="56"/>
        <w:ind w:left="360" w:right="0" w:hanging="0"/>
        <w:jc w:val="both"/>
        <w:rPr>
          <w:rFonts w:ascii="Times New Roman;Times;serif" w:hAnsi="Times New Roman;Times;serif"/>
          <w:b/>
          <w:sz w:val="20"/>
        </w:rPr>
      </w:pPr>
      <w:r>
        <w:rPr>
          <w:rFonts w:ascii="Times New Roman;Times;serif" w:hAnsi="Times New Roman;Times;serif"/>
          <w:b/>
          <w:sz w:val="20"/>
        </w:rPr>
        <w:t>Han Teerink</w:t>
      </w:r>
    </w:p>
    <w:p>
      <w:pPr>
        <w:pStyle w:val="TextBody"/>
        <w:bidi w:val="0"/>
        <w:spacing w:before="0" w:after="55"/>
        <w:ind w:left="360" w:right="0" w:hanging="0"/>
        <w:jc w:val="both"/>
        <w:rPr>
          <w:rFonts w:ascii="Times New Roman;Times;serif" w:hAnsi="Times New Roman;Times;serif"/>
          <w:b/>
          <w:i/>
          <w:sz w:val="20"/>
        </w:rPr>
      </w:pPr>
      <w:r>
        <w:rPr>
          <w:rFonts w:ascii="Times New Roman;Times;serif" w:hAnsi="Times New Roman;Times;serif"/>
          <w:b/>
          <w:i/>
          <w:sz w:val="20"/>
        </w:rPr>
        <w:t>(advocaat)</w:t>
      </w:r>
    </w:p>
    <w:p>
      <w:pPr>
        <w:pStyle w:val="TextBody"/>
        <w:bidi w:val="0"/>
        <w:spacing w:before="0" w:after="0"/>
        <w:ind w:left="360" w:right="0" w:hanging="0"/>
        <w:jc w:val="both"/>
        <w:rPr>
          <w:rFonts w:ascii="Times New Roman;Times;serif" w:hAnsi="Times New Roman;Times;serif"/>
          <w:b/>
          <w:sz w:val="20"/>
        </w:rPr>
      </w:pPr>
      <w:r>
        <w:rPr>
          <w:rFonts w:ascii="Times New Roman;Times;serif" w:hAnsi="Times New Roman;Times;serif"/>
          <w:b/>
          <w:sz w:val="20"/>
        </w:rPr>
        <w:t>Clifford Chance LLP</w:t>
      </w:r>
    </w:p>
    <w:p>
      <w:pPr>
        <w:pStyle w:val="TextBody"/>
        <w:bidi w:val="0"/>
        <w:spacing w:before="0" w:after="0"/>
        <w:ind w:left="20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SCHEDULE 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DOCUMENTS AND ENQUIRIES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DOCUMENTS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arriving at the opinions expressed above, we have examined and relied upon the originals, photostatic, facsimile or electronically scanned copies of the following documents: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CORPORATE DOCUMENTS &amp; EXTRACTS</w:t>
      </w:r>
    </w:p>
    <w:tbl>
      <w:tblPr>
        <w:tblW w:w="9280" w:type="dxa"/>
        <w:jc w:val="left"/>
        <w:tblInd w:w="0" w:type="dxa"/>
        <w:tblLayout w:type="fixed"/>
        <w:tblCellMar>
          <w:top w:w="0" w:type="dxa"/>
          <w:left w:w="0" w:type="dxa"/>
          <w:bottom w:w="0" w:type="dxa"/>
          <w:right w:w="0" w:type="dxa"/>
        </w:tblCellMar>
      </w:tblPr>
      <w:tblGrid>
        <w:gridCol w:w="275"/>
        <w:gridCol w:w="9005"/>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1.1</w:t>
            </w:r>
          </w:p>
        </w:tc>
        <w:tc>
          <w:tcPr>
            <w:tcW w:w="90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deed of incorporation (</w:t>
            </w:r>
            <w:r>
              <w:rPr>
                <w:rFonts w:ascii="Times New Roman;Times;serif" w:hAnsi="Times New Roman;Times;serif"/>
                <w:i/>
                <w:sz w:val="20"/>
              </w:rPr>
              <w:t>oprichtingsakte</w:t>
            </w:r>
            <w:r>
              <w:rPr>
                <w:rFonts w:ascii="Times New Roman;Times;serif" w:hAnsi="Times New Roman;Times;serif"/>
                <w:sz w:val="20"/>
              </w:rPr>
              <w:t>) of the Issuer dated 7 February 2023 (the “</w:t>
            </w:r>
            <w:r>
              <w:rPr>
                <w:rFonts w:ascii="Times New Roman;Times;serif" w:hAnsi="Times New Roman;Times;serif"/>
                <w:b/>
                <w:sz w:val="20"/>
              </w:rPr>
              <w:t>Deed of Incorporation</w:t>
            </w:r>
            <w:r>
              <w:rPr>
                <w:rFonts w:ascii="Times New Roman;Times;serif" w:hAnsi="Times New Roman;Times;serif"/>
                <w:sz w:val="20"/>
              </w:rPr>
              <w:t>”);</w:t>
            </w:r>
          </w:p>
        </w:tc>
      </w:tr>
    </w:tbl>
    <w:tbl>
      <w:tblPr>
        <w:tblW w:w="8650" w:type="dxa"/>
        <w:jc w:val="left"/>
        <w:tblInd w:w="0" w:type="dxa"/>
        <w:tblLayout w:type="fixed"/>
        <w:tblCellMar>
          <w:top w:w="0" w:type="dxa"/>
          <w:left w:w="0" w:type="dxa"/>
          <w:bottom w:w="0" w:type="dxa"/>
          <w:right w:w="0" w:type="dxa"/>
        </w:tblCellMar>
      </w:tblPr>
      <w:tblGrid>
        <w:gridCol w:w="275"/>
        <w:gridCol w:w="8375"/>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w:t>
            </w:r>
          </w:p>
        </w:tc>
        <w:tc>
          <w:tcPr>
            <w:tcW w:w="83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articles of association (</w:t>
            </w:r>
            <w:r>
              <w:rPr>
                <w:rFonts w:ascii="Times New Roman;Times;serif" w:hAnsi="Times New Roman;Times;serif"/>
                <w:i/>
                <w:sz w:val="20"/>
              </w:rPr>
              <w:t>statuten</w:t>
            </w:r>
            <w:r>
              <w:rPr>
                <w:rFonts w:ascii="Times New Roman;Times;serif" w:hAnsi="Times New Roman;Times;serif"/>
                <w:sz w:val="20"/>
              </w:rPr>
              <w:t>) of the Company as last amended on 30 April 2024 (the “</w:t>
            </w:r>
            <w:r>
              <w:rPr>
                <w:rFonts w:ascii="Times New Roman;Times;serif" w:hAnsi="Times New Roman;Times;serif"/>
                <w:b/>
                <w:sz w:val="20"/>
              </w:rPr>
              <w:t>Articles</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1.3</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 official extract (</w:t>
            </w:r>
            <w:r>
              <w:rPr>
                <w:rFonts w:ascii="Times New Roman;Times;serif" w:hAnsi="Times New Roman;Times;serif"/>
                <w:i/>
                <w:sz w:val="20"/>
              </w:rPr>
              <w:t>uittreksel</w:t>
            </w:r>
            <w:r>
              <w:rPr>
                <w:rFonts w:ascii="Times New Roman;Times;serif" w:hAnsi="Times New Roman;Times;serif"/>
                <w:sz w:val="20"/>
              </w:rPr>
              <w:t>) dated 17 July 2026 from the Commercial Register of the Dutch Chamber of Commerce (the “</w:t>
            </w:r>
            <w:r>
              <w:rPr>
                <w:rFonts w:ascii="Times New Roman;Times;serif" w:hAnsi="Times New Roman;Times;serif"/>
                <w:b/>
                <w:sz w:val="20"/>
              </w:rPr>
              <w:t>Chamber</w:t>
            </w:r>
            <w:r>
              <w:rPr>
                <w:rFonts w:ascii="Times New Roman;Times;serif" w:hAnsi="Times New Roman;Times;serif"/>
                <w:sz w:val="20"/>
              </w:rPr>
              <w:t>”) relating to the registration of the Company under number 89188276 and confirmed to us by the Chamber by telephone on the time and date hereof to have remained unaltered since such date;</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1.4</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draft minutes evidencing the resolution adopted during the general meeting of the Company held on 20 May 206 in which the general meeting of the Company resolved to designate and designated the board of directors of the Company as the corporate body authorised to (i) issue shares and grant rights to up to 20% of the total number of issued and outstanding shares in the Company’s capital, and (ii) restrict or exclude pre-emptive rights of existing shareholders in connection with such issuance (the “</w:t>
            </w:r>
            <w:r>
              <w:rPr>
                <w:rFonts w:ascii="Times New Roman;Times;serif" w:hAnsi="Times New Roman;Times;serif"/>
                <w:b/>
                <w:sz w:val="20"/>
              </w:rPr>
              <w:t>Shareholders Resolution</w:t>
            </w:r>
            <w:r>
              <w:rPr>
                <w:rFonts w:ascii="Times New Roman;Times;serif" w:hAnsi="Times New Roman;Times;serif"/>
                <w:sz w:val="20"/>
              </w:rPr>
              <w:t>”)</w:t>
            </w:r>
          </w:p>
        </w:tc>
      </w:tr>
    </w:tbl>
    <w:tbl>
      <w:tblPr>
        <w:tblW w:w="2095" w:type="dxa"/>
        <w:jc w:val="left"/>
        <w:tblInd w:w="0" w:type="dxa"/>
        <w:tblLayout w:type="fixed"/>
        <w:tblCellMar>
          <w:top w:w="0" w:type="dxa"/>
          <w:left w:w="0" w:type="dxa"/>
          <w:bottom w:w="0" w:type="dxa"/>
          <w:right w:w="0" w:type="dxa"/>
        </w:tblCellMar>
      </w:tblPr>
      <w:tblGrid>
        <w:gridCol w:w="275"/>
        <w:gridCol w:w="182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1.5</w:t>
            </w:r>
          </w:p>
        </w:tc>
        <w:tc>
          <w:tcPr>
            <w:tcW w:w="18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Board Resolution;</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REGISTRATION STATEMENT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1.6</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Company’s registration statement on Form F-1 filed in connection with the registration of the relevant Ordinary Shares in the form reviewed by us dated 17 July 2026;</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OPINION DOCUMENTS</w:t>
      </w:r>
    </w:p>
    <w:tbl>
      <w:tblPr>
        <w:tblW w:w="6565" w:type="dxa"/>
        <w:jc w:val="left"/>
        <w:tblInd w:w="0" w:type="dxa"/>
        <w:tblLayout w:type="fixed"/>
        <w:tblCellMar>
          <w:top w:w="0" w:type="dxa"/>
          <w:left w:w="0" w:type="dxa"/>
          <w:bottom w:w="0" w:type="dxa"/>
          <w:right w:w="0" w:type="dxa"/>
        </w:tblCellMar>
      </w:tblPr>
      <w:tblGrid>
        <w:gridCol w:w="275"/>
        <w:gridCol w:w="629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1.7</w:t>
            </w:r>
          </w:p>
        </w:tc>
        <w:tc>
          <w:tcPr>
            <w:tcW w:w="62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 electronic copy of the executed Investment Agreement dated 7 July 2026;</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1.8</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 electronic copy of the executed indenture dated 14 July 2026 (the “Indenture”) relating to the issuance of the Notes between the Issuer, the Guarantors and the Trustee; and</w:t>
            </w:r>
          </w:p>
        </w:tc>
      </w:tr>
    </w:tbl>
    <w:tbl>
      <w:tblPr>
        <w:tblW w:w="7540" w:type="dxa"/>
        <w:jc w:val="left"/>
        <w:tblInd w:w="0" w:type="dxa"/>
        <w:tblLayout w:type="fixed"/>
        <w:tblCellMar>
          <w:top w:w="0" w:type="dxa"/>
          <w:left w:w="0" w:type="dxa"/>
          <w:bottom w:w="0" w:type="dxa"/>
          <w:right w:w="0" w:type="dxa"/>
        </w:tblCellMar>
      </w:tblPr>
      <w:tblGrid>
        <w:gridCol w:w="275"/>
        <w:gridCol w:w="7265"/>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1.9</w:t>
            </w:r>
          </w:p>
        </w:tc>
        <w:tc>
          <w:tcPr>
            <w:tcW w:w="72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Registration Rights Agreement dated 14 July 2026 between the Issuer and the Purchasers.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documents listed in 1.7 to 1.9 together the “</w:t>
      </w:r>
      <w:r>
        <w:rPr>
          <w:rFonts w:ascii="Times New Roman;Times;serif" w:hAnsi="Times New Roman;Times;serif"/>
          <w:b/>
          <w:sz w:val="20"/>
        </w:rPr>
        <w:t>Opinion Documents</w:t>
      </w:r>
      <w:r>
        <w:rPr>
          <w:rFonts w:ascii="Times New Roman;Times;serif" w:hAnsi="Times New Roman;Times;serif"/>
          <w:sz w:val="20"/>
        </w:rPr>
        <w:t>”).</w:t>
      </w:r>
    </w:p>
    <w:tbl>
      <w:tblPr>
        <w:tblW w:w="2800" w:type="dxa"/>
        <w:jc w:val="left"/>
        <w:tblInd w:w="0" w:type="dxa"/>
        <w:tblLayout w:type="fixed"/>
        <w:tblCellMar>
          <w:top w:w="0" w:type="dxa"/>
          <w:left w:w="0" w:type="dxa"/>
          <w:bottom w:w="0" w:type="dxa"/>
          <w:right w:w="0" w:type="dxa"/>
        </w:tblCellMar>
      </w:tblPr>
      <w:tblGrid>
        <w:gridCol w:w="170"/>
        <w:gridCol w:w="2630"/>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263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SEARCHES AND ENQUIRIES</w:t>
            </w:r>
          </w:p>
        </w:tc>
      </w:tr>
    </w:tbl>
    <w:tbl>
      <w:tblPr>
        <w:tblW w:w="10165" w:type="dxa"/>
        <w:jc w:val="left"/>
        <w:tblInd w:w="0" w:type="dxa"/>
        <w:tblLayout w:type="fixed"/>
        <w:tblCellMar>
          <w:top w:w="0" w:type="dxa"/>
          <w:left w:w="0" w:type="dxa"/>
          <w:bottom w:w="0" w:type="dxa"/>
          <w:right w:w="0" w:type="dxa"/>
        </w:tblCellMar>
      </w:tblPr>
      <w:tblGrid>
        <w:gridCol w:w="275"/>
        <w:gridCol w:w="989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w:t>
            </w:r>
          </w:p>
        </w:tc>
        <w:tc>
          <w:tcPr>
            <w:tcW w:w="98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We have undertaken only the following searches and enquiries in The Netherlands for the purposes of this Opinion Letter:</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2.1.1</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 enquiry by telephone was made at the Chamber on 17 July 2026 on or around 09:16 C.E.S.T. with respect to the Company;</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2.1.2</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 online search was performed with the Central Insolvency Register (</w:t>
            </w:r>
            <w:r>
              <w:rPr>
                <w:rFonts w:ascii="Times New Roman;Times;serif" w:hAnsi="Times New Roman;Times;serif"/>
                <w:i/>
                <w:sz w:val="20"/>
              </w:rPr>
              <w:t>Centraal Insolventieregister</w:t>
            </w:r>
            <w:r>
              <w:rPr>
                <w:rFonts w:ascii="Times New Roman;Times;serif" w:hAnsi="Times New Roman;Times;serif"/>
                <w:sz w:val="20"/>
              </w:rPr>
              <w:t>) and the EU Insolvency Register (</w:t>
            </w:r>
            <w:r>
              <w:rPr>
                <w:rFonts w:ascii="Times New Roman;Times;serif" w:hAnsi="Times New Roman;Times;serif"/>
                <w:i/>
                <w:sz w:val="20"/>
              </w:rPr>
              <w:t>EU Insolventieregister</w:t>
            </w:r>
            <w:r>
              <w:rPr>
                <w:rFonts w:ascii="Times New Roman;Times;serif" w:hAnsi="Times New Roman;Times;serif"/>
                <w:sz w:val="20"/>
              </w:rPr>
              <w:t>) referred to in articles 19a, 19b, 222b and 370 paragraph 4 of the Dutch Bankruptcy Act (</w:t>
            </w:r>
            <w:r>
              <w:rPr>
                <w:rFonts w:ascii="Times New Roman;Times;serif" w:hAnsi="Times New Roman;Times;serif"/>
                <w:i/>
                <w:sz w:val="20"/>
              </w:rPr>
              <w:t>Faillissementswet</w:t>
            </w:r>
            <w:r>
              <w:rPr>
                <w:rFonts w:ascii="Times New Roman;Times;serif" w:hAnsi="Times New Roman;Times;serif"/>
                <w:sz w:val="20"/>
              </w:rPr>
              <w:t>) on 17 June 2026 on or around 09:22 C.E.S.T. with respect to the Company.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SCHEDULE 2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ASSUMPTIONS</w:t>
      </w:r>
    </w:p>
    <w:tbl>
      <w:tblPr>
        <w:tblW w:w="4390" w:type="dxa"/>
        <w:jc w:val="left"/>
        <w:tblInd w:w="0" w:type="dxa"/>
        <w:tblLayout w:type="fixed"/>
        <w:tblCellMar>
          <w:top w:w="0" w:type="dxa"/>
          <w:left w:w="0" w:type="dxa"/>
          <w:bottom w:w="0" w:type="dxa"/>
          <w:right w:w="0" w:type="dxa"/>
        </w:tblCellMar>
      </w:tblPr>
      <w:tblGrid>
        <w:gridCol w:w="170"/>
        <w:gridCol w:w="4220"/>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422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ORIGINAL AND GENUINE DOCUMENTATION</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1.1</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signatures (including any electronic signatures) are genuine, all original documents are authentic, and all copy documents supplied to us as photocopies, faxed documents or in portable document format (PDF) or other electronic form are genuine, accurate, complete and conform to the originals.</w:t>
            </w:r>
          </w:p>
        </w:tc>
      </w:tr>
    </w:tbl>
    <w:tbl>
      <w:tblPr>
        <w:tblW w:w="6520" w:type="dxa"/>
        <w:jc w:val="left"/>
        <w:tblInd w:w="0" w:type="dxa"/>
        <w:tblLayout w:type="fixed"/>
        <w:tblCellMar>
          <w:top w:w="0" w:type="dxa"/>
          <w:left w:w="0" w:type="dxa"/>
          <w:bottom w:w="0" w:type="dxa"/>
          <w:right w:w="0" w:type="dxa"/>
        </w:tblCellMar>
      </w:tblPr>
      <w:tblGrid>
        <w:gridCol w:w="275"/>
        <w:gridCol w:w="6245"/>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w:t>
            </w:r>
          </w:p>
        </w:tc>
        <w:tc>
          <w:tcPr>
            <w:tcW w:w="6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Drafts of documents reviewed by us will be signed in the form of those drafts.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1.3</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person whose name and electronic signature appear or will appear in the signature block of any document is the person who signed such document.</w:t>
            </w:r>
          </w:p>
        </w:tc>
      </w:tr>
    </w:tbl>
    <w:tbl>
      <w:tblPr>
        <w:tblW w:w="8365" w:type="dxa"/>
        <w:jc w:val="left"/>
        <w:tblInd w:w="0" w:type="dxa"/>
        <w:tblLayout w:type="fixed"/>
        <w:tblCellMar>
          <w:top w:w="0" w:type="dxa"/>
          <w:left w:w="0" w:type="dxa"/>
          <w:bottom w:w="0" w:type="dxa"/>
          <w:right w:w="0" w:type="dxa"/>
        </w:tblCellMar>
      </w:tblPr>
      <w:tblGrid>
        <w:gridCol w:w="275"/>
        <w:gridCol w:w="809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1.4</w:t>
            </w:r>
          </w:p>
        </w:tc>
        <w:tc>
          <w:tcPr>
            <w:tcW w:w="80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relevant Deeds of Issue shall have been validly signed and executed on behalf of the Company.</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For the purposes of paragraphs 1.1 up to and including 1.4 of this Schedule 2:</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1.3.1</w:t>
      </w:r>
      <w:r>
        <w:rPr>
          <w:rFonts w:ascii="Times New Roman;Times;serif" w:hAnsi="Times New Roman;Times;serif"/>
          <w:sz w:val="20"/>
        </w:rPr>
        <w:t>“</w:t>
      </w:r>
      <w:r>
        <w:rPr>
          <w:rFonts w:ascii="Times New Roman;Times;serif" w:hAnsi="Times New Roman;Times;serif"/>
          <w:b/>
          <w:sz w:val="20"/>
        </w:rPr>
        <w:t>sign</w:t>
      </w:r>
      <w:r>
        <w:rPr>
          <w:rFonts w:ascii="Times New Roman;Times;serif" w:hAnsi="Times New Roman;Times;serif"/>
          <w:sz w:val="20"/>
        </w:rPr>
        <w:t>” or “</w:t>
      </w:r>
      <w:r>
        <w:rPr>
          <w:rFonts w:ascii="Times New Roman;Times;serif" w:hAnsi="Times New Roman;Times;serif"/>
          <w:b/>
          <w:sz w:val="20"/>
        </w:rPr>
        <w:t>signed</w:t>
      </w:r>
      <w:r>
        <w:rPr>
          <w:rFonts w:ascii="Times New Roman;Times;serif" w:hAnsi="Times New Roman;Times;serif"/>
          <w:sz w:val="20"/>
        </w:rPr>
        <w:t>” means in relation to a document executed with an electronic signature, the process by which the signatory has applied (or arranged for the application of) such electronic signature to any such document; and</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1.3.2</w:t>
      </w:r>
      <w:r>
        <w:rPr>
          <w:rFonts w:ascii="Times New Roman;Times;serif" w:hAnsi="Times New Roman;Times;serif"/>
          <w:sz w:val="20"/>
        </w:rPr>
        <w:t>“</w:t>
      </w:r>
      <w:r>
        <w:rPr>
          <w:rFonts w:ascii="Times New Roman;Times;serif" w:hAnsi="Times New Roman;Times;serif"/>
          <w:b/>
          <w:sz w:val="20"/>
        </w:rPr>
        <w:t>electronic signature</w:t>
      </w:r>
      <w:r>
        <w:rPr>
          <w:rFonts w:ascii="Times New Roman;Times;serif" w:hAnsi="Times New Roman;Times;serif"/>
          <w:sz w:val="20"/>
        </w:rPr>
        <w:t>” means a signature in electronic form applied to any document that is intended by the signatory to take effect as their signature including without limitation an image of the signatory’s handwritten signature, the typed name of the signatory, a signature generated by the signatory with a stylus on a touch pad or screen and any signature created by the signatory in accordance with the processes of an electronic signing platform.</w:t>
      </w:r>
    </w:p>
    <w:tbl>
      <w:tblPr>
        <w:tblW w:w="4465" w:type="dxa"/>
        <w:jc w:val="left"/>
        <w:tblInd w:w="0" w:type="dxa"/>
        <w:tblLayout w:type="fixed"/>
        <w:tblCellMar>
          <w:top w:w="0" w:type="dxa"/>
          <w:left w:w="0" w:type="dxa"/>
          <w:bottom w:w="0" w:type="dxa"/>
          <w:right w:w="0" w:type="dxa"/>
        </w:tblCellMar>
      </w:tblPr>
      <w:tblGrid>
        <w:gridCol w:w="170"/>
        <w:gridCol w:w="429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429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CORPORATE AUTHORITY OF THE COMPANY</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At each time of signing of a Deed of Issue, all parties are duly incorporated and validly existing and have the capacity to enter into and to exercise its rights and to perform its obligations under such Deed of Issue and there is nothing under applicable laws that would prevent this.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2.2</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corporate action required to authorise the entering into, execution and/or performance of the Deeds of Issuance shall have been duly taken prior to each relevant moment.</w:t>
            </w:r>
          </w:p>
        </w:tc>
      </w:tr>
    </w:tbl>
    <w:tbl>
      <w:tblPr>
        <w:tblW w:w="5155" w:type="dxa"/>
        <w:jc w:val="left"/>
        <w:tblInd w:w="0" w:type="dxa"/>
        <w:tblLayout w:type="fixed"/>
        <w:tblCellMar>
          <w:top w:w="0" w:type="dxa"/>
          <w:left w:w="0" w:type="dxa"/>
          <w:bottom w:w="0" w:type="dxa"/>
          <w:right w:w="0" w:type="dxa"/>
        </w:tblCellMar>
      </w:tblPr>
      <w:tblGrid>
        <w:gridCol w:w="275"/>
        <w:gridCol w:w="488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2.3</w:t>
            </w:r>
          </w:p>
        </w:tc>
        <w:tc>
          <w:tcPr>
            <w:tcW w:w="48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Articles are the articles of association currently in force.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2.4</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Company has not been dissolved (</w:t>
            </w:r>
            <w:r>
              <w:rPr>
                <w:rFonts w:ascii="Times New Roman;Times;serif" w:hAnsi="Times New Roman;Times;serif"/>
                <w:i/>
                <w:sz w:val="20"/>
              </w:rPr>
              <w:t>ontbonden</w:t>
            </w:r>
            <w:r>
              <w:rPr>
                <w:rFonts w:ascii="Times New Roman;Times;serif" w:hAnsi="Times New Roman;Times;serif"/>
                <w:sz w:val="20"/>
              </w:rPr>
              <w:t>), granted a suspension of payments (</w:t>
            </w:r>
            <w:r>
              <w:rPr>
                <w:rFonts w:ascii="Times New Roman;Times;serif" w:hAnsi="Times New Roman;Times;serif"/>
                <w:i/>
                <w:sz w:val="20"/>
              </w:rPr>
              <w:t>surseance van betaling verleend</w:t>
            </w:r>
            <w:r>
              <w:rPr>
                <w:rFonts w:ascii="Times New Roman;Times;serif" w:hAnsi="Times New Roman;Times;serif"/>
                <w:sz w:val="20"/>
              </w:rPr>
              <w:t>), declared bankrupt (</w:t>
            </w:r>
            <w:r>
              <w:rPr>
                <w:rFonts w:ascii="Times New Roman;Times;serif" w:hAnsi="Times New Roman;Times;serif"/>
                <w:i/>
                <w:sz w:val="20"/>
              </w:rPr>
              <w:t>failliet verklaard</w:t>
            </w:r>
            <w:r>
              <w:rPr>
                <w:rFonts w:ascii="Times New Roman;Times;serif" w:hAnsi="Times New Roman;Times;serif"/>
                <w:sz w:val="20"/>
              </w:rPr>
              <w:t>), ceased to exist pursuant to a merger (</w:t>
            </w:r>
            <w:r>
              <w:rPr>
                <w:rFonts w:ascii="Times New Roman;Times;serif" w:hAnsi="Times New Roman;Times;serif"/>
                <w:i/>
                <w:sz w:val="20"/>
              </w:rPr>
              <w:t>fusie</w:t>
            </w:r>
            <w:r>
              <w:rPr>
                <w:rFonts w:ascii="Times New Roman;Times;serif" w:hAnsi="Times New Roman;Times;serif"/>
                <w:sz w:val="20"/>
              </w:rPr>
              <w:t>) or a division (</w:t>
            </w:r>
            <w:r>
              <w:rPr>
                <w:rFonts w:ascii="Times New Roman;Times;serif" w:hAnsi="Times New Roman;Times;serif"/>
                <w:i/>
                <w:sz w:val="20"/>
              </w:rPr>
              <w:t>splitsing</w:t>
            </w:r>
            <w:r>
              <w:rPr>
                <w:rFonts w:ascii="Times New Roman;Times;serif" w:hAnsi="Times New Roman;Times;serif"/>
                <w:sz w:val="20"/>
              </w:rPr>
              <w:t>) and has not registered a declaration pursuant to article 370 Dutch Bankruptcy Act (</w:t>
            </w:r>
            <w:r>
              <w:rPr>
                <w:rFonts w:ascii="Times New Roman;Times;serif" w:hAnsi="Times New Roman;Times;serif"/>
                <w:i/>
                <w:sz w:val="20"/>
              </w:rPr>
              <w:t>Faillissementswet</w:t>
            </w:r>
            <w:r>
              <w:rPr>
                <w:rFonts w:ascii="Times New Roman;Times;serif" w:hAnsi="Times New Roman;Times;serif"/>
                <w:sz w:val="20"/>
              </w:rPr>
              <w:t>) and there is no court order imposing a stay period (</w:t>
            </w:r>
            <w:r>
              <w:rPr>
                <w:rFonts w:ascii="Times New Roman;Times;serif" w:hAnsi="Times New Roman;Times;serif"/>
                <w:i/>
                <w:sz w:val="20"/>
              </w:rPr>
              <w:t>afkoelingsperiode</w:t>
            </w:r>
            <w:r>
              <w:rPr>
                <w:rFonts w:ascii="Times New Roman;Times;serif" w:hAnsi="Times New Roman;Times;serif"/>
                <w:sz w:val="20"/>
              </w:rPr>
              <w:t>) pursuant to article 376 Dutch Bankruptcy Act (</w:t>
            </w:r>
            <w:r>
              <w:rPr>
                <w:rFonts w:ascii="Times New Roman;Times;serif" w:hAnsi="Times New Roman;Times;serif"/>
                <w:i/>
                <w:sz w:val="20"/>
              </w:rPr>
              <w:t>Faillissementswet</w:t>
            </w:r>
            <w:r>
              <w:rPr>
                <w:rFonts w:ascii="Times New Roman;Times;serif" w:hAnsi="Times New Roman;Times;serif"/>
                <w:sz w:val="20"/>
              </w:rPr>
              <w:t>) or ratifying a public scheme of arrangement (</w:t>
            </w:r>
            <w:r>
              <w:rPr>
                <w:rFonts w:ascii="Times New Roman;Times;serif" w:hAnsi="Times New Roman;Times;serif"/>
                <w:i/>
                <w:sz w:val="20"/>
              </w:rPr>
              <w:t>homologatie van een onderhands openbaar akkoord</w:t>
            </w:r>
            <w:r>
              <w:rPr>
                <w:rFonts w:ascii="Times New Roman;Times;serif" w:hAnsi="Times New Roman;Times;serif"/>
                <w:sz w:val="20"/>
              </w:rPr>
              <w:t>) pursuant to the Dutch Bankruptcy Act (</w:t>
            </w:r>
            <w:r>
              <w:rPr>
                <w:rFonts w:ascii="Times New Roman;Times;serif" w:hAnsi="Times New Roman;Times;serif"/>
                <w:i/>
                <w:sz w:val="20"/>
              </w:rPr>
              <w:t>Faillissementswet</w:t>
            </w:r>
            <w:r>
              <w:rPr>
                <w:rFonts w:ascii="Times New Roman;Times;serif" w:hAnsi="Times New Roman;Times;serif"/>
                <w:sz w:val="20"/>
              </w:rPr>
              <w:t>). In respect of the Company no insolvency procedures (“</w:t>
            </w:r>
            <w:r>
              <w:rPr>
                <w:rFonts w:ascii="Times New Roman;Times;serif" w:hAnsi="Times New Roman;Times;serif"/>
                <w:b/>
                <w:sz w:val="20"/>
              </w:rPr>
              <w:t>EU Insolvency Procedures</w:t>
            </w:r>
            <w:r>
              <w:rPr>
                <w:rFonts w:ascii="Times New Roman;Times;serif" w:hAnsi="Times New Roman;Times;serif"/>
                <w:sz w:val="20"/>
              </w:rPr>
              <w:t>”) listed in Annex A to Council Regulation (EC) No. 2015/848 on insolvency proceedings (as amended) (the “</w:t>
            </w:r>
            <w:r>
              <w:rPr>
                <w:rFonts w:ascii="Times New Roman;Times;serif" w:hAnsi="Times New Roman;Times;serif"/>
                <w:b/>
                <w:sz w:val="20"/>
              </w:rPr>
              <w:t>EU Insolvency Regulation</w:t>
            </w:r>
            <w:r>
              <w:rPr>
                <w:rFonts w:ascii="Times New Roman;Times;serif" w:hAnsi="Times New Roman;Times;serif"/>
                <w:sz w:val="20"/>
              </w:rPr>
              <w:t>”) have been declared applicable to the Company by a court in one of the member states of the EU (with the exception of Denmark), other than The Netherlands. There is no registration of an order by the Court of first instance (</w:t>
            </w:r>
            <w:r>
              <w:rPr>
                <w:rFonts w:ascii="Times New Roman;Times;serif" w:hAnsi="Times New Roman;Times;serif"/>
                <w:i/>
                <w:sz w:val="20"/>
              </w:rPr>
              <w:t>Rechtbank</w:t>
            </w:r>
            <w:r>
              <w:rPr>
                <w:rFonts w:ascii="Times New Roman;Times;serif" w:hAnsi="Times New Roman;Times;serif"/>
                <w:sz w:val="20"/>
              </w:rPr>
              <w:t>) of Amsterdam, The Netherlands for the dissolution (</w:t>
            </w:r>
            <w:r>
              <w:rPr>
                <w:rFonts w:ascii="Times New Roman;Times;serif" w:hAnsi="Times New Roman;Times;serif"/>
                <w:i/>
                <w:sz w:val="20"/>
              </w:rPr>
              <w:t>ontbinding en vereffening</w:t>
            </w:r>
            <w:r>
              <w:rPr>
                <w:rFonts w:ascii="Times New Roman;Times;serif" w:hAnsi="Times New Roman;Times;serif"/>
                <w:sz w:val="20"/>
              </w:rPr>
              <w:t>) of the Company. Although not constituting conclusive evidence at 2 February 2024, this assumption is partly supported by the searches and enquiries undertaken by us as listed in Schedule 1 (</w:t>
            </w:r>
            <w:r>
              <w:rPr>
                <w:rFonts w:ascii="Times New Roman;Times;serif" w:hAnsi="Times New Roman;Times;serif"/>
                <w:i/>
                <w:sz w:val="20"/>
              </w:rPr>
              <w:t>Documents and Enquiries</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2.5</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power, capacity (corporate, regulatory and other) and authority of all parties to enter into the Opinion Documents, to perform their respective obligations thereunder, the legal capacity (</w:t>
            </w:r>
            <w:r>
              <w:rPr>
                <w:rFonts w:ascii="Times New Roman;Times;serif" w:hAnsi="Times New Roman;Times;serif"/>
                <w:i/>
                <w:sz w:val="20"/>
              </w:rPr>
              <w:t>handelingsbekwaamheid</w:t>
            </w:r>
            <w:r>
              <w:rPr>
                <w:rFonts w:ascii="Times New Roman;Times;serif" w:hAnsi="Times New Roman;Times;serif"/>
                <w:sz w:val="20"/>
              </w:rPr>
              <w:t>) of all individuals who have signed or will sign documents or have given or will give confirmations on which we have expressed reliance and that the Opinion Documents and all other agreements and documents relating thereto have been or will be (where appropriate) duly authorised, executed and delivered by all parties thereto and create valid and legally binding obligations for all parties thereto in accordance with their respective terms under any law other than that of The Netherlands.</w:t>
            </w:r>
          </w:p>
        </w:tc>
      </w:tr>
    </w:tbl>
    <w:tbl>
      <w:tblPr>
        <w:tblW w:w="2950" w:type="dxa"/>
        <w:jc w:val="left"/>
        <w:tblInd w:w="0" w:type="dxa"/>
        <w:tblLayout w:type="fixed"/>
        <w:tblCellMar>
          <w:top w:w="0" w:type="dxa"/>
          <w:left w:w="0" w:type="dxa"/>
          <w:bottom w:w="0" w:type="dxa"/>
          <w:right w:w="0" w:type="dxa"/>
        </w:tblCellMar>
      </w:tblPr>
      <w:tblGrid>
        <w:gridCol w:w="170"/>
        <w:gridCol w:w="2780"/>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278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REGULATORY COMPLIANCE</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3.1</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Ordinary Shares have been admitted for trading on a regulated market, a multilateral trading facility or a comparable trading system outside the European Economic Area as referred to in Article 2:86c (1) Dutch Civil Code.</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3.2</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issuance of Ordinary Shares, to the extent made in the Netherlands, has been, is and will be made in accordance with Regulation (EU) 2017/1129 of the European Parliament and of the Council of 14 June 2017 on the prospectus to be published when securities are offered to the public or admitted to trading on a regulated market, as well as any rules promulgated thereunder (the “</w:t>
            </w:r>
            <w:r>
              <w:rPr>
                <w:rFonts w:ascii="Times New Roman;Times;serif" w:hAnsi="Times New Roman;Times;serif"/>
                <w:b/>
                <w:sz w:val="20"/>
              </w:rPr>
              <w:t>Prospectus Regulation</w:t>
            </w:r>
            <w:r>
              <w:rPr>
                <w:rFonts w:ascii="Times New Roman;Times;serif" w:hAnsi="Times New Roman;Times;serif"/>
                <w:sz w:val="20"/>
              </w:rPr>
              <w:t>”).</w:t>
            </w:r>
          </w:p>
        </w:tc>
      </w:tr>
    </w:tbl>
    <w:tbl>
      <w:tblPr>
        <w:tblW w:w="8755" w:type="dxa"/>
        <w:jc w:val="left"/>
        <w:tblInd w:w="0" w:type="dxa"/>
        <w:tblLayout w:type="fixed"/>
        <w:tblCellMar>
          <w:top w:w="0" w:type="dxa"/>
          <w:left w:w="0" w:type="dxa"/>
          <w:bottom w:w="0" w:type="dxa"/>
          <w:right w:w="0" w:type="dxa"/>
        </w:tblCellMar>
      </w:tblPr>
      <w:tblGrid>
        <w:gridCol w:w="275"/>
        <w:gridCol w:w="848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3.3</w:t>
            </w:r>
          </w:p>
        </w:tc>
        <w:tc>
          <w:tcPr>
            <w:tcW w:w="84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Registration Statement has been or will be declared effective by the SEC in the form reviewed by us.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3.4</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authorised share capital (</w:t>
            </w:r>
            <w:r>
              <w:rPr>
                <w:rFonts w:ascii="Times New Roman;Times;serif" w:hAnsi="Times New Roman;Times;serif"/>
                <w:i/>
                <w:sz w:val="20"/>
              </w:rPr>
              <w:t>maatschappelijk kapitaal</w:t>
            </w:r>
            <w:r>
              <w:rPr>
                <w:rFonts w:ascii="Times New Roman;Times;serif" w:hAnsi="Times New Roman;Times;serif"/>
                <w:sz w:val="20"/>
              </w:rPr>
              <w:t>) of the Company has been sufficient for the Ordinary Shares and will be sufficient for the issuance of the Registered Shares.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3.5</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 any contribution in kind (</w:t>
            </w:r>
            <w:r>
              <w:rPr>
                <w:rFonts w:ascii="Times New Roman;Times;serif" w:hAnsi="Times New Roman;Times;serif"/>
                <w:i/>
                <w:sz w:val="20"/>
              </w:rPr>
              <w:t>inbreng anders dan in geld</w:t>
            </w:r>
            <w:r>
              <w:rPr>
                <w:rFonts w:ascii="Times New Roman;Times;serif" w:hAnsi="Times New Roman;Times;serif"/>
                <w:sz w:val="20"/>
              </w:rPr>
              <w:t>) on the Ordinary Shares consisting of assets not governed by Dutch law have been validly contributed and transferred to, and have been validly accepted by, the Company in satisfaction of the obligation to pay up such Ordinary Shares in full in accordance with applicable law (other than Dutch law), (ii) any formalities stipulated by applicable law (other than Dutch law) in respect of any such contribution has been complied with, and (iii) the value of any contribution in kind on the Existing Ordinary Shares is sufficient to pay up such Existing Ordinary Shares in full.</w:t>
            </w:r>
          </w:p>
        </w:tc>
      </w:tr>
    </w:tbl>
    <w:tbl>
      <w:tblPr>
        <w:tblW w:w="3865" w:type="dxa"/>
        <w:jc w:val="left"/>
        <w:tblInd w:w="0" w:type="dxa"/>
        <w:tblLayout w:type="fixed"/>
        <w:tblCellMar>
          <w:top w:w="0" w:type="dxa"/>
          <w:left w:w="0" w:type="dxa"/>
          <w:bottom w:w="0" w:type="dxa"/>
          <w:right w:w="0" w:type="dxa"/>
        </w:tblCellMar>
      </w:tblPr>
      <w:tblGrid>
        <w:gridCol w:w="170"/>
        <w:gridCol w:w="369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369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ARM’S LENGTH COMMERCIAL TERMS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Deeds of Issue are and/or will be for </w:t>
      </w:r>
      <w:r>
        <w:rPr>
          <w:rFonts w:ascii="Times New Roman;Times;serif" w:hAnsi="Times New Roman;Times;serif"/>
          <w:i/>
          <w:sz w:val="20"/>
        </w:rPr>
        <w:t xml:space="preserve">bona fide </w:t>
      </w:r>
      <w:r>
        <w:rPr>
          <w:rFonts w:ascii="Times New Roman;Times;serif" w:hAnsi="Times New Roman;Times;serif"/>
          <w:sz w:val="20"/>
        </w:rPr>
        <w:t>commercial reasons and any terms are bona fide arm’s length commercial terms.</w:t>
      </w:r>
    </w:p>
    <w:p>
      <w:pPr>
        <w:pStyle w:val="TextBody"/>
        <w:bidi w:val="0"/>
        <w:spacing w:before="0" w:after="0"/>
        <w:ind w:left="92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SCHEDULE 3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RESERVATIONS</w:t>
      </w:r>
    </w:p>
    <w:tbl>
      <w:tblPr>
        <w:tblW w:w="4840" w:type="dxa"/>
        <w:jc w:val="left"/>
        <w:tblInd w:w="0" w:type="dxa"/>
        <w:tblLayout w:type="fixed"/>
        <w:tblCellMar>
          <w:top w:w="0" w:type="dxa"/>
          <w:left w:w="0" w:type="dxa"/>
          <w:bottom w:w="0" w:type="dxa"/>
          <w:right w:w="0" w:type="dxa"/>
        </w:tblCellMar>
      </w:tblPr>
      <w:tblGrid>
        <w:gridCol w:w="170"/>
        <w:gridCol w:w="4670"/>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46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LIMITATIONS ARISING FROM INSOLVENCY LAW</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Our opinion is subject to and limited by the provisions of (i) any applicable bankruptcy, insolvency, liquidation, reorganisation, moratorium and other similar laws of general application) relating to or affecting the rights and remedies of creditors (including the doctrine of voidable preference within the meaning of Section 42 </w:t>
      </w:r>
      <w:r>
        <w:rPr>
          <w:rFonts w:ascii="Times New Roman;Times;serif" w:hAnsi="Times New Roman;Times;serif"/>
          <w:i/>
          <w:sz w:val="20"/>
        </w:rPr>
        <w:t>et.seq</w:t>
      </w:r>
      <w:r>
        <w:rPr>
          <w:rFonts w:ascii="Times New Roman;Times;serif" w:hAnsi="Times New Roman;Times;serif"/>
          <w:sz w:val="20"/>
        </w:rPr>
        <w:t>. of the Dutch Bankruptcy Act (</w:t>
      </w:r>
      <w:r>
        <w:rPr>
          <w:rFonts w:ascii="Times New Roman;Times;serif" w:hAnsi="Times New Roman;Times;serif"/>
          <w:i/>
          <w:sz w:val="20"/>
        </w:rPr>
        <w:t>Faillissementswet</w:t>
      </w:r>
      <w:r>
        <w:rPr>
          <w:rFonts w:ascii="Times New Roman;Times;serif" w:hAnsi="Times New Roman;Times;serif"/>
          <w:sz w:val="20"/>
        </w:rPr>
        <w:t>), (ii) any reconstruction, arrangement, compromise, private restructuring plan or any court ordered stay period (</w:t>
      </w:r>
      <w:r>
        <w:rPr>
          <w:rFonts w:ascii="Times New Roman;Times;serif" w:hAnsi="Times New Roman;Times;serif"/>
          <w:i/>
          <w:sz w:val="20"/>
        </w:rPr>
        <w:t>afkoelingsperiode</w:t>
      </w:r>
      <w:r>
        <w:rPr>
          <w:rFonts w:ascii="Times New Roman;Times;serif" w:hAnsi="Times New Roman;Times;serif"/>
          <w:sz w:val="20"/>
        </w:rPr>
        <w:t>) which may come into force before or after the date of this Opinion Letter and (iii) any emergency or resolution measures that may be taken by the Dutch government, any of its agencies or any financial regulator under the Dutch Financial Relations Emergency Act (</w:t>
      </w:r>
      <w:r>
        <w:rPr>
          <w:rFonts w:ascii="Times New Roman;Times;serif" w:hAnsi="Times New Roman;Times;serif"/>
          <w:i/>
          <w:sz w:val="20"/>
        </w:rPr>
        <w:t>Noodwet Financieel Verkeer</w:t>
      </w:r>
      <w:r>
        <w:rPr>
          <w:rFonts w:ascii="Times New Roman;Times;serif" w:hAnsi="Times New Roman;Times;serif"/>
          <w:sz w:val="20"/>
        </w:rPr>
        <w:t>) or under the Dutch Financial Markets Supervision Act (</w:t>
      </w:r>
      <w:r>
        <w:rPr>
          <w:rFonts w:ascii="Times New Roman;Times;serif" w:hAnsi="Times New Roman;Times;serif"/>
          <w:i/>
          <w:sz w:val="20"/>
        </w:rPr>
        <w:t>Wet op het financieel toezicht</w:t>
      </w:r>
      <w:r>
        <w:rPr>
          <w:rFonts w:ascii="Times New Roman;Times;serif" w:hAnsi="Times New Roman;Times;serif"/>
          <w:sz w:val="20"/>
        </w:rPr>
        <w:t>; hereinafter, together with its subordinate and implementing decrees and regulations, the “</w:t>
      </w:r>
      <w:r>
        <w:rPr>
          <w:rFonts w:ascii="Times New Roman;Times;serif" w:hAnsi="Times New Roman;Times;serif"/>
          <w:b/>
          <w:sz w:val="20"/>
        </w:rPr>
        <w:t>FMSA</w:t>
      </w:r>
      <w:r>
        <w:rPr>
          <w:rFonts w:ascii="Times New Roman;Times;serif" w:hAnsi="Times New Roman;Times;serif"/>
          <w:sz w:val="20"/>
        </w:rPr>
        <w:t>”);</w:t>
      </w:r>
    </w:p>
    <w:tbl>
      <w:tblPr>
        <w:tblW w:w="1960" w:type="dxa"/>
        <w:jc w:val="left"/>
        <w:tblInd w:w="0" w:type="dxa"/>
        <w:tblLayout w:type="fixed"/>
        <w:tblCellMar>
          <w:top w:w="0" w:type="dxa"/>
          <w:left w:w="0" w:type="dxa"/>
          <w:bottom w:w="0" w:type="dxa"/>
          <w:right w:w="0" w:type="dxa"/>
        </w:tblCellMar>
      </w:tblPr>
      <w:tblGrid>
        <w:gridCol w:w="170"/>
        <w:gridCol w:w="1790"/>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79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ENFORCEABILITY</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terms “</w:t>
            </w:r>
            <w:r>
              <w:rPr>
                <w:rFonts w:ascii="Times New Roman;Times;serif" w:hAnsi="Times New Roman;Times;serif"/>
                <w:i/>
                <w:sz w:val="20"/>
              </w:rPr>
              <w:t>enforceable</w:t>
            </w:r>
            <w:r>
              <w:rPr>
                <w:rFonts w:ascii="Times New Roman;Times;serif" w:hAnsi="Times New Roman;Times;serif"/>
                <w:sz w:val="20"/>
              </w:rPr>
              <w:t>”, “</w:t>
            </w:r>
            <w:r>
              <w:rPr>
                <w:rFonts w:ascii="Times New Roman;Times;serif" w:hAnsi="Times New Roman;Times;serif"/>
                <w:i/>
                <w:sz w:val="20"/>
              </w:rPr>
              <w:t>legal</w:t>
            </w:r>
            <w:r>
              <w:rPr>
                <w:rFonts w:ascii="Times New Roman;Times;serif" w:hAnsi="Times New Roman;Times;serif"/>
                <w:sz w:val="20"/>
              </w:rPr>
              <w:t>”, “</w:t>
            </w:r>
            <w:r>
              <w:rPr>
                <w:rFonts w:ascii="Times New Roman;Times;serif" w:hAnsi="Times New Roman;Times;serif"/>
                <w:i/>
                <w:sz w:val="20"/>
              </w:rPr>
              <w:t>valid</w:t>
            </w:r>
            <w:r>
              <w:rPr>
                <w:rFonts w:ascii="Times New Roman;Times;serif" w:hAnsi="Times New Roman;Times;serif"/>
                <w:sz w:val="20"/>
              </w:rPr>
              <w:t>”, “</w:t>
            </w:r>
            <w:r>
              <w:rPr>
                <w:rFonts w:ascii="Times New Roman;Times;serif" w:hAnsi="Times New Roman;Times;serif"/>
                <w:i/>
                <w:sz w:val="20"/>
              </w:rPr>
              <w:t>binding</w:t>
            </w:r>
            <w:r>
              <w:rPr>
                <w:rFonts w:ascii="Times New Roman;Times;serif" w:hAnsi="Times New Roman;Times;serif"/>
                <w:sz w:val="20"/>
              </w:rPr>
              <w:t>” (or any combination thereof) where used above, mean that the obligations assumed by the relevant party under the relevant document are of a type which Netherlands law generally recognises and enforces; they do not mean that these obligations will necessarily be enforced in all circumstances in accordance with their terms; in particular, enforcement before the courts of The Netherlands will in any event be subject to:</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2.1.1</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availability under Netherlands law of defences such as, without limitation, set-off (unless validly waived), fraud, duress, misrepresentation, undue influence, unforeseen circumstances, force majeure, error, abatement and counter-claim;</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2.1.2</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nature of the remedies available in the Dutch courts (and nothing in this Opinion Letter must be taken as indicating that specific performance or injunctive relief would be available as remedies for the enforcement of such obligations);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2.1.3</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effect of Netherlands provisions imposing prescription or limitation periods (within which suits, actions or proceedings may be brought); and</w:t>
            </w:r>
          </w:p>
        </w:tc>
      </w:tr>
    </w:tbl>
    <w:tbl>
      <w:tblPr>
        <w:tblW w:w="4548" w:type="dxa"/>
        <w:jc w:val="left"/>
        <w:tblInd w:w="0" w:type="dxa"/>
        <w:tblLayout w:type="fixed"/>
        <w:tblCellMar>
          <w:top w:w="0" w:type="dxa"/>
          <w:left w:w="0" w:type="dxa"/>
          <w:bottom w:w="0" w:type="dxa"/>
          <w:right w:w="0" w:type="dxa"/>
        </w:tblCellMar>
      </w:tblPr>
      <w:tblGrid>
        <w:gridCol w:w="23"/>
        <w:gridCol w:w="425"/>
        <w:gridCol w:w="4100"/>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2.1.4</w:t>
            </w:r>
          </w:p>
        </w:tc>
        <w:tc>
          <w:tcPr>
            <w:tcW w:w="41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acceptance by the Dutch courts of jurisdiction.</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2.2</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Furthermore, as a matter of the laws of The Netherlands, the reliance on or the enforcement of contractual terms and conditions may under certain circumstances be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contrary to the overriding principle of “fairness and reasonableness” (</w:t>
      </w:r>
      <w:r>
        <w:rPr>
          <w:rFonts w:ascii="Times New Roman;Times;serif" w:hAnsi="Times New Roman;Times;serif"/>
          <w:i/>
          <w:sz w:val="20"/>
        </w:rPr>
        <w:t>redelijkheid en billijkheid</w:t>
      </w:r>
      <w:r>
        <w:rPr>
          <w:rFonts w:ascii="Times New Roman;Times;serif" w:hAnsi="Times New Roman;Times;serif"/>
          <w:sz w:val="20"/>
        </w:rPr>
        <w:t xml:space="preserve">) which governs the relationship between the parties to an agreement and which may affect, </w:t>
      </w:r>
      <w:r>
        <w:rPr>
          <w:rFonts w:ascii="Times New Roman;Times;serif" w:hAnsi="Times New Roman;Times;serif"/>
          <w:i/>
          <w:sz w:val="20"/>
        </w:rPr>
        <w:t>inter alia</w:t>
      </w:r>
      <w:r>
        <w:rPr>
          <w:rFonts w:ascii="Times New Roman;Times;serif" w:hAnsi="Times New Roman;Times;serif"/>
          <w:sz w:val="20"/>
        </w:rPr>
        <w:t>, the reliance on and/or enforcement of contractual provisions such as the following (without any limitation):</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2.2.1</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provision in a contract or document (governed or determined to be governed by the laws of The Netherlands) providing that certain calculations or certifications are to be conclusive and binding; such a provision will not be effective if such calculations or certificates are reached on an arbitrary or unreasonable basis or are fraudulent or manifestly inaccurate and will not necessarily prevent judicial enquiry into the merits of any claim by any party thereto;</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2.2.2</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provision of any such contract or document vesting any party with a discretion or a power to determine a matter in its opinion with binding effect for the other party or parties; Dutch law may require that such discretion or power is exercised reasonably or that such opinion is based on reasonable grounds;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2.2.3</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provision of any such contract or document stating that no failure or delay in exercising any rights or remedies shall operate as a waiver of such rights or remedies (to the effect that under the proper circumstances a delay or failure to exercise a right within the contractual period of time may operate as a bar to the exercise of such rights or remedies thereafter);</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2.2.4</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provisions providing that agreements may only be amended or varied or any provision thereof waived by an instrument in writing may not be effective insofar as they suggest that modifications, amendments or waivers made orally or otherwise could not be effectively agreed upon or granted between or by the parties;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2.2.5</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provisions in an agreement stating that such agreement is the only agreement between the parties may not be effective if one of the parties proves that other agreements validly exist between the parties;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furthermore, such principle of fairness and reasonableness may in the proper circumstances impose certain additional duties upon the parties concerned, notwithstanding any provision to the contrary.</w:t>
      </w:r>
    </w:p>
    <w:tbl>
      <w:tblPr>
        <w:tblW w:w="4585" w:type="dxa"/>
        <w:jc w:val="left"/>
        <w:tblInd w:w="0" w:type="dxa"/>
        <w:tblLayout w:type="fixed"/>
        <w:tblCellMar>
          <w:top w:w="0" w:type="dxa"/>
          <w:left w:w="0" w:type="dxa"/>
          <w:bottom w:w="0" w:type="dxa"/>
          <w:right w:w="0" w:type="dxa"/>
        </w:tblCellMar>
      </w:tblPr>
      <w:tblGrid>
        <w:gridCol w:w="275"/>
        <w:gridCol w:w="431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2.3</w:t>
            </w:r>
          </w:p>
        </w:tc>
        <w:tc>
          <w:tcPr>
            <w:tcW w:w="431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Insofar as the laws of The Netherlands are concerned:</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2.3.1</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provisions in documents relating to the transfer or assignment of rights and obligations may require the execution of further documentation in order to be fully effective;</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2.3.2</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transfer of rights pursuant to an agreement to a third party does not as such entail transfer of obligations as well; under Netherlands law obligations pursuant to an agreement can in principle only be transferred to a third party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with the cooperation of the parties to the agreement; and</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2.3.3</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 agreement is only binding upon the parties to such an agreement; consequently, in principle rights can only be granted by parties to the agreement and rights pursuant to an agreement can only be enforced against the parties to the agreement; this will affect indemnities in documents in favour of a party’s directors, employees and others.</w:t>
            </w:r>
          </w:p>
        </w:tc>
      </w:tr>
    </w:tbl>
    <w:tbl>
      <w:tblPr>
        <w:tblW w:w="8800" w:type="dxa"/>
        <w:jc w:val="left"/>
        <w:tblInd w:w="0" w:type="dxa"/>
        <w:tblLayout w:type="fixed"/>
        <w:tblCellMar>
          <w:top w:w="0" w:type="dxa"/>
          <w:left w:w="0" w:type="dxa"/>
          <w:bottom w:w="0" w:type="dxa"/>
          <w:right w:w="0" w:type="dxa"/>
        </w:tblCellMar>
      </w:tblPr>
      <w:tblGrid>
        <w:gridCol w:w="275"/>
        <w:gridCol w:w="8525"/>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2.4</w:t>
            </w:r>
          </w:p>
        </w:tc>
        <w:tc>
          <w:tcPr>
            <w:tcW w:w="85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validity and enforceability of the Company’s obligations set out in the Opinion Documents, may be:</w:t>
            </w:r>
          </w:p>
        </w:tc>
      </w:tr>
    </w:tbl>
    <w:tbl>
      <w:tblPr>
        <w:tblW w:w="10205" w:type="dxa"/>
        <w:jc w:val="left"/>
        <w:tblInd w:w="0" w:type="dxa"/>
        <w:tblLayout w:type="fixed"/>
        <w:tblCellMar>
          <w:top w:w="0" w:type="dxa"/>
          <w:left w:w="0" w:type="dxa"/>
          <w:bottom w:w="0" w:type="dxa"/>
          <w:right w:w="0" w:type="dxa"/>
        </w:tblCellMar>
      </w:tblPr>
      <w:tblGrid>
        <w:gridCol w:w="23"/>
        <w:gridCol w:w="169"/>
        <w:gridCol w:w="10013"/>
      </w:tblGrid>
      <w:tr>
        <w:trPr/>
        <w:tc>
          <w:tcPr>
            <w:tcW w:w="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1001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affected by sanctions implemented or effective in The Netherlands under the Sanctions Act 1977 (</w:t>
            </w:r>
            <w:r>
              <w:rPr>
                <w:rFonts w:ascii="Times New Roman;Times;serif" w:hAnsi="Times New Roman;Times;serif"/>
                <w:i/>
                <w:sz w:val="20"/>
              </w:rPr>
              <w:t>Sanctiewet 1977</w:t>
            </w:r>
            <w:r>
              <w:rPr>
                <w:rFonts w:ascii="Times New Roman;Times;serif" w:hAnsi="Times New Roman;Times;serif"/>
                <w:sz w:val="20"/>
              </w:rPr>
              <w:t>), the General Customs Act (</w:t>
            </w:r>
            <w:r>
              <w:rPr>
                <w:rFonts w:ascii="Times New Roman;Times;serif" w:hAnsi="Times New Roman;Times;serif"/>
                <w:i/>
                <w:sz w:val="20"/>
              </w:rPr>
              <w:t>Algemene Douanewet</w:t>
            </w:r>
            <w:r>
              <w:rPr>
                <w:rFonts w:ascii="Times New Roman;Times;serif" w:hAnsi="Times New Roman;Times;serif"/>
                <w:sz w:val="20"/>
              </w:rPr>
              <w:t>) or the Economic Offences Act (</w:t>
            </w:r>
            <w:r>
              <w:rPr>
                <w:rFonts w:ascii="Times New Roman;Times;serif" w:hAnsi="Times New Roman;Times;serif"/>
                <w:i/>
                <w:sz w:val="20"/>
              </w:rPr>
              <w:t>Wet op de Economische Delicten</w:t>
            </w:r>
            <w:r>
              <w:rPr>
                <w:rFonts w:ascii="Times New Roman;Times;serif" w:hAnsi="Times New Roman;Times;serif"/>
                <w:sz w:val="20"/>
              </w:rPr>
              <w:t>); and</w:t>
            </w:r>
          </w:p>
        </w:tc>
      </w:tr>
    </w:tbl>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w:t>
            </w:r>
          </w:p>
        </w:tc>
        <w:tc>
          <w:tcPr>
            <w:tcW w:w="995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successfully contested by its creditors if such obligations are prejudicial to the interests of such creditors (and the other requirements for voidable preference (</w:t>
            </w:r>
            <w:r>
              <w:rPr>
                <w:rFonts w:ascii="Times New Roman;Times;serif" w:hAnsi="Times New Roman;Times;serif"/>
                <w:i/>
                <w:sz w:val="20"/>
              </w:rPr>
              <w:t>Pauliana</w:t>
            </w:r>
            <w:r>
              <w:rPr>
                <w:rFonts w:ascii="Times New Roman;Times;serif" w:hAnsi="Times New Roman;Times;serif"/>
                <w:sz w:val="20"/>
              </w:rPr>
              <w:t>) within the meaning of Section 3:45 of the Dutch Civil Code are met).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2.5</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term “non-assessable” has no equivalent in the Dutch language and for purposes of this opinion letter such term should be interpreted to mean that a holder of an Ordinary Share shall not by reason of merely being such a holder be subject to assessment or calls by the Company or its creditors for further payment on such Ordinary Share.</w:t>
            </w:r>
          </w:p>
        </w:tc>
      </w:tr>
    </w:tbl>
    <w:tbl>
      <w:tblPr>
        <w:tblW w:w="5275" w:type="dxa"/>
        <w:jc w:val="left"/>
        <w:tblInd w:w="0" w:type="dxa"/>
        <w:tblLayout w:type="fixed"/>
        <w:tblCellMar>
          <w:top w:w="0" w:type="dxa"/>
          <w:left w:w="0" w:type="dxa"/>
          <w:bottom w:w="0" w:type="dxa"/>
          <w:right w:w="0" w:type="dxa"/>
        </w:tblCellMar>
      </w:tblPr>
      <w:tblGrid>
        <w:gridCol w:w="170"/>
        <w:gridCol w:w="510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510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EFFECT OF INSOLVENCY ON POWERS OF ATTORNEY</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All powers of attorney (</w:t>
      </w:r>
      <w:r>
        <w:rPr>
          <w:rFonts w:ascii="Times New Roman;Times;serif" w:hAnsi="Times New Roman;Times;serif"/>
          <w:i/>
          <w:sz w:val="20"/>
        </w:rPr>
        <w:t>volmachten</w:t>
      </w:r>
      <w:r>
        <w:rPr>
          <w:rFonts w:ascii="Times New Roman;Times;serif" w:hAnsi="Times New Roman;Times;serif"/>
          <w:sz w:val="20"/>
        </w:rPr>
        <w:t>) or mandates (</w:t>
      </w:r>
      <w:r>
        <w:rPr>
          <w:rFonts w:ascii="Times New Roman;Times;serif" w:hAnsi="Times New Roman;Times;serif"/>
          <w:i/>
          <w:sz w:val="20"/>
        </w:rPr>
        <w:t>lastgevingen</w:t>
      </w:r>
      <w:r>
        <w:rPr>
          <w:rFonts w:ascii="Times New Roman;Times;serif" w:hAnsi="Times New Roman;Times;serif"/>
          <w:sz w:val="20"/>
        </w:rPr>
        <w:t>) (including, but not limited to, powers of attorney or mandates expressed to be irrevocable) granted and all appointments of agents made by the Company, explicitly or by implication, will terminate by law and without notice upon the Company’s bankruptcy (</w:t>
      </w:r>
      <w:r>
        <w:rPr>
          <w:rFonts w:ascii="Times New Roman;Times;serif" w:hAnsi="Times New Roman;Times;serif"/>
          <w:i/>
          <w:sz w:val="20"/>
        </w:rPr>
        <w:t>faillissement</w:t>
      </w:r>
      <w:r>
        <w:rPr>
          <w:rFonts w:ascii="Times New Roman;Times;serif" w:hAnsi="Times New Roman;Times;serif"/>
          <w:sz w:val="20"/>
        </w:rPr>
        <w:t>), will become ineffective upon a moratorium of payments (</w:t>
      </w:r>
      <w:r>
        <w:rPr>
          <w:rFonts w:ascii="Times New Roman;Times;serif" w:hAnsi="Times New Roman;Times;serif"/>
          <w:i/>
          <w:sz w:val="20"/>
        </w:rPr>
        <w:t>surseance van betaling</w:t>
      </w:r>
      <w:r>
        <w:rPr>
          <w:rFonts w:ascii="Times New Roman;Times;serif" w:hAnsi="Times New Roman;Times;serif"/>
          <w:sz w:val="20"/>
        </w:rPr>
        <w:t>) being imposed upon the company and, if the laws of The Netherlands are applicable, may be capable of being revoked by the Issuer.</w:t>
      </w:r>
    </w:p>
    <w:tbl>
      <w:tblPr>
        <w:tblW w:w="595" w:type="dxa"/>
        <w:jc w:val="left"/>
        <w:tblInd w:w="0" w:type="dxa"/>
        <w:tblLayout w:type="fixed"/>
        <w:tblCellMar>
          <w:top w:w="0" w:type="dxa"/>
          <w:left w:w="0" w:type="dxa"/>
          <w:bottom w:w="0" w:type="dxa"/>
          <w:right w:w="0" w:type="dxa"/>
        </w:tblCellMar>
      </w:tblPr>
      <w:tblGrid>
        <w:gridCol w:w="170"/>
        <w:gridCol w:w="42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42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TAX</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 opinion is given (or may be inferred or implied) in this Opinion Letter on any real estate transfer tax (</w:t>
      </w:r>
      <w:r>
        <w:rPr>
          <w:rFonts w:ascii="Times New Roman;Times;serif" w:hAnsi="Times New Roman;Times;serif"/>
          <w:i/>
          <w:sz w:val="20"/>
        </w:rPr>
        <w:t>overdrachtsbelasting</w:t>
      </w:r>
      <w:r>
        <w:rPr>
          <w:rFonts w:ascii="Times New Roman;Times;serif" w:hAnsi="Times New Roman;Times;serif"/>
          <w:sz w:val="20"/>
        </w:rPr>
        <w:t>) that may become due by the Company or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holder of an Ordinary Share in respect of or in connection with the execution or enforcement of the Deed Of Issue.</w:t>
      </w:r>
    </w:p>
    <w:p>
      <w:pPr>
        <w:pStyle w:val="TextBody"/>
        <w:bidi w:val="0"/>
        <w:spacing w:before="0" w:after="119"/>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95" w:name="shmd-20251231xex5d2.htm"/>
      <w:bookmarkStart w:id="2196" w:name="ksshmd20251231xex5d2"/>
      <w:bookmarkEnd w:id="2195"/>
      <w:bookmarkEnd w:id="2196"/>
      <w:r>
        <w:rPr>
          <w:rFonts w:ascii="Times New Roman;Times;serif" w:hAnsi="Times New Roman;Times;serif"/>
          <w:b/>
          <w:sz w:val="20"/>
        </w:rPr>
        <w:t>Exhibit 5.2</w:t>
      </w:r>
      <w:r>
        <w:br w:type="page"/>
      </w:r>
    </w:p>
    <w:p>
      <w:pPr>
        <w:pStyle w:val="TextBody"/>
        <w:bidi w:val="0"/>
        <w:spacing w:before="0" w:after="0"/>
        <w:ind w:left="0" w:right="0" w:hanging="0"/>
        <w:jc w:val="right"/>
        <w:rPr/>
      </w:pPr>
      <w:r>
        <w:rPr/>
        <w:t>​</w:t>
      </w:r>
    </w:p>
    <w:p>
      <w:pPr>
        <w:pStyle w:val="TextBody"/>
        <w:bidi w:val="0"/>
        <w:spacing w:before="0" w:after="0"/>
        <w:ind w:left="0" w:right="0" w:hanging="0"/>
        <w:jc w:val="left"/>
        <w:rPr/>
      </w:pPr>
      <w:r>
        <w:rPr/>
        <w:drawing>
          <wp:inline distT="0" distB="0" distL="0" distR="0">
            <wp:extent cx="2161540" cy="266700"/>
            <wp:effectExtent l="0" t="0" r="0" b="0"/>
            <wp:docPr id="65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Image3" descr=""/>
                    <pic:cNvPicPr>
                      <a:picLocks noChangeAspect="1" noChangeArrowheads="1"/>
                    </pic:cNvPicPr>
                  </pic:nvPicPr>
                  <pic:blipFill>
                    <a:blip r:embed="rId69"/>
                    <a:stretch>
                      <a:fillRect/>
                    </a:stretch>
                  </pic:blipFill>
                  <pic:spPr bwMode="auto">
                    <a:xfrm>
                      <a:off x="0" y="0"/>
                      <a:ext cx="2161540" cy="26670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487" w:type="dxa"/>
        <w:jc w:val="left"/>
        <w:tblInd w:w="0" w:type="dxa"/>
        <w:tblLayout w:type="fixed"/>
        <w:tblCellMar>
          <w:top w:w="0" w:type="dxa"/>
          <w:left w:w="0" w:type="dxa"/>
          <w:bottom w:w="0" w:type="dxa"/>
          <w:right w:w="0" w:type="dxa"/>
        </w:tblCellMar>
      </w:tblPr>
      <w:tblGrid>
        <w:gridCol w:w="2566"/>
        <w:gridCol w:w="1921"/>
      </w:tblGrid>
      <w:tr>
        <w:trPr/>
        <w:tc>
          <w:tcPr>
            <w:tcW w:w="2566" w:type="dxa"/>
            <w:tcBorders/>
            <w:vAlign w:val="center"/>
          </w:tcPr>
          <w:p>
            <w:pPr>
              <w:pStyle w:val="TableContents"/>
              <w:bidi w:val="0"/>
              <w:spacing w:before="0" w:after="0"/>
              <w:ind w:left="0" w:right="0" w:hanging="0"/>
              <w:jc w:val="left"/>
              <w:rPr>
                <w:rFonts w:ascii="Times New Roman;Times;serif" w:hAnsi="Times New Roman;Times;serif"/>
                <w:color w:val="595959"/>
                <w:sz w:val="20"/>
              </w:rPr>
            </w:pPr>
            <w:r>
              <w:rPr>
                <w:rFonts w:ascii="Times New Roman;Times;serif" w:hAnsi="Times New Roman;Times;serif"/>
                <w:color w:val="595959"/>
                <w:sz w:val="20"/>
              </w:rPr>
              <w:t>SCHMID Group N.V.</w:t>
            </w:r>
          </w:p>
        </w:tc>
        <w:tc>
          <w:tcPr>
            <w:tcW w:w="1921" w:type="dxa"/>
            <w:tcBorders/>
            <w:vAlign w:val="center"/>
          </w:tcPr>
          <w:p>
            <w:pPr>
              <w:pStyle w:val="TableContents"/>
              <w:bidi w:val="0"/>
              <w:spacing w:before="0" w:after="0"/>
              <w:ind w:left="0" w:right="0" w:hanging="0"/>
              <w:jc w:val="left"/>
              <w:rPr>
                <w:rFonts w:ascii="Times New Roman;Times;serif" w:hAnsi="Times New Roman;Times;serif"/>
                <w:color w:val="595959"/>
                <w:sz w:val="20"/>
              </w:rPr>
            </w:pPr>
            <w:r>
              <w:rPr>
                <w:rFonts w:ascii="Times New Roman;Times;serif" w:hAnsi="Times New Roman;Times;serif"/>
                <w:color w:val="595959"/>
                <w:sz w:val="20"/>
              </w:rPr>
              <w:t>July 17, 2026</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color w:val="595959"/>
                <w:sz w:val="20"/>
              </w:rPr>
            </w:pPr>
            <w:r>
              <w:rPr>
                <w:rFonts w:ascii="Times New Roman;Times;serif" w:hAnsi="Times New Roman;Times;serif"/>
                <w:color w:val="595959"/>
                <w:sz w:val="20"/>
              </w:rPr>
              <w:t>Robert-Bosch-Str. 32-36</w:t>
            </w:r>
          </w:p>
        </w:tc>
        <w:tc>
          <w:tcPr>
            <w:tcW w:w="1921" w:type="dxa"/>
            <w:tcBorders/>
            <w:vAlign w:val="center"/>
          </w:tcPr>
          <w:p>
            <w:pPr>
              <w:pStyle w:val="TableContents"/>
              <w:bidi w:val="0"/>
              <w:spacing w:before="0" w:after="0"/>
              <w:ind w:left="0" w:right="0" w:hanging="0"/>
              <w:jc w:val="left"/>
              <w:rPr/>
            </w:pPr>
            <w:r>
              <w:rPr/>
              <w:t>​</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color w:val="595959"/>
                <w:sz w:val="20"/>
              </w:rPr>
            </w:pPr>
            <w:r>
              <w:rPr>
                <w:rFonts w:ascii="Times New Roman;Times;serif" w:hAnsi="Times New Roman;Times;serif"/>
                <w:color w:val="595959"/>
                <w:sz w:val="20"/>
              </w:rPr>
              <w:t>72250 Freudenstadt, Germany</w:t>
            </w:r>
          </w:p>
        </w:tc>
        <w:tc>
          <w:tcPr>
            <w:tcW w:w="1921" w:type="dxa"/>
            <w:tcBorders/>
            <w:vAlign w:val="center"/>
          </w:tcPr>
          <w:p>
            <w:pPr>
              <w:pStyle w:val="TableContents"/>
              <w:bidi w:val="0"/>
              <w:spacing w:before="0" w:after="0"/>
              <w:ind w:left="0" w:right="0" w:hanging="0"/>
              <w:jc w:val="left"/>
              <w:rPr>
                <w:rFonts w:ascii="Times New Roman;Times;serif" w:hAnsi="Times New Roman;Times;serif"/>
                <w:color w:val="595959"/>
                <w:sz w:val="20"/>
              </w:rPr>
            </w:pPr>
            <w:r>
              <w:rPr>
                <w:rFonts w:ascii="Times New Roman;Times;serif" w:hAnsi="Times New Roman;Times;serif"/>
                <w:color w:val="595959"/>
                <w:sz w:val="20"/>
              </w:rPr>
              <w:t>Our ref: 41-41076028</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Filing of the Registration Statement on Form F-1</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Ladies and Gentlemen: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acted as special U.S. counsel to you, SCHMID Group N.V., a public limited liability company (</w:t>
      </w:r>
      <w:r>
        <w:rPr>
          <w:rFonts w:ascii="Times New Roman;Times;serif" w:hAnsi="Times New Roman;Times;serif"/>
          <w:i/>
          <w:sz w:val="20"/>
        </w:rPr>
        <w:t>naamloze venootschap</w:t>
      </w:r>
      <w:r>
        <w:rPr>
          <w:rFonts w:ascii="Times New Roman;Times;serif" w:hAnsi="Times New Roman;Times;serif"/>
          <w:sz w:val="20"/>
        </w:rPr>
        <w:t>) incorporated under the laws of the Netherlands (the “</w:t>
      </w:r>
      <w:r>
        <w:rPr>
          <w:rFonts w:ascii="Times New Roman;Times;serif" w:hAnsi="Times New Roman;Times;serif"/>
          <w:b/>
          <w:sz w:val="20"/>
        </w:rPr>
        <w:t>Company</w:t>
      </w:r>
      <w:r>
        <w:rPr>
          <w:rFonts w:ascii="Times New Roman;Times;serif" w:hAnsi="Times New Roman;Times;serif"/>
          <w:sz w:val="20"/>
        </w:rPr>
        <w:t>”), in connection with the preparation and filing by the Company with the Securities and Exchange Commission (the “</w:t>
      </w:r>
      <w:r>
        <w:rPr>
          <w:rFonts w:ascii="Times New Roman;Times;serif" w:hAnsi="Times New Roman;Times;serif"/>
          <w:b/>
          <w:sz w:val="20"/>
        </w:rPr>
        <w:t>Commission</w:t>
      </w:r>
      <w:r>
        <w:rPr>
          <w:rFonts w:ascii="Times New Roman;Times;serif" w:hAnsi="Times New Roman;Times;serif"/>
          <w:sz w:val="20"/>
        </w:rPr>
        <w:t>”) of a registration statement on Form F-1 (the “</w:t>
      </w:r>
      <w:r>
        <w:rPr>
          <w:rFonts w:ascii="Times New Roman;Times;serif" w:hAnsi="Times New Roman;Times;serif"/>
          <w:b/>
          <w:sz w:val="20"/>
        </w:rPr>
        <w:t>Registration</w:t>
      </w:r>
      <w:r>
        <w:rPr>
          <w:rFonts w:ascii="Times New Roman;Times;serif" w:hAnsi="Times New Roman;Times;serif"/>
          <w:sz w:val="20"/>
        </w:rPr>
        <w:t xml:space="preserve"> </w:t>
      </w:r>
      <w:r>
        <w:rPr>
          <w:rFonts w:ascii="Times New Roman;Times;serif" w:hAnsi="Times New Roman;Times;serif"/>
          <w:b/>
          <w:sz w:val="20"/>
        </w:rPr>
        <w:t>Statement</w:t>
      </w:r>
      <w:r>
        <w:rPr>
          <w:rFonts w:ascii="Times New Roman;Times;serif" w:hAnsi="Times New Roman;Times;serif"/>
          <w:sz w:val="20"/>
        </w:rPr>
        <w:t>”) and the related prospectus relating to the registration under the Securities Act of 1933, as amended (the “</w:t>
      </w:r>
      <w:r>
        <w:rPr>
          <w:rFonts w:ascii="Times New Roman;Times;serif" w:hAnsi="Times New Roman;Times;serif"/>
          <w:b/>
          <w:sz w:val="20"/>
        </w:rPr>
        <w:t>Securities</w:t>
      </w:r>
      <w:r>
        <w:rPr>
          <w:rFonts w:ascii="Times New Roman;Times;serif" w:hAnsi="Times New Roman;Times;serif"/>
          <w:sz w:val="20"/>
        </w:rPr>
        <w:t xml:space="preserve"> </w:t>
      </w:r>
      <w:r>
        <w:rPr>
          <w:rFonts w:ascii="Times New Roman;Times;serif" w:hAnsi="Times New Roman;Times;serif"/>
          <w:b/>
          <w:sz w:val="20"/>
        </w:rPr>
        <w:t>Act</w:t>
      </w:r>
      <w:r>
        <w:rPr>
          <w:rFonts w:ascii="Times New Roman;Times;serif" w:hAnsi="Times New Roman;Times;serif"/>
          <w:sz w:val="20"/>
        </w:rPr>
        <w:t>”) of 10,362,693 ordinary shares of the Company (the “</w:t>
      </w:r>
      <w:r>
        <w:rPr>
          <w:rFonts w:ascii="Times New Roman;Times;serif" w:hAnsi="Times New Roman;Times;serif"/>
          <w:b/>
          <w:sz w:val="20"/>
        </w:rPr>
        <w:t>Opinion</w:t>
      </w:r>
      <w:r>
        <w:rPr>
          <w:rFonts w:ascii="Times New Roman;Times;serif" w:hAnsi="Times New Roman;Times;serif"/>
          <w:sz w:val="20"/>
        </w:rPr>
        <w:t xml:space="preserve"> </w:t>
      </w:r>
      <w:r>
        <w:rPr>
          <w:rFonts w:ascii="Times New Roman;Times;serif" w:hAnsi="Times New Roman;Times;serif"/>
          <w:b/>
          <w:sz w:val="20"/>
        </w:rPr>
        <w:t>Securities</w:t>
      </w:r>
      <w:r>
        <w:rPr>
          <w:rFonts w:ascii="Times New Roman;Times;serif" w:hAnsi="Times New Roman;Times;serif"/>
          <w:sz w:val="20"/>
        </w:rPr>
        <w:t>”) issuable upon the conversion of convertible notes issued on July 14, 2026 in principal amount of USD 20 million (the “</w:t>
      </w:r>
      <w:r>
        <w:rPr>
          <w:rFonts w:ascii="Times New Roman;Times;serif" w:hAnsi="Times New Roman;Times;serif"/>
          <w:b/>
          <w:sz w:val="20"/>
        </w:rPr>
        <w:t>2029 Convertible Notes</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purposes of this opinion letter we have examined such matters of fact and questions of law as we have considered appropriate and have reviewed the Documents (as defined in Annex A). With your consent, we have relied upon certificates and other assurances of officers of the Company and others as to factual matters without having independently verified such factual matters.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rendering the opinion set forth below, we have assumed: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genuineness of all 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legal capacity of natural persons;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authenticity of all documents submitted to us as originals;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conformity to original documents of all documents submitted to us as duplicates or conformed copies;</w:t>
      </w:r>
    </w:p>
    <w:p>
      <w:pPr>
        <w:pStyle w:val="TextBody"/>
        <w:bidi w:val="0"/>
        <w:spacing w:before="0" w:after="240"/>
        <w:ind w:left="360" w:right="0" w:hanging="0"/>
        <w:jc w:val="both"/>
        <w:rPr/>
      </w:pPr>
      <w:r>
        <w:rPr/>
        <w:t>​</w:t>
      </w:r>
    </w:p>
    <w:p>
      <w:pPr>
        <w:pStyle w:val="TextBody"/>
        <w:bidi w:val="0"/>
        <w:spacing w:before="0" w:after="240"/>
        <w:ind w:left="0" w:right="0" w:hanging="0"/>
        <w:jc w:val="both"/>
        <w:rPr/>
      </w:pPr>
      <w:r>
        <w:rPr/>
        <w:t>​</w:t>
      </w:r>
    </w:p>
    <w:p>
      <w:pPr>
        <w:pStyle w:val="TextBody"/>
        <w:bidi w:val="0"/>
        <w:spacing w:before="200" w:after="0"/>
        <w:ind w:left="0" w:right="0" w:hanging="0"/>
        <w:jc w:val="both"/>
        <w:rPr>
          <w:rFonts w:ascii="Times New Roman;Times;serif" w:hAnsi="Times New Roman;Times;serif"/>
          <w:b/>
          <w:sz w:val="16"/>
        </w:rPr>
      </w:pPr>
      <w:r>
        <w:rPr>
          <w:rFonts w:ascii="Times New Roman;Times;serif" w:hAnsi="Times New Roman;Times;serif"/>
          <w:b/>
          <w:sz w:val="16"/>
        </w:rPr>
        <w:t>Clifford Chance Partnerschaft mit beschränkter Berufshaftung</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Postfach 11 14 42 · 60049 Frankfurt am Main · Junghofstraße 14 · 60311 Frankfurt am Main cliffordchance.com</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color w:val="595959"/>
          <w:sz w:val="16"/>
        </w:rPr>
      </w:pPr>
      <w:r>
        <w:rPr>
          <w:rFonts w:ascii="Times New Roman;Times;serif" w:hAnsi="Times New Roman;Times;serif"/>
          <w:color w:val="595959"/>
          <w:sz w:val="16"/>
        </w:rPr>
        <w:t>Clifford Chance Partnerschaft mit beschränkter Berufshaftung von Rechtsanwälten, Steuerberatern und Solicitors · Sitz: Frankfurt am Main · AG Frankfurt am Main PR 2669</w:t>
      </w:r>
    </w:p>
    <w:p>
      <w:pPr>
        <w:pStyle w:val="TextBody"/>
        <w:bidi w:val="0"/>
        <w:spacing w:before="0" w:after="0"/>
        <w:ind w:left="0" w:right="0" w:hanging="0"/>
        <w:jc w:val="center"/>
        <w:rPr>
          <w:caps/>
        </w:rPr>
      </w:pPr>
      <w:r>
        <w:rPr>
          <w:caps/>
        </w:rPr>
        <w:t>​</w:t>
      </w:r>
    </w:p>
    <w:tbl>
      <w:tblPr>
        <w:tblW w:w="271" w:type="dxa"/>
        <w:jc w:val="left"/>
        <w:tblInd w:w="0" w:type="dxa"/>
        <w:tblLayout w:type="fixed"/>
        <w:tblCellMar>
          <w:top w:w="28" w:type="dxa"/>
          <w:left w:w="0" w:type="dxa"/>
          <w:bottom w:w="0" w:type="dxa"/>
          <w:right w:w="0" w:type="dxa"/>
        </w:tblCellMar>
      </w:tblPr>
      <w:tblGrid>
        <w:gridCol w:w="271"/>
      </w:tblGrid>
      <w:tr>
        <w:trPr/>
        <w:tc>
          <w:tcPr>
            <w:tcW w:w="271" w:type="dxa"/>
            <w:tcBorders>
              <w:top w:val="single" w:sz="2" w:space="0" w:color="4053FC"/>
            </w:tcBorders>
            <w:vAlign w:val="center"/>
          </w:tcPr>
          <w:p>
            <w:pPr>
              <w:pStyle w:val="TableContents"/>
              <w:bidi w:val="0"/>
              <w:spacing w:before="120" w:after="120"/>
              <w:ind w:left="0" w:right="0" w:hanging="0"/>
              <w:jc w:val="center"/>
              <w:rPr>
                <w:rFonts w:ascii="Times New Roman;Times;serif" w:hAnsi="Times New Roman;Times;serif"/>
                <w:caps/>
                <w:sz w:val="20"/>
              </w:rPr>
            </w:pPr>
            <w:r>
              <w:rPr>
                <w:rFonts w:ascii="Times New Roman;Times;serif" w:hAnsi="Times New Roman;Times;serif"/>
                <w:caps/>
                <w:sz w:val="20"/>
              </w:rPr>
              <w:t>1</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7016" w:type="dxa"/>
        <w:jc w:val="left"/>
        <w:tblInd w:w="0" w:type="dxa"/>
        <w:tblLayout w:type="fixed"/>
        <w:tblCellMar>
          <w:top w:w="0" w:type="dxa"/>
          <w:left w:w="0" w:type="dxa"/>
          <w:bottom w:w="0" w:type="dxa"/>
          <w:right w:w="0" w:type="dxa"/>
        </w:tblCellMar>
      </w:tblPr>
      <w:tblGrid>
        <w:gridCol w:w="3505"/>
        <w:gridCol w:w="3511"/>
      </w:tblGrid>
      <w:tr>
        <w:trPr/>
        <w:tc>
          <w:tcPr>
            <w:tcW w:w="3505" w:type="dxa"/>
            <w:tcBorders/>
            <w:vAlign w:val="center"/>
          </w:tcPr>
          <w:p>
            <w:pPr>
              <w:pStyle w:val="TableContents"/>
              <w:bidi w:val="0"/>
              <w:spacing w:before="0" w:after="0"/>
              <w:ind w:left="0" w:right="0" w:hanging="0"/>
              <w:jc w:val="left"/>
              <w:rPr/>
            </w:pPr>
            <w:r>
              <w:rPr/>
              <w:drawing>
                <wp:inline distT="0" distB="0" distL="0" distR="0">
                  <wp:extent cx="2161540" cy="266700"/>
                  <wp:effectExtent l="0" t="0" r="0" b="0"/>
                  <wp:docPr id="65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 name="Image4" descr=""/>
                          <pic:cNvPicPr>
                            <a:picLocks noChangeAspect="1" noChangeArrowheads="1"/>
                          </pic:cNvPicPr>
                        </pic:nvPicPr>
                        <pic:blipFill>
                          <a:blip r:embed="rId70"/>
                          <a:stretch>
                            <a:fillRect/>
                          </a:stretch>
                        </pic:blipFill>
                        <pic:spPr bwMode="auto">
                          <a:xfrm>
                            <a:off x="0" y="0"/>
                            <a:ext cx="2161540" cy="266700"/>
                          </a:xfrm>
                          <a:prstGeom prst="rect">
                            <a:avLst/>
                          </a:prstGeom>
                        </pic:spPr>
                      </pic:pic>
                    </a:graphicData>
                  </a:graphic>
                </wp:inline>
              </w:drawing>
            </w:r>
          </w:p>
        </w:tc>
        <w:tc>
          <w:tcPr>
            <w:tcW w:w="351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Clifford Chance</w:t>
            </w:r>
          </w:p>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Partnerschaft mit beschränkter Berufshaftung</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100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as to matters of fact, the truthfulness of the representations and warranties made or to be made (as applicable) by the parties to the Documents and the truthfulness of the representations made in certificates or comparable documents of public officials and officers of the Company;</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w:t>
            </w:r>
          </w:p>
        </w:tc>
        <w:tc>
          <w:tcPr>
            <w:tcW w:w="100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Company (i) is duly incorporated and is validly existing and in good standing, (ii) has requisite legal status and legal capacity under the laws of the jurisdiction of its organization, (iii) has complied and will comply with all aspects of the laws of the jurisdiction of its organization in connection with the transactions contemplated by, and the performance of its obligations under, the Documents, and (iv) has the corporate power and authority to execute, deliver and perform all its obligations under the Documents; and</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g.</w:t>
            </w:r>
          </w:p>
        </w:tc>
        <w:tc>
          <w:tcPr>
            <w:tcW w:w="100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neither the execution and delivery by the Company of the Documents nor the performance by the Company of its obligations thereunder, including the issuance and sale of the Opinion Securities (i) conflicts or will conflict with the Company’s articles of association, (ii) constitutes or will constitute a violation of, or a default under, any lease, indenture, instrument or other agreement to which the Company or its property is subject, (iii) contravenes or will contravene any order or decree of any governmental authority to which the Company or its property is subject, (iv) violates or will violate any law, rule or regulation to which the Company or its property is subject (except that we do not make the assumption set forth in this clause (iv) with respect to the Opined-on Law (as defined below)), or (v) requires or will require the consent, approval, licensing or authorization of, or any filing, recording or registration with, any governmental authority under any law, rule, or regulation of any jurisdiction.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independently established the validity of the foregoing assumptions.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upon the foregoing, and subject to the qualifications, assumptions and limitations stated herein, we are of the opinion that the Opinion Securities, assuming the due authorization, execution and delivery of the Documents and the fulfilment of all obligations stated therein, constitute the legal, valid, and binding obligations of the Company, enforceable against the Company in accordance with their terms, under the laws of the State of New York.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opinion set forth herein is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(iii) the invalidity under certain circumstances under law or court decisions of provisions providing for the indemnification of or </w:t>
      </w:r>
    </w:p>
    <w:p>
      <w:pPr>
        <w:pStyle w:val="TextBody"/>
        <w:bidi w:val="0"/>
        <w:spacing w:before="0" w:after="0"/>
        <w:ind w:left="0" w:right="0" w:hanging="0"/>
        <w:jc w:val="left"/>
        <w:rPr/>
      </w:pPr>
      <w:r>
        <w:rPr/>
        <w:t>​</w:t>
      </w:r>
    </w:p>
    <w:p>
      <w:pPr>
        <w:pStyle w:val="TextBody"/>
        <w:bidi w:val="0"/>
        <w:spacing w:before="280" w:after="0"/>
        <w:ind w:left="0" w:right="0" w:hanging="0"/>
        <w:jc w:val="center"/>
        <w:rPr>
          <w:caps/>
        </w:rPr>
      </w:pPr>
      <w:r>
        <w:rPr>
          <w:caps/>
        </w:rPr>
        <w:t>​</w:t>
      </w:r>
    </w:p>
    <w:tbl>
      <w:tblPr>
        <w:tblW w:w="271" w:type="dxa"/>
        <w:jc w:val="left"/>
        <w:tblInd w:w="0" w:type="dxa"/>
        <w:tblLayout w:type="fixed"/>
        <w:tblCellMar>
          <w:top w:w="28" w:type="dxa"/>
          <w:left w:w="0" w:type="dxa"/>
          <w:bottom w:w="0" w:type="dxa"/>
          <w:right w:w="0" w:type="dxa"/>
        </w:tblCellMar>
      </w:tblPr>
      <w:tblGrid>
        <w:gridCol w:w="271"/>
      </w:tblGrid>
      <w:tr>
        <w:trPr/>
        <w:tc>
          <w:tcPr>
            <w:tcW w:w="271" w:type="dxa"/>
            <w:tcBorders>
              <w:top w:val="single" w:sz="2" w:space="0" w:color="4053FC"/>
            </w:tcBorders>
            <w:vAlign w:val="center"/>
          </w:tcPr>
          <w:p>
            <w:pPr>
              <w:pStyle w:val="TableContents"/>
              <w:bidi w:val="0"/>
              <w:spacing w:before="120" w:after="120"/>
              <w:ind w:left="0" w:right="0" w:hanging="0"/>
              <w:jc w:val="center"/>
              <w:rPr>
                <w:rFonts w:ascii="Times New Roman;Times;serif" w:hAnsi="Times New Roman;Times;serif"/>
                <w:caps/>
                <w:sz w:val="20"/>
              </w:rPr>
            </w:pPr>
            <w:r>
              <w:rPr>
                <w:rFonts w:ascii="Times New Roman;Times;serif" w:hAnsi="Times New Roman;Times;serif"/>
                <w:caps/>
                <w:sz w:val="20"/>
              </w:rPr>
              <w:t>2</w:t>
            </w:r>
          </w:p>
        </w:tc>
      </w:tr>
    </w:tbl>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tbl>
      <w:tblPr>
        <w:tblW w:w="7016" w:type="dxa"/>
        <w:jc w:val="left"/>
        <w:tblInd w:w="0" w:type="dxa"/>
        <w:tblLayout w:type="fixed"/>
        <w:tblCellMar>
          <w:top w:w="0" w:type="dxa"/>
          <w:left w:w="0" w:type="dxa"/>
          <w:bottom w:w="0" w:type="dxa"/>
          <w:right w:w="0" w:type="dxa"/>
        </w:tblCellMar>
      </w:tblPr>
      <w:tblGrid>
        <w:gridCol w:w="3505"/>
        <w:gridCol w:w="3511"/>
      </w:tblGrid>
      <w:tr>
        <w:trPr/>
        <w:tc>
          <w:tcPr>
            <w:tcW w:w="3505" w:type="dxa"/>
            <w:tcBorders/>
            <w:vAlign w:val="center"/>
          </w:tcPr>
          <w:p>
            <w:pPr>
              <w:pStyle w:val="TableContents"/>
              <w:bidi w:val="0"/>
              <w:spacing w:before="0" w:after="0"/>
              <w:ind w:left="0" w:right="0" w:hanging="0"/>
              <w:jc w:val="left"/>
              <w:rPr/>
            </w:pPr>
            <w:r>
              <w:rPr/>
              <w:drawing>
                <wp:inline distT="0" distB="0" distL="0" distR="0">
                  <wp:extent cx="2161540" cy="266700"/>
                  <wp:effectExtent l="0" t="0" r="0" b="0"/>
                  <wp:docPr id="65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Image5" descr=""/>
                          <pic:cNvPicPr>
                            <a:picLocks noChangeAspect="1" noChangeArrowheads="1"/>
                          </pic:cNvPicPr>
                        </pic:nvPicPr>
                        <pic:blipFill>
                          <a:blip r:embed="rId71"/>
                          <a:stretch>
                            <a:fillRect/>
                          </a:stretch>
                        </pic:blipFill>
                        <pic:spPr bwMode="auto">
                          <a:xfrm>
                            <a:off x="0" y="0"/>
                            <a:ext cx="2161540" cy="266700"/>
                          </a:xfrm>
                          <a:prstGeom prst="rect">
                            <a:avLst/>
                          </a:prstGeom>
                        </pic:spPr>
                      </pic:pic>
                    </a:graphicData>
                  </a:graphic>
                </wp:inline>
              </w:drawing>
            </w:r>
          </w:p>
        </w:tc>
        <w:tc>
          <w:tcPr>
            <w:tcW w:w="351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Clifford Chance</w:t>
            </w:r>
          </w:p>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Partnerschaft mit beschränkter Berufshaftung</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contribution to a party with respect to a liability where such indemnification or contribution is contrary to public policy.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the creation, validity, attachment, perfection, or priority of any lien or security interest, (f) advance waivers of claims, defenses, rights granted by law, or notice, opportunity for hearing, evidentiary requirements, statutes of limitation, trial by jury or at law, or other procedural rights, (g) waivers of broadly or vaguely stated rights, (h) provisions for exclusivity, election or cumulation of rights or remedies, (i) provisions authorizing or validating conclusive or discretionary determinations, (j) grants of setoff rights, (k) proxies, powers and trusts, (l) provisions prohibiting, restricting, or requiring consent to assignment or transfer of any right or property, and (m) the severability, if invalid, of provisions to the foregoing effect.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opinion is rendered as of the date hereof, and we disclaim any undertaking to advise you hereafter of developments hereafter occurring or coming to our attention, whether or not the same would (if now existing and known to us) cause any change or modification herein.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foregoing opinions are limited to the laws of the State of New York and the federal laws of the United Stated of America (the “</w:t>
      </w:r>
      <w:r>
        <w:rPr>
          <w:rFonts w:ascii="Times New Roman;Times;serif" w:hAnsi="Times New Roman;Times;serif"/>
          <w:b/>
          <w:sz w:val="20"/>
        </w:rPr>
        <w:t>Opined-on Law</w:t>
      </w:r>
      <w:r>
        <w:rPr>
          <w:rFonts w:ascii="Times New Roman;Times;serif" w:hAnsi="Times New Roman;Times;serif"/>
          <w:sz w:val="20"/>
        </w:rPr>
        <w:t>”) and we are expressing no opinion with respect to the laws of any other jurisdiction.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hereby consent to the filing of this opinion letter as an Exhibit to the Registration Statement and to the use of our name under the caption “Legal Matters” in the prospectus forming part of the Registration Statement and any amendments thereto. In giving such consent, we do not hereby admit that we are within the category of persons whose consent is required under Section 7 of the Securities Act, and the rules and regulations of the Commission promulgated thereunder.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Very truly yours,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 Clifford Chance PmbB</w:t>
      </w:r>
    </w:p>
    <w:p>
      <w:pPr>
        <w:pStyle w:val="TextBody"/>
        <w:bidi w:val="0"/>
        <w:spacing w:before="0" w:after="0"/>
        <w:ind w:left="0" w:right="0" w:hanging="0"/>
        <w:jc w:val="left"/>
        <w:rPr/>
      </w:pPr>
      <w:r>
        <w:rPr/>
        <w:t>​</w:t>
      </w:r>
    </w:p>
    <w:p>
      <w:pPr>
        <w:pStyle w:val="TextBody"/>
        <w:bidi w:val="0"/>
        <w:spacing w:before="280" w:after="0"/>
        <w:ind w:left="0" w:right="0" w:hanging="0"/>
        <w:jc w:val="center"/>
        <w:rPr>
          <w:caps/>
        </w:rPr>
      </w:pPr>
      <w:r>
        <w:rPr>
          <w:caps/>
        </w:rPr>
        <w:t>​</w:t>
      </w:r>
    </w:p>
    <w:tbl>
      <w:tblPr>
        <w:tblW w:w="271" w:type="dxa"/>
        <w:jc w:val="left"/>
        <w:tblInd w:w="0" w:type="dxa"/>
        <w:tblLayout w:type="fixed"/>
        <w:tblCellMar>
          <w:top w:w="28" w:type="dxa"/>
          <w:left w:w="0" w:type="dxa"/>
          <w:bottom w:w="0" w:type="dxa"/>
          <w:right w:w="0" w:type="dxa"/>
        </w:tblCellMar>
      </w:tblPr>
      <w:tblGrid>
        <w:gridCol w:w="271"/>
      </w:tblGrid>
      <w:tr>
        <w:trPr/>
        <w:tc>
          <w:tcPr>
            <w:tcW w:w="271" w:type="dxa"/>
            <w:tcBorders>
              <w:top w:val="single" w:sz="2" w:space="0" w:color="4053FC"/>
            </w:tcBorders>
            <w:vAlign w:val="center"/>
          </w:tcPr>
          <w:p>
            <w:pPr>
              <w:pStyle w:val="TableContents"/>
              <w:bidi w:val="0"/>
              <w:spacing w:before="120" w:after="120"/>
              <w:ind w:left="0" w:right="0" w:hanging="0"/>
              <w:jc w:val="center"/>
              <w:rPr>
                <w:rFonts w:ascii="Times New Roman;Times;serif" w:hAnsi="Times New Roman;Times;serif"/>
                <w:caps/>
                <w:sz w:val="20"/>
              </w:rPr>
            </w:pPr>
            <w:r>
              <w:rPr>
                <w:rFonts w:ascii="Times New Roman;Times;serif" w:hAnsi="Times New Roman;Times;serif"/>
                <w:caps/>
                <w:sz w:val="20"/>
              </w:rPr>
              <w:t>3</w:t>
            </w:r>
          </w:p>
        </w:tc>
      </w:tr>
    </w:tbl>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tbl>
      <w:tblPr>
        <w:tblW w:w="7016" w:type="dxa"/>
        <w:jc w:val="left"/>
        <w:tblInd w:w="0" w:type="dxa"/>
        <w:tblLayout w:type="fixed"/>
        <w:tblCellMar>
          <w:top w:w="0" w:type="dxa"/>
          <w:left w:w="0" w:type="dxa"/>
          <w:bottom w:w="0" w:type="dxa"/>
          <w:right w:w="0" w:type="dxa"/>
        </w:tblCellMar>
      </w:tblPr>
      <w:tblGrid>
        <w:gridCol w:w="3505"/>
        <w:gridCol w:w="3511"/>
      </w:tblGrid>
      <w:tr>
        <w:trPr/>
        <w:tc>
          <w:tcPr>
            <w:tcW w:w="3505" w:type="dxa"/>
            <w:tcBorders/>
            <w:vAlign w:val="center"/>
          </w:tcPr>
          <w:p>
            <w:pPr>
              <w:pStyle w:val="TableContents"/>
              <w:bidi w:val="0"/>
              <w:spacing w:before="0" w:after="0"/>
              <w:ind w:left="0" w:right="0" w:hanging="0"/>
              <w:jc w:val="left"/>
              <w:rPr/>
            </w:pPr>
            <w:r>
              <w:rPr/>
              <w:drawing>
                <wp:inline distT="0" distB="0" distL="0" distR="0">
                  <wp:extent cx="2161540" cy="266700"/>
                  <wp:effectExtent l="0" t="0" r="0" b="0"/>
                  <wp:docPr id="65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 name="Image6" descr=""/>
                          <pic:cNvPicPr>
                            <a:picLocks noChangeAspect="1" noChangeArrowheads="1"/>
                          </pic:cNvPicPr>
                        </pic:nvPicPr>
                        <pic:blipFill>
                          <a:blip r:embed="rId72"/>
                          <a:stretch>
                            <a:fillRect/>
                          </a:stretch>
                        </pic:blipFill>
                        <pic:spPr bwMode="auto">
                          <a:xfrm>
                            <a:off x="0" y="0"/>
                            <a:ext cx="2161540" cy="266700"/>
                          </a:xfrm>
                          <a:prstGeom prst="rect">
                            <a:avLst/>
                          </a:prstGeom>
                        </pic:spPr>
                      </pic:pic>
                    </a:graphicData>
                  </a:graphic>
                </wp:inline>
              </w:drawing>
            </w:r>
          </w:p>
        </w:tc>
        <w:tc>
          <w:tcPr>
            <w:tcW w:w="351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Clifford Chance</w:t>
            </w:r>
          </w:p>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Partnerschaft mit beschränkter Berufshaftung</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Annex 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purposes of issuing this opinion letter we have reviewed</w:t>
      </w:r>
    </w:p>
    <w:tbl>
      <w:tblPr>
        <w:tblW w:w="6490" w:type="dxa"/>
        <w:jc w:val="left"/>
        <w:tblInd w:w="0" w:type="dxa"/>
        <w:tblLayout w:type="fixed"/>
        <w:tblCellMar>
          <w:top w:w="0" w:type="dxa"/>
          <w:left w:w="0" w:type="dxa"/>
          <w:bottom w:w="0" w:type="dxa"/>
          <w:right w:w="0" w:type="dxa"/>
        </w:tblCellMar>
      </w:tblPr>
      <w:tblGrid>
        <w:gridCol w:w="155"/>
        <w:gridCol w:w="6335"/>
      </w:tblGrid>
      <w:tr>
        <w:trPr/>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63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 electronic copy of the executed Investment Agreement dated July 7, 2026;</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 electronic copy of the executed Indenture dated July 14, 2026 relating to the issuance of the Notes between the Issuer, the Guarantors and the Trustee;</w:t>
            </w:r>
          </w:p>
        </w:tc>
      </w:tr>
    </w:tbl>
    <w:tbl>
      <w:tblPr>
        <w:tblW w:w="6175" w:type="dxa"/>
        <w:jc w:val="left"/>
        <w:tblInd w:w="0" w:type="dxa"/>
        <w:tblLayout w:type="fixed"/>
        <w:tblCellMar>
          <w:top w:w="0" w:type="dxa"/>
          <w:left w:w="0" w:type="dxa"/>
          <w:bottom w:w="0" w:type="dxa"/>
          <w:right w:w="0" w:type="dxa"/>
        </w:tblCellMar>
      </w:tblPr>
      <w:tblGrid>
        <w:gridCol w:w="155"/>
        <w:gridCol w:w="6020"/>
      </w:tblGrid>
      <w:tr>
        <w:trPr/>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60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144a Global Note of the 2029 Convertible Notes dated July 14, 2026; and</w:t>
            </w:r>
          </w:p>
        </w:tc>
      </w:tr>
    </w:tbl>
    <w:tbl>
      <w:tblPr>
        <w:tblW w:w="5905" w:type="dxa"/>
        <w:jc w:val="left"/>
        <w:tblInd w:w="0" w:type="dxa"/>
        <w:tblLayout w:type="fixed"/>
        <w:tblCellMar>
          <w:top w:w="0" w:type="dxa"/>
          <w:left w:w="0" w:type="dxa"/>
          <w:bottom w:w="0" w:type="dxa"/>
          <w:right w:w="0" w:type="dxa"/>
        </w:tblCellMar>
      </w:tblPr>
      <w:tblGrid>
        <w:gridCol w:w="170"/>
        <w:gridCol w:w="573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57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Reg S Global Note of the 2029 Convertible Notes dated July 14, 2026.</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together the “</w:t>
      </w:r>
      <w:r>
        <w:rPr>
          <w:rFonts w:ascii="Times New Roman;Times;serif" w:hAnsi="Times New Roman;Times;serif"/>
          <w:b/>
          <w:sz w:val="20"/>
        </w:rPr>
        <w:t>Documents</w:t>
      </w:r>
      <w:r>
        <w:rPr>
          <w:rFonts w:ascii="Times New Roman;Times;serif" w:hAnsi="Times New Roman;Times;serif"/>
          <w:sz w:val="20"/>
        </w:rPr>
        <w:t>”).</w:t>
      </w:r>
    </w:p>
    <w:p>
      <w:pPr>
        <w:pStyle w:val="TextBody"/>
        <w:bidi w:val="0"/>
        <w:spacing w:before="280" w:after="0"/>
        <w:ind w:left="0" w:right="0" w:hanging="0"/>
        <w:jc w:val="center"/>
        <w:rPr>
          <w:caps/>
        </w:rPr>
      </w:pPr>
      <w:r>
        <w:rPr>
          <w:caps/>
        </w:rPr>
        <w:t>​</w:t>
      </w:r>
    </w:p>
    <w:tbl>
      <w:tblPr>
        <w:tblW w:w="271" w:type="dxa"/>
        <w:jc w:val="left"/>
        <w:tblInd w:w="0" w:type="dxa"/>
        <w:tblLayout w:type="fixed"/>
        <w:tblCellMar>
          <w:top w:w="28" w:type="dxa"/>
          <w:left w:w="0" w:type="dxa"/>
          <w:bottom w:w="0" w:type="dxa"/>
          <w:right w:w="0" w:type="dxa"/>
        </w:tblCellMar>
      </w:tblPr>
      <w:tblGrid>
        <w:gridCol w:w="271"/>
      </w:tblGrid>
      <w:tr>
        <w:trPr/>
        <w:tc>
          <w:tcPr>
            <w:tcW w:w="271" w:type="dxa"/>
            <w:tcBorders>
              <w:top w:val="single" w:sz="2" w:space="0" w:color="4053FC"/>
            </w:tcBorders>
            <w:vAlign w:val="center"/>
          </w:tcPr>
          <w:p>
            <w:pPr>
              <w:pStyle w:val="TableContents"/>
              <w:bidi w:val="0"/>
              <w:spacing w:before="120" w:after="120"/>
              <w:ind w:left="0" w:right="0" w:hanging="0"/>
              <w:jc w:val="center"/>
              <w:rPr>
                <w:rFonts w:ascii="Times New Roman;Times;serif" w:hAnsi="Times New Roman;Times;serif"/>
                <w:caps/>
                <w:sz w:val="20"/>
              </w:rPr>
            </w:pPr>
            <w:r>
              <w:rPr>
                <w:rFonts w:ascii="Times New Roman;Times;serif" w:hAnsi="Times New Roman;Times;serif"/>
                <w:caps/>
                <w:sz w:val="20"/>
              </w:rPr>
              <w:t>4</w:t>
            </w:r>
          </w:p>
        </w:tc>
      </w:tr>
    </w:tbl>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197" w:name="shmd-20251231xex23d1.htm"/>
      <w:bookmarkStart w:id="2198" w:name="ksshmd20251231xex23d1"/>
      <w:bookmarkEnd w:id="2197"/>
      <w:bookmarkEnd w:id="2198"/>
      <w:r>
        <w:rPr>
          <w:rFonts w:ascii="Times New Roman;Times;serif" w:hAnsi="Times New Roman;Times;serif"/>
          <w:b/>
          <w:sz w:val="20"/>
        </w:rPr>
        <w:t>Exhibit 23.1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consent to the use of our report dated May 15, 2026, with respect to the consolidated financial statements of SCHMID Group N.V., included herein and to the reference to our firm under the heading “Experts” in the prospectus.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KPMG AG Wirtschaftsprüfungsgesellschaft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Stuttgart, Germany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July 17, 2026</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199" w:name="shmd-20251231xexfees.htm"/>
      <w:bookmarkStart w:id="2200" w:name="ksshmd20251231xexfees"/>
      <w:bookmarkStart w:id="2201" w:name="shmd-20251231xexfees.htm"/>
      <w:bookmarkStart w:id="2202" w:name="ksshmd20251231xexfees"/>
      <w:bookmarkEnd w:id="2201"/>
      <w:bookmarkEnd w:id="2202"/>
      <w:r>
        <w:br w:type="page"/>
      </w:r>
    </w:p>
    <w:tbl>
      <w:tblPr>
        <w:tblW w:w="3572" w:type="dxa"/>
        <w:jc w:val="left"/>
        <w:tblInd w:w="0" w:type="dxa"/>
        <w:tblLayout w:type="fixed"/>
        <w:tblCellMar>
          <w:top w:w="28" w:type="dxa"/>
          <w:left w:w="28" w:type="dxa"/>
          <w:bottom w:w="28" w:type="dxa"/>
          <w:right w:w="28" w:type="dxa"/>
        </w:tblCellMar>
      </w:tblPr>
      <w:tblGrid>
        <w:gridCol w:w="3418"/>
        <w:gridCol w:w="154"/>
      </w:tblGrid>
      <w:tr>
        <w:trPr/>
        <w:tc>
          <w:tcPr>
            <w:tcW w:w="3572"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8" w:type="dxa"/>
            <w:tcBorders/>
            <w:vAlign w:val="center"/>
          </w:tcPr>
          <w:p>
            <w:pPr>
              <w:pStyle w:val="TableContents"/>
              <w:bidi w:val="0"/>
              <w:spacing w:before="0" w:after="283"/>
              <w:jc w:val="left"/>
              <w:rPr>
                <w:b/>
              </w:rPr>
            </w:pPr>
            <w:r>
              <w:rPr>
                <w:b/>
              </w:rPr>
              <w:t xml:space="preserve">F-1 </w:t>
            </w:r>
          </w:p>
        </w:tc>
        <w:tc>
          <w:tcPr>
            <w:tcW w:w="154" w:type="dxa"/>
            <w:tcBorders/>
          </w:tcPr>
          <w:p>
            <w:pPr>
              <w:pStyle w:val="TableContents"/>
              <w:bidi w:val="0"/>
              <w:spacing w:before="0" w:after="283"/>
              <w:jc w:val="left"/>
              <w:rPr>
                <w:sz w:val="4"/>
                <w:szCs w:val="4"/>
              </w:rPr>
            </w:pPr>
            <w:r>
              <w:rPr>
                <w:sz w:val="4"/>
                <w:szCs w:val="4"/>
              </w:rPr>
            </w:r>
          </w:p>
        </w:tc>
      </w:tr>
      <w:tr>
        <w:trPr/>
        <w:tc>
          <w:tcPr>
            <w:tcW w:w="3418" w:type="dxa"/>
            <w:tcBorders/>
            <w:vAlign w:val="center"/>
          </w:tcPr>
          <w:p>
            <w:pPr>
              <w:pStyle w:val="TableContents"/>
              <w:bidi w:val="0"/>
              <w:spacing w:before="0" w:after="283"/>
              <w:jc w:val="left"/>
              <w:rPr>
                <w:b/>
              </w:rPr>
            </w:pPr>
            <w:r>
              <w:rPr>
                <w:b/>
              </w:rPr>
              <w:t xml:space="preserve">SCHMID Group N.V.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04" w:type="dxa"/>
        <w:jc w:val="left"/>
        <w:tblInd w:w="0" w:type="dxa"/>
        <w:tblLayout w:type="fixed"/>
        <w:tblCellMar>
          <w:top w:w="28" w:type="dxa"/>
          <w:left w:w="28" w:type="dxa"/>
          <w:bottom w:w="28" w:type="dxa"/>
          <w:right w:w="28" w:type="dxa"/>
        </w:tblCellMar>
      </w:tblPr>
      <w:tblGrid>
        <w:gridCol w:w="1126"/>
        <w:gridCol w:w="226"/>
        <w:gridCol w:w="946"/>
        <w:gridCol w:w="96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6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0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61" w:type="dxa"/>
            <w:tcBorders/>
            <w:shd w:fill="E7E7E2" w:val="clear"/>
            <w:vAlign w:val="center"/>
          </w:tcPr>
          <w:p>
            <w:pPr>
              <w:pStyle w:val="TableContents"/>
              <w:bidi w:val="0"/>
              <w:spacing w:before="0" w:after="283"/>
              <w:jc w:val="left"/>
              <w:rPr/>
            </w:pPr>
            <w:r>
              <w:rPr/>
              <w:t xml:space="preserve">Ordinary Shares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10,362,693 </w:t>
            </w:r>
          </w:p>
        </w:tc>
        <w:tc>
          <w:tcPr>
            <w:tcW w:w="1156" w:type="dxa"/>
            <w:tcBorders/>
            <w:shd w:fill="E7E7E2" w:val="clear"/>
            <w:vAlign w:val="center"/>
          </w:tcPr>
          <w:p>
            <w:pPr>
              <w:pStyle w:val="TableContents"/>
              <w:bidi w:val="0"/>
              <w:spacing w:before="0" w:after="283"/>
              <w:jc w:val="right"/>
              <w:rPr/>
            </w:pPr>
            <w:r>
              <w:rPr/>
              <w:t xml:space="preserve">$ 4.34 </w:t>
            </w:r>
          </w:p>
        </w:tc>
        <w:tc>
          <w:tcPr>
            <w:tcW w:w="1666" w:type="dxa"/>
            <w:tcBorders/>
            <w:shd w:fill="E7E7E2" w:val="clear"/>
            <w:vAlign w:val="center"/>
          </w:tcPr>
          <w:p>
            <w:pPr>
              <w:pStyle w:val="TableContents"/>
              <w:bidi w:val="0"/>
              <w:spacing w:before="0" w:after="283"/>
              <w:jc w:val="right"/>
              <w:rPr/>
            </w:pPr>
            <w:r>
              <w:rPr/>
              <w:t xml:space="preserve">$ 44,974,087.62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$ 6,210.92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0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2203" w:name="MaxAggtOfferingPrice"/>
            <w:bookmarkEnd w:id="2203"/>
            <w:r>
              <w:rPr/>
              <w:t xml:space="preserve">$ 44,974,087.62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204" w:name="TotalFeeAmt"/>
            <w:bookmarkEnd w:id="2204"/>
            <w:r>
              <w:rPr/>
              <w:t xml:space="preserve">$ 6,210.92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205" w:name="TotalPreviouslyPaidAmt"/>
            <w:bookmarkEnd w:id="220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206" w:name="TotalOffsetAmt"/>
            <w:bookmarkEnd w:id="220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207" w:name="NetFeeAmt"/>
            <w:bookmarkEnd w:id="2207"/>
            <w:r>
              <w:rPr/>
              <w:t xml:space="preserve">$ 6,210.92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7"/>
        <w:gridCol w:w="1298"/>
        <w:gridCol w:w="8700"/>
      </w:tblGrid>
      <w:tr>
        <w:trPr/>
        <w:tc>
          <w:tcPr>
            <w:tcW w:w="20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8" w:type="dxa"/>
            <w:gridSpan w:val="2"/>
            <w:tcBorders/>
            <w:vAlign w:val="center"/>
          </w:tcPr>
          <w:p>
            <w:pPr>
              <w:pStyle w:val="TableContents"/>
              <w:bidi w:val="0"/>
              <w:spacing w:before="0" w:after="283"/>
              <w:jc w:val="left"/>
              <w:rPr/>
            </w:pPr>
            <w:r>
              <w:rPr/>
              <w:t xml:space="preserve">Consists of 10,362,693 ordinary shares of the registrant ("Ordinary Shares") that are issued and sold by the registrant to the selling securityholder named herein. The maximum aggregate offering price is estimated solely for the purpose of calculating the registration fee, based on the average of the high and low prices of the Ordinary Shares on The Nasdaq Stock Market LLC on July 16, 2026 ($4.34 per Ordinary Share). This calculation is in accordance with Rule 457(c). </w:t>
            </w:r>
          </w:p>
        </w:tc>
      </w:tr>
      <w:tr>
        <w:trPr/>
        <w:tc>
          <w:tcPr>
            <w:tcW w:w="1505" w:type="dxa"/>
            <w:gridSpan w:val="2"/>
            <w:tcBorders/>
            <w:vAlign w:val="center"/>
          </w:tcPr>
          <w:p>
            <w:pPr>
              <w:pStyle w:val="HorizontalLine"/>
              <w:pBdr>
                <w:bottom w:val="double" w:sz="2" w:space="0" w:color="808080"/>
              </w:pBdr>
              <w:bidi w:val="0"/>
              <w:spacing w:before="0" w:after="283"/>
              <w:jc w:val="left"/>
              <w:rPr/>
            </w:pPr>
            <w:r>
              <w:rPr/>
            </w:r>
          </w:p>
        </w:tc>
        <w:tc>
          <w:tcPr>
            <w:tcW w:w="870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987240/000110465924062029/shmd-20231231xex2d1.htm" TargetMode="External"/><Relationship Id="rId5" Type="http://schemas.openxmlformats.org/officeDocument/2006/relationships/hyperlink" Target="https://www.sec.gov/Archives/edgar/data/1861541/000110465921129954/tm2117318d20_ex10-1.htm" TargetMode="External"/><Relationship Id="rId6" Type="http://schemas.openxmlformats.org/officeDocument/2006/relationships/hyperlink" Target="https://www.sec.gov/Archives/edgar/data/1987240/000110465924062029/shmd-20231231xex2d3.htm" TargetMode="External"/><Relationship Id="rId7" Type="http://schemas.openxmlformats.org/officeDocument/2006/relationships/hyperlink" Target="https://www.sec.gov/Archives/edgar/data/1987240/000110465924062029/shmd-20231231xex1d1.htm" TargetMode="External"/><Relationship Id="rId8" Type="http://schemas.openxmlformats.org/officeDocument/2006/relationships/hyperlink" Target="https://www.sec.gov/Archives/edgar/data/1987240/000110465924062029/shmd-20231231xex4d5.htm" TargetMode="External"/><Relationship Id="rId9" Type="http://schemas.openxmlformats.org/officeDocument/2006/relationships/hyperlink" Target="https://www.sec.gov/Archives/edgar/data/1987240/000110465924062029/shmd-20231231xex4d7.htm" TargetMode="External"/><Relationship Id="rId10" Type="http://schemas.openxmlformats.org/officeDocument/2006/relationships/hyperlink" Target="https://www.sec.gov/Archives/edgar/data/1987240/000110465924062029/shmd-20231231xex4d12.htm" TargetMode="External"/><Relationship Id="rId11" Type="http://schemas.openxmlformats.org/officeDocument/2006/relationships/hyperlink" Target="https://www.sec.gov/Archives/edgar/data/1987240/000110465925112989/tm2531204d1_ex10-1.htm" TargetMode="External"/><Relationship Id="rId12" Type="http://schemas.openxmlformats.org/officeDocument/2006/relationships/hyperlink" Target="https://www.sec.gov/Archives/edgar/data/1987240/000110465925112989/tm2531204d1_ex10-2.htm" TargetMode="External"/><Relationship Id="rId13" Type="http://schemas.openxmlformats.org/officeDocument/2006/relationships/hyperlink" Target="https://www.sec.gov/Archives/edgar/data/1987240/000110465925112989/tm2531204d1_ex10-3.htm" TargetMode="External"/><Relationship Id="rId14" Type="http://schemas.openxmlformats.org/officeDocument/2006/relationships/hyperlink" Target="https://www.sec.gov/Archives/edgar/data/1987240/000110465925112989/tm2531204d1_ex10-4.htm" TargetMode="External"/><Relationship Id="rId15" Type="http://schemas.openxmlformats.org/officeDocument/2006/relationships/hyperlink" Target="https://www.sec.gov/Archives/edgar/data/1987240/000110465925121844/tm2533679d1_ex10-1.htm" TargetMode="External"/><Relationship Id="rId16" Type="http://schemas.openxmlformats.org/officeDocument/2006/relationships/hyperlink" Target="https://www.sec.gov/Archives/edgar/data/1987240/000110465926014740/shmd-20241231xex4d28.htm" TargetMode="External"/><Relationship Id="rId17" Type="http://schemas.openxmlformats.org/officeDocument/2006/relationships/hyperlink" Target="https://www.sec.gov/Archives/edgar/data/1987240/000110465926005235/tm263506d1_ex10-1.htm" TargetMode="External"/><Relationship Id="rId18" Type="http://schemas.openxmlformats.org/officeDocument/2006/relationships/hyperlink" Target="https://www.sec.gov/Archives/edgar/data/1987240/000110465926014740/shmd-20241231xex4d19.htm" TargetMode="External"/><Relationship Id="rId19" Type="http://schemas.openxmlformats.org/officeDocument/2006/relationships/hyperlink" Target="https://www.sec.gov/Archives/edgar/data/1987240/000110465926014740/shmd-20241231xex4d20.htm" TargetMode="External"/><Relationship Id="rId20" Type="http://schemas.openxmlformats.org/officeDocument/2006/relationships/hyperlink" Target="https://www.sec.gov/Archives/edgar/data/1987240/000110465926014740/shmd-20241231xex4d21.htm" TargetMode="External"/><Relationship Id="rId21" Type="http://schemas.openxmlformats.org/officeDocument/2006/relationships/hyperlink" Target="https://www.sec.gov/Archives/edgar/data/1987240/000110465926014740/shmd-20241231xex4d22.htm" TargetMode="External"/><Relationship Id="rId22" Type="http://schemas.openxmlformats.org/officeDocument/2006/relationships/hyperlink" Target="https://www.sec.gov/Archives/edgar/data/1987240/000110465926014740/shmd-20241231xex4d23.htm" TargetMode="External"/><Relationship Id="rId23" Type="http://schemas.openxmlformats.org/officeDocument/2006/relationships/hyperlink" Target="https://www.sec.gov/Archives/edgar/data/1987240/000110465926062643/shmd-20251231xex4d25.htm" TargetMode="External"/><Relationship Id="rId24" Type="http://schemas.openxmlformats.org/officeDocument/2006/relationships/hyperlink" Target="https://www.sec.gov/Archives/edgar/data/1987240/000110465926062643/shmd-20251231xex4d26.htm" TargetMode="External"/><Relationship Id="rId25" Type="http://schemas.openxmlformats.org/officeDocument/2006/relationships/hyperlink" Target="https://www.sec.gov/Archives/edgar/data/1987240/000110465926062643/shmd-20251231xex4d26.htm" TargetMode="External"/><Relationship Id="rId26" Type="http://schemas.openxmlformats.org/officeDocument/2006/relationships/hyperlink" Target="https://www.sec.gov/Archives/edgar/data/1987240/000110465926062643/shmd-20251231xex4d27.htm" TargetMode="External"/><Relationship Id="rId27" Type="http://schemas.openxmlformats.org/officeDocument/2006/relationships/hyperlink" Target="https://www.sec.gov/Archives/edgar/data/1987240/000110465926014740/shmd-20241231xex4d24.htm" TargetMode="External"/><Relationship Id="rId28" Type="http://schemas.openxmlformats.org/officeDocument/2006/relationships/hyperlink" Target="https://www.sec.gov/Archives/edgar/data/1987240/000110465926014740/shmd-20241231xex4d25.htm" TargetMode="External"/><Relationship Id="rId29" Type="http://schemas.openxmlformats.org/officeDocument/2006/relationships/hyperlink" Target="https://www.sec.gov/Archives/edgar/data/1987240/000110465926014740/shmd-20241231xex4d26.htm" TargetMode="External"/><Relationship Id="rId30" Type="http://schemas.openxmlformats.org/officeDocument/2006/relationships/hyperlink" Target="https://www.sec.gov/Archives/edgar/data/1987240/000110465926062643/shmd-20251231xex4d31.htm" TargetMode="External"/><Relationship Id="rId31" Type="http://schemas.openxmlformats.org/officeDocument/2006/relationships/hyperlink" Target="https://www.sec.gov/Archives/edgar/data/1987240/000110465926062643/shmd-20251231xex4d31.htm" TargetMode="External"/><Relationship Id="rId32" Type="http://schemas.openxmlformats.org/officeDocument/2006/relationships/hyperlink" Target="https://www.sec.gov/Archives/edgar/data/1987240/000110465926062643/shmd-20251231xex4d31.htm" TargetMode="External"/><Relationship Id="rId33" Type="http://schemas.openxmlformats.org/officeDocument/2006/relationships/hyperlink" Target="https://www.sec.gov/Archives/edgar/data/1987240/000110465926014740/shmd-20241231xex4d27.htm" TargetMode="External"/><Relationship Id="rId34" Type="http://schemas.openxmlformats.org/officeDocument/2006/relationships/hyperlink" Target="https://www.sec.gov/Archives/edgar/data/1987240/000110465926048999/tm2612719d1_ex10-1.htm" TargetMode="External"/><Relationship Id="rId35" Type="http://schemas.openxmlformats.org/officeDocument/2006/relationships/hyperlink" Target="https://www.sec.gov/Archives/edgar/data/1987240/000110465926048999/tm2612719d1_ex10-2.htm" TargetMode="External"/><Relationship Id="rId36" Type="http://schemas.openxmlformats.org/officeDocument/2006/relationships/hyperlink" Target="https://www.sec.gov/Archives/edgar/data/1987240/000110465926048999/tm2612719d1_ex10-3.htm" TargetMode="External"/><Relationship Id="rId37" Type="http://schemas.openxmlformats.org/officeDocument/2006/relationships/hyperlink" Target="https://www.sec.gov/Archives/edgar/data/1987240/000110465926048999/tm2612719d1_ex10-4.htm" TargetMode="External"/><Relationship Id="rId38" Type="http://schemas.openxmlformats.org/officeDocument/2006/relationships/hyperlink" Target="https://www.sec.gov/Archives/edgar/data/1987240/000110465926048999/tm2612719d1_ex10-5.htm" TargetMode="External"/><Relationship Id="rId39" Type="http://schemas.openxmlformats.org/officeDocument/2006/relationships/hyperlink" Target="https://www.sec.gov/Archives/edgar/data/1987240/000110465926048999/tm2612719d1_ex10-6.htm" TargetMode="External"/><Relationship Id="rId40" Type="http://schemas.openxmlformats.org/officeDocument/2006/relationships/hyperlink" Target="https://www.sec.gov/Archives/edgar/data/1987240/000110465926048999/tm2612719d1_ex10-7.htm" TargetMode="External"/><Relationship Id="rId41" Type="http://schemas.openxmlformats.org/officeDocument/2006/relationships/hyperlink" Target="https://www.sec.gov/Archives/edgar/data/1987240/000110465926048999/tm2612719d1_ex10-8.htm" TargetMode="External"/><Relationship Id="rId42" Type="http://schemas.openxmlformats.org/officeDocument/2006/relationships/hyperlink" Target="https://www.sec.gov/Archives/edgar/data/1987240/000110465926048999/tm2612719d1_ex10-9.htm" TargetMode="External"/><Relationship Id="rId43" Type="http://schemas.openxmlformats.org/officeDocument/2006/relationships/hyperlink" Target="https://www.sec.gov/Archives/edgar/data/1987240/000110465926048999/tm2612719d1_ex10-10.htm" TargetMode="External"/><Relationship Id="rId44" Type="http://schemas.openxmlformats.org/officeDocument/2006/relationships/hyperlink" Target="https://www.sec.gov/Archives/edgar/data/1987240/000110465926048999/tm2612719d1_ex10-11.htm" TargetMode="External"/><Relationship Id="rId45" Type="http://schemas.openxmlformats.org/officeDocument/2006/relationships/hyperlink" Target="https://www.sec.gov/Archives/edgar/data/1987240/000110465926048999/tm2612719d1_ex10-12.htm" TargetMode="External"/><Relationship Id="rId46" Type="http://schemas.openxmlformats.org/officeDocument/2006/relationships/hyperlink" Target="https://www.sec.gov/Archives/edgar/data/1987240/000110465926048999/tm2612719d1_ex10-13.htm" TargetMode="External"/><Relationship Id="rId47" Type="http://schemas.openxmlformats.org/officeDocument/2006/relationships/hyperlink" Target="https://www.sec.gov/Archives/edgar/data/1987240/000110465926062643/shmd-20251231xex4d46.htm" TargetMode="External"/><Relationship Id="rId48" Type="http://schemas.openxmlformats.org/officeDocument/2006/relationships/hyperlink" Target="https://www.sec.gov/Archives/edgar/data/1987240/000110465926081360/tm2619931d1_ex10-1.htm" TargetMode="External"/><Relationship Id="rId49" Type="http://schemas.openxmlformats.org/officeDocument/2006/relationships/hyperlink" Target="https://www.sec.gov/Archives/edgar/data/1987240/000110465926083488/tm2620429d1_ex10-1.htm" TargetMode="External"/><Relationship Id="rId50" Type="http://schemas.openxmlformats.org/officeDocument/2006/relationships/hyperlink" Target="https://www.sec.gov/Archives/edgar/data/1987240/000110465926083488/tm2620429d1_ex10-2.htm" TargetMode="External"/><Relationship Id="rId51" Type="http://schemas.openxmlformats.org/officeDocument/2006/relationships/hyperlink" Target="https://www.sec.gov/Archives/edgar/data/1987240/000110465926083488/tm2620429d1_ex10-3.htm" TargetMode="External"/><Relationship Id="rId52" Type="http://schemas.openxmlformats.org/officeDocument/2006/relationships/hyperlink" Target="https://www.sec.gov/Archives/edgar/data/1987240/000110465926083488/tm2620429d1_ex10-4.htm" TargetMode="External"/><Relationship Id="rId53" Type="http://schemas.openxmlformats.org/officeDocument/2006/relationships/hyperlink" Target="https://www.sec.gov/Archives/edgar/data/1987240/000110465926016336/shmd-20241231xex10d1.htm" TargetMode="External"/><Relationship Id="rId54" Type="http://schemas.openxmlformats.org/officeDocument/2006/relationships/hyperlink" Target="https://www.sec.gov/Archives/edgar/data/1987240/000110465926016336/shmd-20241231xex10d1.htm" TargetMode="External"/><Relationship Id="rId55" Type="http://schemas.openxmlformats.org/officeDocument/2006/relationships/hyperlink" Target="https://www.sec.gov/Archives/edgar/data/1987240/000110465926016336/shmd-20241231xex10d1.htm" TargetMode="External"/><Relationship Id="rId56" Type="http://schemas.openxmlformats.org/officeDocument/2006/relationships/hyperlink" Target="https://www.sec.gov/Archives/edgar/data/1987240/000110465926016336/shmd-20241231xex10d2.htm" TargetMode="External"/><Relationship Id="rId57" Type="http://schemas.openxmlformats.org/officeDocument/2006/relationships/hyperlink" Target="https://www.sec.gov/Archives/edgar/data/1987240/000110465926016336/shmd-20241231xex10d2.htm" TargetMode="External"/><Relationship Id="rId58" Type="http://schemas.openxmlformats.org/officeDocument/2006/relationships/hyperlink" Target="https://www.sec.gov/Archives/edgar/data/1987240/000110465926016336/shmd-20241231xex10d2.htm" TargetMode="External"/><Relationship Id="rId59" Type="http://schemas.openxmlformats.org/officeDocument/2006/relationships/hyperlink" Target="https://www.sec.gov/Archives/edgar/data/1987240/000110465926016336/shmd-20241231xex10d3.htm" TargetMode="External"/><Relationship Id="rId60" Type="http://schemas.openxmlformats.org/officeDocument/2006/relationships/hyperlink" Target="https://www.sec.gov/Archives/edgar/data/1987240/000110465926016336/shmd-20241231xex10d3.htm" TargetMode="External"/><Relationship Id="rId61" Type="http://schemas.openxmlformats.org/officeDocument/2006/relationships/hyperlink" Target="https://www.sec.gov/Archives/edgar/data/1987240/000110465926016336/shmd-20241231xex10d3.htm" TargetMode="External"/><Relationship Id="rId62" Type="http://schemas.openxmlformats.org/officeDocument/2006/relationships/hyperlink" Target="https://www.sec.gov/Archives/edgar/data/1987240/000110465926016336/shmd-20241231xex10d4.htm" TargetMode="External"/><Relationship Id="rId63" Type="http://schemas.openxmlformats.org/officeDocument/2006/relationships/hyperlink" Target="https://www.sec.gov/Archives/edgar/data/1987240/000110465926016336/shmd-20241231xex10d4.htm" TargetMode="External"/><Relationship Id="rId64" Type="http://schemas.openxmlformats.org/officeDocument/2006/relationships/hyperlink" Target="https://www.sec.gov/Archives/edgar/data/1987240/000110465926016336/shmd-20241231xex10d4.htm" TargetMode="External"/><Relationship Id="rId65" Type="http://schemas.openxmlformats.org/officeDocument/2006/relationships/hyperlink" Target="https://www.sec.gov/Archives/edgar/data/1987240/000110465926014740/shmd-20241231xex8d1.htm" TargetMode="External"/><Relationship Id="rId66" Type="http://schemas.openxmlformats.org/officeDocument/2006/relationships/hyperlink" Target="https://www.sec.gov/Archives/edgar/data/1987240/000110465924062029/shmd-20231231xex11d2.htm" TargetMode="External"/><Relationship Id="rId67" Type="http://schemas.openxmlformats.org/officeDocument/2006/relationships/hyperlink" Target="https://www.sec.gov/Archives/edgar/data/1987240/000110465924062029/shmd-20231231xex97d1.htm" TargetMode="External"/><Relationship Id="rId68" Type="http://schemas.openxmlformats.org/officeDocument/2006/relationships/hyperlink" Target="https://www.sec.gov/Archives/edgar/data/1987240/000110465924062029/shmd-20231231xex11d1.htm" TargetMode="External"/><Relationship Id="rId69" Type="http://schemas.openxmlformats.org/officeDocument/2006/relationships/image" Target="media/image3.jpeg"/><Relationship Id="rId70" Type="http://schemas.openxmlformats.org/officeDocument/2006/relationships/image" Target="media/image3.jpeg"/><Relationship Id="rId71" Type="http://schemas.openxmlformats.org/officeDocument/2006/relationships/image" Target="media/image3.jpeg"/><Relationship Id="rId72" Type="http://schemas.openxmlformats.org/officeDocument/2006/relationships/image" Target="media/image3.jpeg"/><Relationship Id="rId73" Type="http://schemas.openxmlformats.org/officeDocument/2006/relationships/fontTable" Target="fontTable.xml"/><Relationship Id="rId7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133746</Words>
  <Characters>723576</Characters>
  <CharactersWithSpaces>857992</CharactersWithSpaces>
  <Paragraphs>12816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