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501-3_424b3.htm"/>
        <w:bookmarkStart w:id="1" w:name="kstm26265013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333-297530</w:t>
      </w:r>
      <w:r>
        <w:rPr>
          <w:rFonts w:ascii="Times New Roman;Times;serif" w:hAnsi="Times New Roman;Times;serif"/>
          <w:b/>
          <w:i w:val="false"/>
          <w:caps w:val="false"/>
          <w:smallCaps w:val="false"/>
          <w:color w:val="000000"/>
          <w:sz w:val="20"/>
        </w:rPr>
        <w:t>​</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SCHMID Group N.V.</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Resale of up to 10,362,693 Ordinary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relates to issuance of up to 10,362,693 ordinary shares of the Company, €0.01 par value per share (“</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issuable upon the conversion of convertible notes issued on July 14, 2026 in principal amount of USD 20 million (the “</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relates to offer and resale from time to time by the selling securityholders or their permitted transferees and certain other investors (collectively, the “</w:t>
      </w: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val="false"/>
          <w:i w:val="false"/>
          <w:caps w:val="false"/>
          <w:smallCaps w:val="false"/>
          <w:color w:val="000000"/>
          <w:spacing w:val="4"/>
          <w:sz w:val="20"/>
        </w:rPr>
        <w:t xml:space="preserve">”) of up to 10,362,693 of our Ordinary Shares to be issued upon the conversion of the 2029 Convertible Notes.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conversion price is subject to a floor of USD 1.93 and a maximum conversion price of USD 10.50 per Ordinary Share.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the securities covered by this registration statement does not mean that the subscribing shareholders will offer or sell any of the ordinary shares. The subscribing shareholders may offer, sell or distribute all or a portion of their ordinary shares publicly or through private transactions at prevailing market prices or at negotiated prices. All of the securities offered by the selling securityholders will be sold for their own accounts. We will not receive any proceeds from the resale of ordinary shares by the selling securityholders pursuant to this registration statement.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provide more information about how the Subscribing Shareholders may sell or otherwise dispose of our ordinary shares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defined in the Jumpstart Our Business Startups Act of 2012 and, as such, are subject to reduced public company reporting requirements.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Robert-Bosch-Str. 32-36, 72250 Freudenstadt, Germany.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high degree of risk. Before buying any securities, you should carefully read the discussion of material risks of investing in our securities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as defined under the Nasdaq Capital Market Marketplace Rule 5615(c) because, Anette Schmid, and Christian Schmid, directly and indirectly, collectively hold 30,926,893 Ordinary Shares consisting of 50.18% of the issued and outstanding shares totaling 61,637,954 Ordinary Shares as of the date of this prospectus (and not including 5,000,000 earn-out shares, which have been issued but have not vested). Including the 5,000,000 earn-out shares, we have 66,637,954 Ordinary Shares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September 30,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BPR">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BPR">
              <w:r>
                <w:rPr>
                  <w:rStyle w:val="InternetLink"/>
                  <w:spacing w:val="4"/>
                </w:rPr>
                <w:t>1</w:t>
              </w:r>
            </w:hyperlink>
            <w:hyperlink w:anchor="tAB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OPR">
              <w:r>
                <w:rPr>
                  <w:rStyle w:val="InternetLink"/>
                  <w:spacing w:val="4"/>
                </w:rPr>
                <w:t xml:space="preserve">CONVENTIONS WHICH APPLY TO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PR">
              <w:r>
                <w:rPr>
                  <w:rStyle w:val="InternetLink"/>
                  <w:spacing w:val="4"/>
                </w:rPr>
                <w:t>3</w:t>
              </w:r>
            </w:hyperlink>
            <w:hyperlink w:anchor="tCO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IGIN">
              <w:r>
                <w:rPr>
                  <w:rStyle w:val="InternetLink"/>
                  <w:spacing w:val="4"/>
                </w:rPr>
                <w:t xml:space="preserve">IMPORTANT INFORMATION ABOUT U.S. GAAP, IFRS AND NON-IFRS FINANCIAL MEASURES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GIN">
              <w:r>
                <w:rPr>
                  <w:rStyle w:val="InternetLink"/>
                  <w:spacing w:val="4"/>
                </w:rPr>
                <w:t>3</w:t>
              </w:r>
            </w:hyperlink>
            <w:hyperlink w:anchor="tIG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TSMN">
              <w:r>
                <w:rPr>
                  <w:rStyle w:val="InternetLink"/>
                  <w:spacing w:val="4"/>
                </w:rPr>
                <w:t xml:space="preserve">TRADEMARKS, SERVICE MARKS AND TRADE NAMES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SMN">
              <w:r>
                <w:rPr>
                  <w:rStyle w:val="InternetLink"/>
                  <w:spacing w:val="4"/>
                </w:rPr>
                <w:t>3</w:t>
              </w:r>
            </w:hyperlink>
            <w:hyperlink w:anchor="tTSM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IOD">
              <w:r>
                <w:rPr>
                  <w:rStyle w:val="InternetLink"/>
                  <w:spacing w:val="4"/>
                </w:rPr>
                <w:t xml:space="preserve">MARKET, INDUSTRY AND OTHER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IOD">
              <w:r>
                <w:rPr>
                  <w:rStyle w:val="InternetLink"/>
                  <w:spacing w:val="4"/>
                </w:rPr>
                <w:t>3</w:t>
              </w:r>
            </w:hyperlink>
            <w:hyperlink w:anchor="tMI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FBO">
              <w:r>
                <w:rPr>
                  <w:rStyle w:val="InternetLink"/>
                  <w:spacing w:val="4"/>
                </w:rPr>
                <w:t xml:space="preserve">FREQUENTLY USED TERMS AND BASIS OF PRESENTATION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BO">
              <w:r>
                <w:rPr>
                  <w:rStyle w:val="InternetLink"/>
                  <w:spacing w:val="4"/>
                </w:rPr>
                <w:t>4</w:t>
              </w:r>
            </w:hyperlink>
            <w:hyperlink w:anchor="tF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RFS">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RFS">
              <w:r>
                <w:rPr>
                  <w:rStyle w:val="InternetLink"/>
                  <w:spacing w:val="4"/>
                </w:rPr>
                <w:t>7</w:t>
              </w:r>
            </w:hyperlink>
            <w:hyperlink w:anchor="tCR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UM">
              <w:r>
                <w:rPr>
                  <w:rStyle w:val="InternetLink"/>
                  <w:spacing w:val="4"/>
                </w:rPr>
                <w:t>9</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23</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FO">
              <w:r>
                <w:rPr>
                  <w:rStyle w:val="InternetLink"/>
                  <w:spacing w:val="4"/>
                </w:rPr>
                <w:t xml:space="preserve">SUMMARY HISTORICAL FINANCIAL INFORMATION OF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FO">
              <w:r>
                <w:rPr>
                  <w:rStyle w:val="InternetLink"/>
                  <w:spacing w:val="4"/>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27</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USOF">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USOF">
              <w:r>
                <w:rPr>
                  <w:rStyle w:val="InternetLink"/>
                  <w:spacing w:val="4"/>
                </w:rPr>
                <w:t>63</w:t>
              </w:r>
            </w:hyperlink>
            <w:hyperlink w:anchor="tUS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OP">
              <w:r>
                <w:rPr>
                  <w:rStyle w:val="InternetLink"/>
                  <w:spacing w:val="4"/>
                </w:rPr>
                <w:t xml:space="preserve">DETERMINATION OF OFFERING PRICE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OP">
              <w:r>
                <w:rPr>
                  <w:rStyle w:val="InternetLink"/>
                  <w:spacing w:val="4"/>
                </w:rPr>
                <w:t>64</w:t>
              </w:r>
            </w:hyperlink>
            <w:hyperlink w:anchor="tD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FOD">
              <w:r>
                <w:rPr>
                  <w:rStyle w:val="InternetLink"/>
                  <w:spacing w:val="4"/>
                </w:rPr>
                <w:t xml:space="preserve">MARKET INFORMATION FOR CLASS A SHARES AND 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FOD">
              <w:r>
                <w:rPr>
                  <w:rStyle w:val="InternetLink"/>
                  <w:spacing w:val="4"/>
                </w:rPr>
                <w:t>65</w:t>
              </w:r>
            </w:hyperlink>
            <w:hyperlink w:anchor="tMF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66</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BOCI">
              <w:r>
                <w:rPr>
                  <w:rStyle w:val="InternetLink"/>
                  <w:spacing w:val="4"/>
                </w:rPr>
                <w:t xml:space="preserve">BUSINESS OF SCHMID AND CERTAIN INFORMATION ABOUT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BOCI">
              <w:r>
                <w:rPr>
                  <w:rStyle w:val="InternetLink"/>
                  <w:spacing w:val="4"/>
                </w:rPr>
                <w:t>67</w:t>
              </w:r>
            </w:hyperlink>
            <w:hyperlink w:anchor="tB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MDOR">
              <w:r>
                <w:rPr>
                  <w:rStyle w:val="InternetLink"/>
                  <w:spacing w:val="4"/>
                </w:rPr>
                <w:t xml:space="preserve">MANAGEMENT’S DISCUSSION AND ANALYSIS OF FINANCIAL CONDITION AND RESULTS OF OPERATIONS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DOR">
              <w:r>
                <w:rPr>
                  <w:rStyle w:val="InternetLink"/>
                  <w:spacing w:val="4"/>
                </w:rPr>
                <w:t>77</w:t>
              </w:r>
            </w:hyperlink>
            <w:hyperlink w:anchor="tMD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AN">
              <w:r>
                <w:rPr>
                  <w:rStyle w:val="InternetLink"/>
                  <w:spacing w:val="4"/>
                </w:rPr>
                <w:t>90</w:t>
              </w:r>
            </w:hyperlink>
            <w:hyperlink w:anchor="tM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EOF">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EOF">
              <w:r>
                <w:rPr>
                  <w:rStyle w:val="InternetLink"/>
                  <w:spacing w:val="4"/>
                </w:rPr>
                <w:t>99</w:t>
              </w:r>
            </w:hyperlink>
            <w:hyperlink w:anchor="tDE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RR">
              <w:r>
                <w:rPr>
                  <w:rStyle w:val="InternetLink"/>
                  <w:spacing w:val="4"/>
                </w:rPr>
                <w:t xml:space="preserve">CERTAIN RELATIONSHIPS AND RELATED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RR">
              <w:r>
                <w:rPr>
                  <w:rStyle w:val="InternetLink"/>
                  <w:spacing w:val="4"/>
                </w:rPr>
                <w:t>117</w:t>
              </w:r>
            </w:hyperlink>
            <w:hyperlink w:anchor="tCR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PRI">
              <w:r>
                <w:rPr>
                  <w:rStyle w:val="InternetLink"/>
                  <w:spacing w:val="4"/>
                </w:rPr>
                <w:t xml:space="preserve">PRINCIPAL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I">
              <w:r>
                <w:rPr>
                  <w:rStyle w:val="InternetLink"/>
                  <w:spacing w:val="4"/>
                </w:rPr>
                <w:t>118</w:t>
              </w:r>
            </w:hyperlink>
            <w:hyperlink w:anchor="tP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ESE">
              <w:r>
                <w:rPr>
                  <w:rStyle w:val="InternetLink"/>
                  <w:spacing w:val="4"/>
                </w:rPr>
                <w:t>120</w:t>
              </w:r>
            </w:hyperlink>
            <w:hyperlink w:anchor="t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AX">
              <w:r>
                <w:rPr>
                  <w:rStyle w:val="InternetLink"/>
                  <w:spacing w:val="4"/>
                </w:rPr>
                <w:t>121</w:t>
              </w:r>
            </w:hyperlink>
            <w:hyperlink w:anchor="tTA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PLOF">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PLOF">
              <w:r>
                <w:rPr>
                  <w:rStyle w:val="InternetLink"/>
                  <w:spacing w:val="4"/>
                </w:rPr>
                <w:t>141</w:t>
              </w:r>
            </w:hyperlink>
            <w:hyperlink w:anchor="tPL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SEFF">
              <w:r>
                <w:rPr>
                  <w:rStyle w:val="InternetLink"/>
                  <w:spacing w:val="4"/>
                </w:rPr>
                <w:t xml:space="preserve">SHARES ELIGIBLE FOR FUTURE SALE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EFF">
              <w:r>
                <w:rPr>
                  <w:rStyle w:val="InternetLink"/>
                  <w:spacing w:val="4"/>
                </w:rPr>
                <w:t>143</w:t>
              </w:r>
            </w:hyperlink>
            <w:hyperlink w:anchor="tSEF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RO">
              <w:r>
                <w:rPr>
                  <w:rStyle w:val="InternetLink"/>
                  <w:spacing w:val="4"/>
                </w:rPr>
                <w:t xml:space="preserve">EXPENSES RELATED TO 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RO">
              <w:r>
                <w:rPr>
                  <w:rStyle w:val="InternetLink"/>
                  <w:spacing w:val="4"/>
                </w:rPr>
                <w:t>147</w:t>
              </w:r>
            </w:hyperlink>
            <w:hyperlink w:anchor="tE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LEG">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LEG">
              <w:r>
                <w:rPr>
                  <w:rStyle w:val="InternetLink"/>
                  <w:spacing w:val="4"/>
                </w:rPr>
                <w:t>148</w:t>
              </w:r>
            </w:hyperlink>
            <w:hyperlink w:anchor="tLE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148</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NF">
              <w:r>
                <w:rPr>
                  <w:rStyle w:val="InternetLink"/>
                  <w:spacing w:val="4"/>
                </w:rPr>
                <w:t xml:space="preserve">ENFORCEMENT OF CIVIL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NF">
              <w:r>
                <w:rPr>
                  <w:rStyle w:val="InternetLink"/>
                  <w:spacing w:val="4"/>
                </w:rPr>
                <w:t>148</w:t>
              </w:r>
            </w:hyperlink>
            <w:hyperlink w:anchor="tEN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WCFM">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WCFM">
              <w:r>
                <w:rPr>
                  <w:rStyle w:val="InternetLink"/>
                  <w:spacing w:val="4"/>
                </w:rPr>
                <w:t>149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BPR"/>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several transactions were completed pursuant to the Business Combination Agreement,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99 new ordinary shares to its shareholder Pegasus; </w:t>
      </w:r>
      <w:r>
        <mc:AlternateContent>
          <mc:Choice Requires="wps">
            <w:drawing>
              <wp:anchor behindDoc="0" distT="7620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Gebr. Schmid GmbH, Anette Schmid, Christian Schmid and a Community of Heirs (the “Schmid Shareholders”) purchased all 100 SCHMID shares from Pegasus at nominal value;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Shareholders subscribed to 28,725,000 SCHMID shares and an additional 5,000,000 earn-out shares at €0.01 nominal value and in consideration contributed 100% of the Gebr. Schmid GmbH shares by transferring them to SCHMID; </w:t>
      </w:r>
      <w:r>
        <mc:AlternateContent>
          <mc:Choice Requires="wps">
            <w:drawing>
              <wp:anchor behindDoc="0" distT="0" distB="0" distL="254000" distR="0" simplePos="0" locked="0" layoutInCell="1" allowOverlap="1" relativeHeight="6">
                <wp:simplePos x="0" y="0"/>
                <wp:positionH relativeFrom="column">
                  <wp:align>left</wp:align>
                </wp:positionH>
                <wp:positionV relativeFrom="line">
                  <wp:posOffset>635</wp:posOffset>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changed its legal form from a Dutch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and was renamed SCHMID Group N.V.;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shares in exchange for each Pegasus Class A and B share outstanding (a total of 1,461,537 registered shares for Pegasus Class A shares and 5,625,000 former Pegasus Class B shares which were converted to registered Pegasus Class A shares prior to the Business Combination), and issued 1,406,361 shares to XJ Harbour HK Limited (“XJ Harbour”);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merged with Merger Sub, with Pegasus as the surviving company and, after giving effect to the merger becoming a direct, wholly-owned subsidiary of SCHMID.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Date, in 2025 and 2026 several transactions were completed that related to the issuance of shares or potential issuance of shares: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15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exercisable for a period of 5 years.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16, 2026, the Company issued 12,540,539 Ordinary Shares to XJ Harbour HK Limited to offset liabilities of $26,962,158.90 due to XJ Harbour HK Limited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the Company issued $15 million in convertible notes as part of a $30 million convertible notes financing, and the other $15 million in convertible notes were issued on March 5, 2026. Since the issuance of the convertible notes, $21 million have been converted and only $9 million in principal amount remain outstanding as of the date of this registration statement. In addition, the Company issued 3,744,150 warrants on January 21, 2026 and March 5, 2026 with an exercise price of $8.0125.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with YA II PN, Ltd, providing the Company with equity financing of up to $30.0 million.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PR"/>
      <w:bookmarkEnd w:id="4"/>
      <w:r>
        <w:rPr>
          <w:rFonts w:ascii="calibri;arial;sans-serif" w:hAnsi="calibri;arial;sans-serif"/>
          <w:b w:val="false"/>
          <w:i w:val="false"/>
          <w:caps w:val="false"/>
          <w:smallCaps w:val="false"/>
          <w:color w:val="000000"/>
          <w:sz w:val="16"/>
        </w:rPr>
        <w:t>​</w:t>
      </w:r>
      <w:bookmarkStart w:id="5" w:name="tIGIN"/>
      <w:bookmarkEnd w:id="5"/>
      <w:r>
        <w:rPr>
          <w:rFonts w:ascii="calibri;arial;sans-serif" w:hAnsi="calibri;arial;sans-serif"/>
          <w:b w:val="false"/>
          <w:i w:val="false"/>
          <w:caps w:val="false"/>
          <w:smallCaps w:val="false"/>
          <w:color w:val="000000"/>
          <w:sz w:val="16"/>
        </w:rPr>
        <w:t>​</w:t>
      </w:r>
      <w:bookmarkStart w:id="6" w:name="tTSMN"/>
      <w:bookmarkEnd w:id="6"/>
      <w:r>
        <w:rPr>
          <w:rFonts w:ascii="calibri;arial;sans-serif" w:hAnsi="calibri;arial;sans-serif"/>
          <w:b w:val="false"/>
          <w:i w:val="false"/>
          <w:caps w:val="false"/>
          <w:smallCaps w:val="false"/>
          <w:color w:val="000000"/>
          <w:sz w:val="16"/>
        </w:rPr>
        <w:t>​</w:t>
      </w:r>
      <w:bookmarkStart w:id="7" w:name="tMIO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the day of this registration statement, the Company has issued 1,490,000 Ordinary Shares to Yorkville under the SEPA for aggregate gross proceeds of approximately $9.0 million; no further issuances under the SEPA occurred after June 30, 2026.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the Company issued $20 million in convertible notes.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the terms “SCHMID,” the “Company,” “we,” “us” and “our” refer to SCHMID Group N.V. (f/k/a Pegasus TopCo B.V.) after conversion into a Dutch public limited liability company and Pegasus TopCo B.V. prior to the conversion into a Dutch public liability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CONVENTIONS WHICH APPLY 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specified or the context otherwise requires: </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“USD” and “U.S. dollar” each refer to the United States dollar; and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“EUR” and “Euro” each refer to the Euro.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used for conversion between U.S. dollars and Euros is based on the ECB euro reference exchange rate published by the European Central Bank.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IMPORTANT INFORMATION ABOUT U.S. GAAP, IFRS AND NON-IFRS FINANCIAL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audited consolidated financial statements included in this prospectus are prepared in accordance with International Financial Reporting Standards as issued by the International Accounting Standards Board (“IFRS”), and SCHMID’s unaudited condensed consolidated interim financial statements included in this prospectus are prepared in accordance with IAS 34 “Interim Financial Reporting”.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IFRS differs in certain material respects from U.S. generally accepted accounting principles (“US GAAP”) and, as such, our financial statements are not comparable to the financial statements of U.S. companies prepared in accordance with U.S. GAAP.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SERVICE 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FB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 AND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registration statement on Form F-1 or the context otherwise requires, references 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Convertible Loan</w:t>
      </w:r>
      <w:r>
        <w:rPr>
          <w:rFonts w:ascii="Times New Roman;Times;serif" w:hAnsi="Times New Roman;Times;serif"/>
          <w:b w:val="false"/>
          <w:i w:val="false"/>
          <w:caps w:val="false"/>
          <w:smallCaps w:val="false"/>
          <w:color w:val="000000"/>
          <w:spacing w:val="4"/>
          <w:sz w:val="20"/>
        </w:rPr>
        <w:t xml:space="preserve">” means the EUR 2.5 million term loan drawn from facility agreement dated December 16, 2025 agreed with Black Forest Special Situations 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Options</w:t>
      </w:r>
      <w:r>
        <w:rPr>
          <w:rFonts w:ascii="Times New Roman;Times;serif" w:hAnsi="Times New Roman;Times;serif"/>
          <w:b w:val="false"/>
          <w:i w:val="false"/>
          <w:caps w:val="false"/>
          <w:smallCaps w:val="false"/>
          <w:color w:val="000000"/>
          <w:spacing w:val="4"/>
          <w:sz w:val="20"/>
        </w:rPr>
        <w:t xml:space="preserve">”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2028 Convertible Notes</w:t>
      </w:r>
      <w:r>
        <w:rPr>
          <w:rFonts w:ascii="Times New Roman;Times;serif" w:hAnsi="Times New Roman;Times;serif"/>
          <w:b w:val="false"/>
          <w:i w:val="false"/>
          <w:caps w:val="false"/>
          <w:smallCaps w:val="false"/>
          <w:color w:val="000000"/>
          <w:spacing w:val="4"/>
          <w:sz w:val="20"/>
        </w:rPr>
        <w:t xml:space="preserve">” means the two-tranche convertible notes issued pursuant to an indenture dated January 21, 2026 with an initial principal amount of $30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2026 Warrants</w:t>
      </w:r>
      <w:r>
        <w:rPr>
          <w:rFonts w:ascii="Times New Roman;Times;serif" w:hAnsi="Times New Roman;Times;serif"/>
          <w:b w:val="false"/>
          <w:i w:val="false"/>
          <w:caps w:val="false"/>
          <w:smallCaps w:val="false"/>
          <w:color w:val="000000"/>
          <w:spacing w:val="4"/>
          <w:sz w:val="20"/>
        </w:rPr>
        <w:t xml:space="preserve">” means the warrants issued pursuant to a warrant agreement dated January 21, 2026 and the warrants to be issued pursuant to a investment agreement dated January 18,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xml:space="preserve">” means the convertible notes issued pursuant to an indenture dated July 14, 2026 with an initial principal amount of $20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is defined by the Company as its net income (or loss) for a given period before income taxes, net financial result, depreciation and amortization, and special items. Special items generally include significant asset impairments and write-offs, restructuring costs, share-based compensation, capital structure restructuring costs and foreign exchange gains and losses or other items that the Company does not necessarily consider to be indicative of earnings from ongoing operating activities; in the six months ended June 30, 2026 and 2025, special items comprise restructuring costs, share-based compensation, capital structure restructuring costs and foreign exchange gains and losses. See “</w:t>
      </w:r>
      <w:r>
        <w:rPr>
          <w:rFonts w:ascii="Times New Roman;Times;serif" w:hAnsi="Times New Roman;Times;serif"/>
          <w:b w:val="false"/>
          <w:i/>
          <w:caps w:val="false"/>
          <w:smallCaps w:val="false"/>
          <w:color w:val="000000"/>
          <w:spacing w:val="4"/>
          <w:sz w:val="20"/>
        </w:rPr>
        <w:t>Management’s Discussion and Analysis of Financial Condition and Results of Operations — Non-IFRS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xml:space="preserve">” means the annual report of the Company on Form 20-F for the fiscal year ended December 31, 2025.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de-SPAC</w:t>
      </w:r>
      <w:r>
        <w:rPr>
          <w:rFonts w:ascii="Times New Roman;Times;serif" w:hAnsi="Times New Roman;Times;serif"/>
          <w:b w:val="false"/>
          <w:i w:val="false"/>
          <w:caps w:val="false"/>
          <w:smallCaps w:val="false"/>
          <w:color w:val="000000"/>
          <w:spacing w:val="4"/>
          <w:sz w:val="20"/>
        </w:rPr>
        <w:t xml:space="preserve">” means the transactions contemplated by the Business Combination Agreement. See Note 2 of the Consolidated Financial Statements for the details of the accounting treatment of the de-SPAC.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 Agreement</w:t>
      </w:r>
      <w:r>
        <w:rPr>
          <w:rFonts w:ascii="Times New Roman;Times;serif" w:hAnsi="Times New Roman;Times;serif"/>
          <w:b w:val="false"/>
          <w:i w:val="false"/>
          <w:caps w:val="false"/>
          <w:smallCaps w:val="false"/>
          <w:color w:val="000000"/>
          <w:spacing w:val="4"/>
          <w:sz w:val="20"/>
        </w:rPr>
        <w:t xml:space="preserve">”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April 30, 2024, the date of the closing of the Business Combination.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Continental</w:t>
      </w:r>
      <w:r>
        <w:rPr>
          <w:rFonts w:ascii="Times New Roman;Times;serif" w:hAnsi="Times New Roman;Times;serif"/>
          <w:b w:val="false"/>
          <w:i w:val="false"/>
          <w:caps w:val="false"/>
          <w:smallCaps w:val="false"/>
          <w:color w:val="000000"/>
          <w:spacing w:val="4"/>
          <w:sz w:val="20"/>
        </w:rPr>
        <w:t xml:space="preserve">” means Continental Stock Transfer &amp; Trust Company, the transfer agent and warrant agent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val="false"/>
          <w:i w:val="false"/>
          <w:caps w:val="false"/>
          <w:smallCaps w:val="false"/>
          <w:color w:val="000000"/>
          <w:spacing w:val="4"/>
          <w:sz w:val="20"/>
        </w:rPr>
        <w:t xml:space="preserve">” means the 5,000,000 shares issued and not yet vested to Anette Schmid and Christian Schmid, transferrable per the terms of the Earn-Out Agreement with such earn-out shares cancelled on April 30, 2027 in case they do not vest before such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means embedded traces, a process which we believe is the next level technology for high-end PCBs &amp; Substrates.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EBITDA</w:t>
      </w:r>
      <w:r>
        <w:rPr>
          <w:rFonts w:ascii="Times New Roman;Times;serif" w:hAnsi="Times New Roman;Times;serif"/>
          <w:b w:val="false"/>
          <w:i w:val="false"/>
          <w:caps w:val="false"/>
          <w:smallCaps w:val="false"/>
          <w:color w:val="000000"/>
          <w:spacing w:val="4"/>
          <w:sz w:val="20"/>
        </w:rPr>
        <w:t xml:space="preserve">” means earnings before interest, taxes, depreciation, and amortization.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EU</w:t>
      </w:r>
      <w:r>
        <w:rPr>
          <w:rFonts w:ascii="Times New Roman;Times;serif" w:hAnsi="Times New Roman;Times;serif"/>
          <w:b w:val="false"/>
          <w:i w:val="false"/>
          <w:caps w:val="false"/>
          <w:smallCaps w:val="false"/>
          <w:color w:val="000000"/>
          <w:spacing w:val="4"/>
          <w:sz w:val="20"/>
        </w:rPr>
        <w:t xml:space="preserve">” means the European Union.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European General Data Protection Regulation.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w:t>
      </w:r>
      <w:r>
        <w:rPr>
          <w:rFonts w:ascii="Times New Roman;Times;serif" w:hAnsi="Times New Roman;Times;serif"/>
          <w:b w:val="false"/>
          <w:i w:val="false"/>
          <w:caps w:val="false"/>
          <w:smallCaps w:val="false"/>
          <w:color w:val="000000"/>
          <w:spacing w:val="4"/>
          <w:sz w:val="20"/>
        </w:rPr>
        <w:t xml:space="preserve">” means the International Accounting Standard.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IBR</w:t>
      </w:r>
      <w:r>
        <w:rPr>
          <w:rFonts w:ascii="Times New Roman;Times;serif" w:hAnsi="Times New Roman;Times;serif"/>
          <w:b w:val="false"/>
          <w:i w:val="false"/>
          <w:caps w:val="false"/>
          <w:smallCaps w:val="false"/>
          <w:color w:val="000000"/>
          <w:spacing w:val="4"/>
          <w:sz w:val="20"/>
        </w:rPr>
        <w:t xml:space="preserve">” means the incremental borrowing rate.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IASB</w:t>
      </w:r>
      <w:r>
        <w:rPr>
          <w:rFonts w:ascii="Times New Roman;Times;serif" w:hAnsi="Times New Roman;Times;serif"/>
          <w:b w:val="false"/>
          <w:i w:val="false"/>
          <w:caps w:val="false"/>
          <w:smallCaps w:val="false"/>
          <w:color w:val="000000"/>
          <w:spacing w:val="4"/>
          <w:sz w:val="20"/>
        </w:rPr>
        <w:t xml:space="preserve">” means the International Accounting Standards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IFRS</w:t>
      </w:r>
      <w:r>
        <w:rPr>
          <w:rFonts w:ascii="Times New Roman;Times;serif" w:hAnsi="Times New Roman;Times;serif"/>
          <w:b w:val="false"/>
          <w:i w:val="false"/>
          <w:caps w:val="false"/>
          <w:smallCaps w:val="false"/>
          <w:color w:val="000000"/>
          <w:spacing w:val="4"/>
          <w:sz w:val="20"/>
        </w:rPr>
        <w:t>” means the International Financial Reporting Standards as issued by the IASB.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Linden</w:t>
      </w:r>
      <w:r>
        <w:rPr>
          <w:rFonts w:ascii="Times New Roman;Times;serif" w:hAnsi="Times New Roman;Times;serif"/>
          <w:b w:val="false"/>
          <w:i w:val="false"/>
          <w:caps w:val="false"/>
          <w:smallCaps w:val="false"/>
          <w:color w:val="000000"/>
          <w:spacing w:val="4"/>
          <w:sz w:val="20"/>
        </w:rPr>
        <w:t xml:space="preserve">” means Linden Advisors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means modified semi 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MergerSub</w:t>
      </w:r>
      <w:r>
        <w:rPr>
          <w:rFonts w:ascii="Times New Roman;Times;serif" w:hAnsi="Times New Roman;Times;serif"/>
          <w:b w:val="false"/>
          <w:i w:val="false"/>
          <w:caps w:val="false"/>
          <w:smallCaps w:val="false"/>
          <w:color w:val="000000"/>
          <w:spacing w:val="4"/>
          <w:sz w:val="20"/>
        </w:rPr>
        <w:t xml:space="preserve">” means Pegasus MergerSub Corp., a Cayman Islands exempted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Exchange in New York.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OEMs</w:t>
      </w:r>
      <w:r>
        <w:rPr>
          <w:rFonts w:ascii="Times New Roman;Times;serif" w:hAnsi="Times New Roman;Times;serif"/>
          <w:b w:val="false"/>
          <w:i w:val="false"/>
          <w:caps w:val="false"/>
          <w:smallCaps w:val="false"/>
          <w:color w:val="000000"/>
          <w:spacing w:val="4"/>
          <w:sz w:val="20"/>
        </w:rPr>
        <w:t xml:space="preserve">” means original equipment manufacturers.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means the shares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Pegasus</w:t>
      </w:r>
      <w:r>
        <w:rPr>
          <w:rFonts w:ascii="Times New Roman;Times;serif" w:hAnsi="Times New Roman;Times;serif"/>
          <w:b w:val="false"/>
          <w:i w:val="false"/>
          <w:caps w:val="false"/>
          <w:smallCaps w:val="false"/>
          <w:color w:val="000000"/>
          <w:spacing w:val="4"/>
          <w:sz w:val="20"/>
        </w:rPr>
        <w:t xml:space="preserve">” means Pegasus Digital Mobility Acquisition Corp., a Cayman Islands exempted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Private Placement Warrants</w:t>
      </w:r>
      <w:r>
        <w:rPr>
          <w:rFonts w:ascii="Times New Roman;Times;serif" w:hAnsi="Times New Roman;Times;serif"/>
          <w:b w:val="false"/>
          <w:i w:val="false"/>
          <w:caps w:val="false"/>
          <w:smallCaps w:val="false"/>
          <w:color w:val="000000"/>
          <w:spacing w:val="4"/>
          <w:sz w:val="20"/>
        </w:rPr>
        <w:t xml:space="preserve">” means the 9,750,000 warrants originally issued in the private placement that occurred concurrently with the closing of Pegasus’s IPO.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means the 11,250,000 public warrants, each of which is a warrant to purchase one Pegasus Class A Ordinary Share at a price of $11.50 per share, subject to adjustment in accordance with the Warrant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val="false"/>
          <w:i w:val="false"/>
          <w:caps w:val="false"/>
          <w:smallCaps w:val="false"/>
          <w:color w:val="000000"/>
          <w:spacing w:val="4"/>
          <w:sz w:val="20"/>
        </w:rPr>
        <w:t xml:space="preserve">” means collectively the Pegasus Public Warrants and the Pegasus Private Placement Warrants.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xml:space="preserve">” means printed circuit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means research and development.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RMB</w:t>
      </w:r>
      <w:r>
        <w:rPr>
          <w:rFonts w:ascii="Times New Roman;Times;serif" w:hAnsi="Times New Roman;Times;serif"/>
          <w:b w:val="false"/>
          <w:i w:val="false"/>
          <w:caps w:val="false"/>
          <w:smallCaps w:val="false"/>
          <w:color w:val="000000"/>
          <w:spacing w:val="4"/>
          <w:sz w:val="20"/>
        </w:rPr>
        <w:t xml:space="preserve">” means the Chinese Renminbi.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xml:space="preserve">” means semi-additive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SCHMID</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SEPA</w:t>
      </w:r>
      <w:r>
        <w:rPr>
          <w:rFonts w:ascii="Times New Roman;Times;serif" w:hAnsi="Times New Roman;Times;serif"/>
          <w:b w:val="false"/>
          <w:i w:val="false"/>
          <w:caps w:val="false"/>
          <w:smallCaps w:val="false"/>
          <w:color w:val="000000"/>
          <w:spacing w:val="4"/>
          <w:sz w:val="20"/>
        </w:rPr>
        <w:t xml:space="preserve">” means the Standby Equity Purchase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xml:space="preserve">” means Pegasus Digital Mobility Sponsor LLC., a Cayman Islands limited liability company, which is the sponsor of Pegasus.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TopCo</w:t>
      </w:r>
      <w:r>
        <w:rPr>
          <w:rFonts w:ascii="Times New Roman;Times;serif" w:hAnsi="Times New Roman;Times;serif"/>
          <w:b w:val="false"/>
          <w:i w:val="false"/>
          <w:caps w:val="false"/>
          <w:smallCaps w:val="false"/>
          <w:color w:val="000000"/>
          <w:spacing w:val="4"/>
          <w:sz w:val="20"/>
        </w:rPr>
        <w:t>” means Pegasus TopCo B.V., a Dutch private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xml:space="preserve">) which has been converted and renamed to SCHMID Group N.V. on April 30, 2024.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XJ Harbour</w:t>
      </w:r>
      <w:r>
        <w:rPr>
          <w:rFonts w:ascii="Times New Roman;Times;serif" w:hAnsi="Times New Roman;Times;serif"/>
          <w:b w:val="false"/>
          <w:i w:val="false"/>
          <w:caps w:val="false"/>
          <w:smallCaps w:val="false"/>
          <w:color w:val="000000"/>
          <w:spacing w:val="4"/>
          <w:sz w:val="20"/>
        </w:rPr>
        <w:t xml:space="preserve">” means XJ Harbour HK Limited.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Yorkville</w:t>
      </w:r>
      <w:r>
        <w:rPr>
          <w:rFonts w:ascii="Times New Roman;Times;serif" w:hAnsi="Times New Roman;Times;serif"/>
          <w:b w:val="false"/>
          <w:i w:val="false"/>
          <w:caps w:val="false"/>
          <w:smallCaps w:val="false"/>
          <w:color w:val="000000"/>
          <w:spacing w:val="4"/>
          <w:sz w:val="20"/>
        </w:rPr>
        <w:t xml:space="preserve">” means YA II PN, Ltd.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RF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or may contain forward-looking statements that involve significant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risks and uncertainties. The risks and uncertainties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condition and operating results;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in general economic conditions in the Federal Republic of Germany (“</w:t>
      </w:r>
      <w:r>
        <w:rPr>
          <w:rFonts w:ascii="Times New Roman;Times;serif" w:hAnsi="Times New Roman;Times;serif"/>
          <w:b/>
          <w:i w:val="false"/>
          <w:caps w:val="false"/>
          <w:smallCaps w:val="false"/>
          <w:color w:val="000000"/>
          <w:spacing w:val="-4"/>
          <w:sz w:val="20"/>
        </w:rPr>
        <w:t>Germany</w:t>
      </w:r>
      <w:r>
        <w:rPr>
          <w:rFonts w:ascii="Times New Roman;Times;serif" w:hAnsi="Times New Roman;Times;serif"/>
          <w:b w:val="false"/>
          <w:i w:val="false"/>
          <w:caps w:val="false"/>
          <w:smallCaps w:val="false"/>
          <w:color w:val="000000"/>
          <w:spacing w:val="4"/>
          <w:sz w:val="20"/>
        </w:rPr>
        <w:t xml:space="preserve">”), the European Union, the United States of America and the People’s Republic of China, including changes in the unemployment rate, the level of energy and consumer prices, wage levels, tariff and trade barrier pricing, etc.;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remain in compliance with financial covenants under our financing arrangements;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extend, renew or refinance our existing debt;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liquidity and losses from operations and projected cash flows and related impact on our ability to continue as a going concern;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growth, expansion and acquisition prospects and strategies, the success of such strategies, and the benefits we believe can be derived from such strategies;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inventory and inventory reserves;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impairments of our goodwill or other intangible assets;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customer spending patterns and overall levels of investment;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further upgrade our information technology systems and infrastructure, including our accounting processes and functions;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remedy weaknesses in our internal controls;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as a result of operating as a public company;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assumptions regarding interest rates and inflation;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affecting currency exchange rates;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continuing business disruptions arising from the on-going war in Ukraine and ongoing hostilities in the Middle East;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and ability to obtain financing in the future to implement our business strategy and fund capital expenditures, acquisitions and other general corporate activities;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future capital expenditures needed to preserve our asset base;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acceptance of our products by our customers and our ability to adapt to technological changes;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in the market for embedded traces, glass substrate technology in our products;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competitive environment and in our competition level;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accidents, terrorist attacks, natural disasters, fires, environmental damage, or systemic delivery failures;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attract and retain qualified personnel, consultants and collaborators;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relating to dividend payments and forecasts of our ability to make such payments.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known and unknown risks and uncertainties and are based on potentially inaccurate assumptions that could cause actual results to differ materially from those expected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Actual results could differ materially from those anticipated in forward-looking statements for many reasons, including the factors described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inherently uncertain, and you are cautioned not to unduly rely 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UM"/>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bdr w:val="single" w:sz="8" w:space="1" w:color="000000"/>
        </w:rPr>
        <w:t>PCB</w:t>
      </w:r>
      <w:r>
        <w:rPr>
          <w:rFonts w:ascii="Times New Roman;Times;serif" w:hAnsi="Times New Roman;Times;serif"/>
          <w:b w:val="false"/>
          <w:i w:val="false"/>
          <w:caps w:val="false"/>
          <w:smallCaps w:val="false"/>
          <w:color w:val="000000"/>
          <w:spacing w:val="4"/>
          <w:sz w:val="20"/>
          <w:bdr w:val="single" w:sz="8" w:space="1" w:color="00000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bdr w:val="single" w:sz="8" w:space="1" w:color="000000"/>
        </w:rPr>
        <w:t>SAP</w:t>
      </w:r>
      <w:r>
        <w:rPr>
          <w:rFonts w:ascii="Times New Roman;Times;serif" w:hAnsi="Times New Roman;Times;serif"/>
          <w:b w:val="false"/>
          <w:i w:val="false"/>
          <w:caps w:val="false"/>
          <w:smallCaps w:val="false"/>
          <w:color w:val="000000"/>
          <w:spacing w:val="4"/>
          <w:sz w:val="20"/>
          <w:bdr w:val="single" w:sz="8" w:space="1" w:color="000000"/>
        </w:rPr>
        <w:t>”) and modified semi additive processes (“</w:t>
      </w:r>
      <w:r>
        <w:rPr>
          <w:rFonts w:ascii="Times New Roman;Times;serif" w:hAnsi="Times New Roman;Times;serif"/>
          <w:b/>
          <w:i w:val="false"/>
          <w:caps w:val="false"/>
          <w:smallCaps w:val="false"/>
          <w:color w:val="000000"/>
          <w:spacing w:val="-4"/>
          <w:sz w:val="20"/>
          <w:bdr w:val="single" w:sz="8" w:space="1" w:color="000000"/>
        </w:rPr>
        <w:t>mSAP</w:t>
      </w:r>
      <w:r>
        <w:rPr>
          <w:rFonts w:ascii="Times New Roman;Times;serif" w:hAnsi="Times New Roman;Times;serif"/>
          <w:b w:val="false"/>
          <w:i w:val="false"/>
          <w:caps w:val="false"/>
          <w:smallCaps w:val="false"/>
          <w:color w:val="000000"/>
          <w:spacing w:val="4"/>
          <w:sz w:val="20"/>
          <w:bdr w:val="single" w:sz="8" w:space="1" w:color="00000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have developed and applied for patents for the embedded traces (“</w:t>
      </w:r>
      <w:r>
        <w:rPr>
          <w:rFonts w:ascii="Times New Roman;Times;serif" w:hAnsi="Times New Roman;Times;serif"/>
          <w:b/>
          <w:i w:val="false"/>
          <w:caps w:val="false"/>
          <w:smallCaps w:val="false"/>
          <w:color w:val="000000"/>
          <w:spacing w:val="-4"/>
          <w:sz w:val="20"/>
          <w:bdr w:val="single" w:sz="8" w:space="1" w:color="000000"/>
        </w:rPr>
        <w:t>ET</w:t>
      </w:r>
      <w:r>
        <w:rPr>
          <w:rFonts w:ascii="Times New Roman;Times;serif" w:hAnsi="Times New Roman;Times;serif"/>
          <w:b w:val="false"/>
          <w:i w:val="false"/>
          <w:caps w:val="false"/>
          <w:smallCaps w:val="false"/>
          <w:color w:val="000000"/>
          <w:spacing w:val="4"/>
          <w:sz w:val="20"/>
          <w:bdr w:val="single" w:sz="8" w:space="1" w:color="00000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customers include large, global original equipment manufacturer (“OEM”)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Business Operations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Electronics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OEM and PCB/substrate manufacturers in the world and have historical or ongoing joint development projects for future technologies and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ET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After Sales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offer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Business Strategies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High-Power solutions.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Events in 2025 and 2026</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NASDAQ Delinquency and Delisting Notices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Listing Rule 5250(c)(1). In accordance with NASDAQ rules the Company submitted a plan to regain compliance with the Listing Rules on July 14, 2025 and was granted an extension by NASDAQ until November 11, 2025 to regain compliance.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 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NASDAQ rules. In application of NASDAQ listing rule 5815(d)(4)(B), the Company is currently subject to a mandatory panel monitoring period of one year from the date of the letter, that is until February 19,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Debt Set-Off and Share Issuance Agreements with XJ Harbour and with AVACO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second tranche of up to €7,500,000 was set to be drawn down early in 2026, but was not utilized due to the Company issuing USD 30 million in convertible notes (see below).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7.00% Senior Convertible Notes due 2028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accounts managed by Linden. The 2028 Convertible Notes were issued at 98% of principal amount pursuant to the governing indenture in two tranches to Linden Capital L.P., Crown Managed Accounts SPC and PCH Manager Fund SPC: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noteholders of the 2028 Convertible Notes provided conversion notices and were issued ordinary shares of the Company as follows: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5, 2026 at a share price of $6.0918 and a total of 331,183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25, 2026 at a share price of $5.9946 and a total of 337,850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8, 2026 at a share price of $4.8241 and a total of 420,873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20, 2026 at a share price of $5.3676 and a total of 379,127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23, 2026 at a share price of $5.3676 and a total of 379,344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24, 2026 at a share price of $5.8267 and a total of 349,521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May 18, 2026 at a share price of $5.4920 and a total of 372,522 shares were issued.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May 22, 2026 at a share price of $6.1573 and a total of 332,522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June 16, 2026 at a share price of $4.8122 and a total of 427,409 shares were issued.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 million convertible notes plus accrued interest were converted on August 5, 2026 at a share price of $3.5650 and a total of 283,177 shares were issued.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September 17, 2026 at a share price of $2.9974 and a total of 679,051 shares were issued.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as of the date of this registration statement, the aggregate principal amount now amounts to $9 million in 2028 Convertible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issuance of the 2028 Convertible Notes, the Company also issued warrants to the accounts managed by Linden to purchase shares of the Company in an amount determined by reference to the principal amount of the 2028 Convertible Notes. In connection with the funding of the second tranche of the 2028 Convertible Notes on March 5, 2026, as contractually agreed in the investment agreement, further warrants were issued and the exercise price for all warrants was adjusted to be $8.0125 (subject to anti-dilution protection mechanisms). A total of 3,744,150 warrants were issued to the accounts managed by Linden. The warrants are exercisable until December 15, 2028, at an exercise price equal to the lower of the applicable fixed premium conversion prices under the 2028 Convertible Notes, exercisable for cash or, at the Company’s election, on a cashless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signing of the investment agreement dated July 7, 2026, in relation to the issuance and sale of the 2029 Convertible Notes,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Appointment of Arthur Schuetz as the new CFO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Arthur Schuetz was appointed by the Board as the new CFO of SCHMID Group N.V. as of January 1, 2026, replacing Julia Natterer, who continues to serve as CFO of Gebr. SCHMID GmbH.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Share issuances and set-off agreements with majority shareholders and related parties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w:t>
      </w:r>
      <w:r>
        <w:rPr>
          <w:rFonts w:ascii="Times New Roman;Times;serif" w:hAnsi="Times New Roman;Times;serif"/>
          <w:b/>
          <w:i w:val="false"/>
          <w:caps w:val="false"/>
          <w:smallCaps w:val="false"/>
          <w:color w:val="000000"/>
          <w:spacing w:val="-4"/>
          <w:sz w:val="20"/>
          <w:bdr w:val="single" w:sz="8" w:space="1" w:color="000000"/>
        </w:rPr>
        <w:t>VWAP</w:t>
      </w:r>
      <w:r>
        <w:rPr>
          <w:rFonts w:ascii="Times New Roman;Times;serif" w:hAnsi="Times New Roman;Times;serif"/>
          <w:b w:val="false"/>
          <w:i w:val="false"/>
          <w:caps w:val="false"/>
          <w:smallCaps w:val="false"/>
          <w:color w:val="000000"/>
          <w:spacing w:val="4"/>
          <w:sz w:val="20"/>
          <w:bdr w:val="single" w:sz="8" w:space="1" w:color="000000"/>
        </w:rPr>
        <w:t xml:space="preserve">”) of the Ordinary Shares immediately preceding the approval by the Board. In relation to EUR 2.4 million of the aggregate financial liabilities (to be off-set in relation to the financial liabilities to Christine Schmid), a 20% discount was applied.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23, 2026, the Board set the applicable VWAP price at USD 7.3309 per share and issued 4,958,481 Ordinary Shares consisting of 2,190,589 Ordinary Shares to Anette Schmid, 1,265,322 Ordinary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to Christian Schmid, 1,028,074 Ordinary Shares to Schmid Grundstücke GmbH &amp; Co KG and 474,496 Ordinary Shares to Christine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Standby Equity Purchase Agreement with Yorkville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New China Manufacturing Campus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Construction is expected to commence following completion of the final land transfer and permitting process and the conclusion of a final, binding agreement. SCHMID currently expects to begin operations at the new facility in the fourth quarter of 2027.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20 Million 5.000% Senior Convertible Notes due 2029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7, 2026, SCHMID entered into an investment agreement with an institutional investor, Linden Advisors LP, to sell, and on July 14, 2026, sold 2029 Convertible Notes in an aggregate principal amount of $20 million convertible into ordinary shares of the Company.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The 2029 Convertible Notes were issued at 99% of principal amount pursuant to the governing indenture to the accounts managed by Linden.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Results for the Six Months Ended June 30, 2026 and Update to the Full-Year 2026 Guidance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25, 2026, the Company published its unaudited financial results for the six months ended June 30, 2026 and updated its full-year 2026 guidance. The following summary is derived from that release and from the unaudited condensed consolidated interim financial statements included elsewhere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Revenues for the six months ended June 30, 2026 amounted to €46.0 million (first quarter: €18.2 million; second quarter: €27.7 million), compared to €16.9 million for the six months ended June 30, 2025. More than half of our revenues in the period were generated in China, which continued to perform stronger than expected, while demand for machines manufactured in our German plant only recently accelerated. Gross profit was €9.8 million (gross margin: 21.2%) compared to €(1.6) million in the prior-year period; the gross margin was lower than anticipated at this revenue level given the product mix shift towards our lower gross margin business in China. The operating result was €(8.0) million (prior-year period: €(7.8) million) and was impacted by increased general administrative expenses due to share-based compensation (€1.4 million), “Sprint” restructuring costs (€0.4 million) and costs associated with the various recapitalization projects (€1.4 million); foreign exchange losses of €1.7 million were also incurred. Adjusted EBITDA was €(0.6) million compared to €(11.6) million in the prior-year period. The net loss for the period was €47.8 million (prior-year period: €10.2 million) and was impacted mostly by non-cash effects related primarily to the accounting treatment of the XJ Harbour liability converted into shares on January 16, 2026 and, to a lesser extent, to the fair-value movements of the Company’s warrants. See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 — Comparison of the Six Months Ended June 30, 2026 and 2025” and “— Non-IFRS Financial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Order intake was €13.6 million in the first quarter and €30.7 million in the second quarter of 2026, and orders received in the third quarter through August 21, 2026 amounted to €52.3 million, bringing order intake to €96.6 million year-to-date as of August 21, 2026. The order backlog stood at €54.8 million as of June 30, 2026 and at €95.0 million as of August 21, 2026. Order intake and order backlog figures relate exclusively to orders for equipment and do not include orders associated with services or spare parts.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Cash used in operating activities in the six months ended June 30, 2026 was €29.3 million, mainly driven by spending on working capital of €26.1 million, from an unusually low negative working capital as of December 31, 2025 to a more normalized level of approximately €14 million as of June 30, 2026. The Company expects working capital to be at the same level or lower by year-end 2026. Financial debt was reduced by close to €30 million between December 31, 2025 and June 30, 2026, including €30.75 million of debt converted into equity or set off since December 31, 2025.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As subsequent events, the $20 million 2029 Convertible Notes were funded on July 14, 2026 and, on September 17, 2026, a further $2 million of 2028 Convertible Notes was converted, leaving $9 million outstanding. The 2029 Convertible Notes can only be converted once all of the 2028 Convertible Notes have been converted. Cash and cash equivalents were €2.3 million as of June 30, 2026 (December 31, 2025: €1.6 million) and, following the closing of the 2029 Convertible Notes, approximately €14.3 million as of July 31, 2026; in addition, approximately $21 million remained available at the Company’s discretion under the SEPA. See “Management’s Discussion and Analysis of Financial Condition and Results of Operations — Liquidity and Capital Resources.”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weaker than expected first-half financial results and on orders and current visibility on second-half performance, the Company confirmed its full-year 2026 revenue guidance of more than €100 million, lowered its full-year 2026 Adjusted EBITDA margin guidance to 6 to 9% (previously more than 12%) and maintained its full-year 2026 order intake guidance of €125 – 150 million, now expecting to be in the upper half of that range. Given order visibility, the Company expects a significant pick-up of revenues for its German plant in the second half of 2026, leading to roughly an equal split of revenues between its two plants in the second half and a higher-margin product mix. Under the “Sprint” cost saving program, the Company identified more than 40 full-time equivalents across German overhead functions for reduction during the first half of 2026, with most departures taking place in the third quarter, and expects €4 million in annual savings to take full effect during the second half of 2026. The Company has entered the next phase, “Sprint II”, a purchasing cost reduction program targeting savings of approximately 5% of material expenses, the majority of which are expected to be realized by year-end 2026. See “Management’s Discussion and Analysis of Financial Condition and Results of Operations — Outlook and Trend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 intends to publish business updates for the third quarter of 2026 by mid-October 2026 and for the fourth quarter of 2026 by mid-January 2027, and to publish its annual report on Form 20-F for the financial year 2026 on or before April 30,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Transfer of Ordinary Shares to Helmut Rauch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qualify as an “emerging growth company” as defined in the Jumpstart Our Business Startups Act of 2012 (“</w:t>
      </w:r>
      <w:r>
        <w:rPr>
          <w:rFonts w:ascii="Times New Roman;Times;serif" w:hAnsi="Times New Roman;Times;serif"/>
          <w:b/>
          <w:i w:val="false"/>
          <w:caps w:val="false"/>
          <w:smallCaps w:val="false"/>
          <w:color w:val="000000"/>
          <w:spacing w:val="-4"/>
          <w:sz w:val="20"/>
          <w:bdr w:val="single" w:sz="8" w:space="1" w:color="000000"/>
        </w:rPr>
        <w:t>JOBS Act</w:t>
      </w:r>
      <w:r>
        <w:rPr>
          <w:rFonts w:ascii="Times New Roman;Times;serif" w:hAnsi="Times New Roman;Times;serif"/>
          <w:b w:val="false"/>
          <w:i w:val="false"/>
          <w:caps w:val="false"/>
          <w:smallCaps w:val="false"/>
          <w:color w:val="000000"/>
          <w:spacing w:val="4"/>
          <w:sz w:val="20"/>
          <w:bdr w:val="single" w:sz="8" w:space="1" w:color="000000"/>
        </w:rPr>
        <w:t xml:space="preserve">”). As an emerging growth company, we intend to take advantage of exemptions from various reporting requirements that are applicable to most other public companies. The exemptions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exemption from the provisions of Section 404(b) of the Sarbanes-Oxley Act requiring that our independent registered public accounting firm provide an attestation report on the effectiveness of our internal control over financial reporting;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reduced disclosure obligations regarding executive compensation;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being required to hold a nonbinding advisory vote on executive compensation or seek shareholder approval of any golden parachute payments not previously approved.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also considered a “foreign private issuer” subject to reporting requirements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xml:space="preserve">”),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rules under the Exchange Act prescribing the furnishing and content of proxy statements to shareholders and requirements that the proxy statements conform to Schedule 14A of the proxy rules promulgated under the Exchange Act;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regulating the solicitation of proxies, consents or authorizations in respect of a security registered under the Exchange Act;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rules under the Exchange Act requiring the filing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of quarterly reports on Form 10-Q containing unaudited financial and other specified information, or current reports on Form 8-K, upon the occurrence of specified significant events; and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 rules on disclosure of compensation on an individual basis unless individual disclosure is required in our home country (the Netherlands) and is not otherwise publicly disclosed by us.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ability to implement business plans, operating models, forecasts, and other expectations and identify and realize additional business opportunities;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faces intense competition in the markets and industries in which it operates, and SCHMID’s competitiveness depends on being successful in new product development and to market its embedded traces and glass substrate technology.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reputation of SCHMID’s brand is an important company asset and is key to SCHMID’s ability to remain a trusted supplier of specialty products, equipment and services. </w:t>
      </w:r>
      <w:r>
        <mc:AlternateContent>
          <mc:Choice Requires="wps">
            <w:drawing>
              <wp:anchor behindDoc="0" distT="0" distB="0" distL="254000" distR="0" simplePos="0" locked="0" layoutInCell="1" allowOverlap="1" relativeHeight="71">
                <wp:simplePos x="0" y="0"/>
                <wp:positionH relativeFrom="column">
                  <wp:align>left</wp:align>
                </wp:positionH>
                <wp:positionV relativeFrom="line">
                  <wp:posOffset>635</wp:posOffset>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profitability could suffer if its cost management strategies are unsuccessful, or SCHMID’s competitors develop an advantageous cost structure that SCHMID cannot match.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direct customers and their direct and indirect customers face numerous competitive challenges, which may materially adversely affect their business and as a result SCHMID’s business.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revenue, earnings, and other operating results have fluctuated in the past and may fluctuate in the future due to the nature of its business.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disruptions to SCHMID’s supply chain, significant increases in material costs, or shortages of critical components, could adversely affect SCHMID’s business and result in increased costs.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financial, geopolitical, epidemiological, or other conditions could result in business disruptions which could seriously harm SCHMID’s future revenue and financial condition and increase SCHMID’s costs and expenses.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Military conflicts in the Middle East and elsewhere in the world could have significant impact on raw material prices, supply chain logistics and end-customer behaviour.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operations and assets in foreign jurisdictions may be subject to significant political and economic uncertainties.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ability to obtain additional capital on commercially reasonable terms may be limited.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is generally subject to substantial regulation and laws and unfavorable changes to, or its failure to comply with, these regulations and/or laws could substantially harm its business and operating results.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Failure of information security and privacy concerns could subject SCHMID to penalties, damage SCHMID’s reputation and brand, and harm SCHMID’s business and results of operations.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may be unable to successfully execute its growth initiatives, business strategies, or operating plans.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know-how and innovations, which it relies on for its current and future business, may not be adequately protected.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patent applications may not be successful, which may have a material adverse effect on SCHMID’s ability to prevent others from commercially exploiting products similar to SCHMID’s products.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were incorporated as a Dutch private limited liability company (</w:t>
      </w:r>
      <w:r>
        <w:rPr>
          <w:rFonts w:ascii="Times New Roman;Times;serif" w:hAnsi="Times New Roman;Times;serif"/>
          <w:b w:val="false"/>
          <w:i/>
          <w:caps w:val="false"/>
          <w:smallCaps w:val="false"/>
          <w:color w:val="000000"/>
          <w:spacing w:val="4"/>
          <w:sz w:val="20"/>
          <w:bdr w:val="single" w:sz="8" w:space="1" w:color="000000"/>
        </w:rPr>
        <w:t>besloten vennootschap met beperkte aansprakelijkheid</w:t>
      </w:r>
      <w:r>
        <w:rPr>
          <w:rFonts w:ascii="Times New Roman;Times;serif" w:hAnsi="Times New Roman;Times;serif"/>
          <w:b w:val="false"/>
          <w:i w:val="false"/>
          <w:caps w:val="false"/>
          <w:smallCaps w:val="false"/>
          <w:color w:val="000000"/>
          <w:spacing w:val="4"/>
          <w:sz w:val="20"/>
          <w:bdr w:val="single" w:sz="8" w:space="1" w:color="000000"/>
        </w:rPr>
        <w:t xml:space="preserve">)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name was changed from Pegasus TopCo B.V. to SCHMID Group N.V. when we converted into a Dutch public limited liability company (</w:t>
      </w:r>
      <w:r>
        <w:rPr>
          <w:rFonts w:ascii="Times New Roman;Times;serif" w:hAnsi="Times New Roman;Times;serif"/>
          <w:b w:val="false"/>
          <w:i/>
          <w:caps w:val="false"/>
          <w:smallCaps w:val="false"/>
          <w:color w:val="000000"/>
          <w:spacing w:val="4"/>
          <w:sz w:val="20"/>
          <w:bdr w:val="single" w:sz="8" w:space="1" w:color="000000"/>
        </w:rPr>
        <w:t>naamloze vennootschap</w:t>
      </w:r>
      <w:r>
        <w:rPr>
          <w:rFonts w:ascii="Times New Roman;Times;serif" w:hAnsi="Times New Roman;Times;serif"/>
          <w:b w:val="false"/>
          <w:i w:val="false"/>
          <w:caps w:val="false"/>
          <w:smallCaps w:val="false"/>
          <w:color w:val="000000"/>
          <w:spacing w:val="4"/>
          <w:sz w:val="20"/>
          <w:bdr w:val="single" w:sz="8" w:space="1" w:color="000000"/>
        </w:rPr>
        <w:t xml:space="preserve">) on April 30, 2024, in connection with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registered in the Commercial Register of the Netherlands Chamber of Commerce (</w:t>
      </w:r>
      <w:r>
        <w:rPr>
          <w:rFonts w:ascii="Times New Roman;Times;serif" w:hAnsi="Times New Roman;Times;serif"/>
          <w:b w:val="false"/>
          <w:i/>
          <w:caps w:val="false"/>
          <w:smallCaps w:val="false"/>
          <w:color w:val="000000"/>
          <w:spacing w:val="4"/>
          <w:sz w:val="20"/>
          <w:bdr w:val="single" w:sz="8" w:space="1" w:color="000000"/>
        </w:rPr>
        <w:t>Kamer van Koophandel</w:t>
      </w:r>
      <w:r>
        <w:rPr>
          <w:rFonts w:ascii="Times New Roman;Times;serif" w:hAnsi="Times New Roman;Times;serif"/>
          <w:b w:val="false"/>
          <w:i w:val="false"/>
          <w:caps w:val="false"/>
          <w:smallCaps w:val="false"/>
          <w:color w:val="000000"/>
          <w:spacing w:val="4"/>
          <w:sz w:val="20"/>
          <w:bdr w:val="single" w:sz="8" w:space="1" w:color="000000"/>
        </w:rPr>
        <w:t>) under number 89188276. Our official seat (</w:t>
      </w:r>
      <w:r>
        <w:rPr>
          <w:rFonts w:ascii="Times New Roman;Times;serif" w:hAnsi="Times New Roman;Times;serif"/>
          <w:b w:val="false"/>
          <w:i/>
          <w:caps w:val="false"/>
          <w:smallCaps w:val="false"/>
          <w:color w:val="000000"/>
          <w:spacing w:val="4"/>
          <w:sz w:val="20"/>
          <w:bdr w:val="single" w:sz="8" w:space="1" w:color="000000"/>
        </w:rPr>
        <w:t>statutaire zetel</w:t>
      </w:r>
      <w:r>
        <w:rPr>
          <w:rFonts w:ascii="Times New Roman;Times;serif" w:hAnsi="Times New Roman;Times;serif"/>
          <w:b w:val="false"/>
          <w:i w:val="false"/>
          <w:caps w:val="false"/>
          <w:smallCaps w:val="false"/>
          <w:color w:val="000000"/>
          <w:spacing w:val="4"/>
          <w:sz w:val="20"/>
          <w:bdr w:val="single" w:sz="8" w:space="1" w:color="000000"/>
        </w:rPr>
        <w:t xml:space="preserve">) is in Amsterdam, the Netherlands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and the mailing and business address of our principal executive office is Robert-Bosch-Str. 32-36, 72250 Freudenstadt, Federal Republic of Germany. Our telephone number is Tel: +49 7441 538 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website at schmid-group.com, where we regularly post copies of our press releases as well as additional information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HO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The summary below describes the principal terms of the offering. The “Description of Securities” section of this registration statements contains a more detailed description of the Company’s securities.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registering the resale by the selling securityholders or its permitted transferees of up to 10,362,693 Ordinary Shares.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Group N.V.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pacing w:val="-4"/>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Ordinary Shares Offered by the selling securityholders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10,362,693 of our Ordinary Shares that are issuable upon the conversion of the 2029 Convertible Notes.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pacing w:val="-4"/>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Securities that may be offered and sold from time to time by the Selling Securityholders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10,362,693 of our Ordinary Shares that are issuable upon the conversion of the 2029 Convertible Notes.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Selling Securityholders</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Ordinary Shares being registered pursuant to this Registration Statement on Form F-1 are being offered by the Selling Securityholders. See “Selling Securityholders” section for more information.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prior to the offering</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66,637,954 Ordinary Shares (including 5,000,000 earn-out shares, which have been issued but have not vested and are subject to cancellation). </w:t>
      </w:r>
    </w:p>
    <w:p>
      <w:pPr>
        <w:pStyle w:val="TextBody"/>
        <w:bidi w:val="0"/>
        <w:spacing w:lineRule="atLeast" w:line="23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after giving effect to the issuance of all Ordinary Shares Registered Hereunder</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giving effect of the issuance of all Ordinary Shares registered hereunder, 77,000,647 of our Ordinary Shares would be outstanding (including 5,000,000 earn-out shares, which have been issued but have not vested and are subject to cancellation).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policy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Dutch law, we may only pay dividends and other distributions from our reserves to the extent our shareholders’ equity (</w:t>
      </w:r>
      <w:r>
        <w:rPr>
          <w:rFonts w:ascii="Times New Roman;Times;serif" w:hAnsi="Times New Roman;Times;serif"/>
          <w:b w:val="false"/>
          <w:i/>
          <w:caps w:val="false"/>
          <w:smallCaps w:val="false"/>
          <w:color w:val="000000"/>
          <w:spacing w:val="4"/>
          <w:sz w:val="20"/>
          <w:bdr w:val="single" w:sz="8" w:space="1" w:color="000000"/>
        </w:rPr>
        <w:t>eigen vermogen</w:t>
      </w:r>
      <w:r>
        <w:rPr>
          <w:rFonts w:ascii="Times New Roman;Times;serif" w:hAnsi="Times New Roman;Times;serif"/>
          <w:b w:val="false"/>
          <w:i w:val="false"/>
          <w:caps w:val="false"/>
          <w:smallCaps w:val="false"/>
          <w:color w:val="000000"/>
          <w:spacing w:val="4"/>
          <w:sz w:val="20"/>
          <w:bdr w:val="single" w:sz="8" w:space="1" w:color="000000"/>
        </w:rPr>
        <w:t>) exceeds the sum of our paid-in and called-up share capital plus the reserves we must maintain under Dutch law or our articles of association (the “</w:t>
      </w:r>
      <w:r>
        <w:rPr>
          <w:rFonts w:ascii="Times New Roman;Times;serif" w:hAnsi="Times New Roman;Times;serif"/>
          <w:b/>
          <w:i w:val="false"/>
          <w:caps w:val="false"/>
          <w:smallCaps w:val="false"/>
          <w:color w:val="000000"/>
          <w:spacing w:val="-4"/>
          <w:sz w:val="20"/>
          <w:bdr w:val="single" w:sz="8" w:space="1" w:color="000000"/>
        </w:rPr>
        <w:t>Articles of Association</w:t>
      </w:r>
      <w:r>
        <w:rPr>
          <w:rFonts w:ascii="Times New Roman;Times;serif" w:hAnsi="Times New Roman;Times;serif"/>
          <w:b w:val="false"/>
          <w:i w:val="false"/>
          <w:caps w:val="false"/>
          <w:smallCaps w:val="false"/>
          <w:color w:val="000000"/>
          <w:spacing w:val="4"/>
          <w:sz w:val="20"/>
          <w:bdr w:val="single" w:sz="8" w:space="1" w:color="000000"/>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Times;serif" w:hAnsi="Times New Roman;Times;serif"/>
          <w:b w:val="false"/>
          <w:i/>
          <w:caps w:val="false"/>
          <w:smallCaps w:val="false"/>
          <w:color w:val="000000"/>
          <w:spacing w:val="4"/>
          <w:sz w:val="20"/>
          <w:bdr w:val="single" w:sz="8" w:space="1" w:color="000000"/>
        </w:rPr>
        <w:t>Dividend Policy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Agent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Use of Proceeds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not receive any proceeds from the resale of Ordinary Shares included in this prospectus by the selling securityholders. See the section entitled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Market for our Ordinary </w:t>
      </w:r>
      <w:r>
        <w:rPr>
          <w:rFonts w:ascii="Times New Roman;Times;serif" w:hAnsi="Times New Roman;Times;serif"/>
          <w:b/>
          <w:i/>
          <w:caps w:val="false"/>
          <w:smallCaps w:val="false"/>
          <w:color w:val="000000"/>
          <w:sz w:val="20"/>
          <w:bdr w:val="single" w:sz="8" w:space="1" w:color="000000"/>
        </w:rPr>
        <w:br/>
      </w:r>
      <w:r>
        <w:rPr>
          <w:rFonts w:ascii="Times New Roman;Times;serif" w:hAnsi="Times New Roman;Times;serif"/>
          <w:b/>
          <w:i/>
          <w:caps w:val="false"/>
          <w:smallCaps w:val="false"/>
          <w:color w:val="000000"/>
          <w:spacing w:val="-4"/>
          <w:sz w:val="20"/>
          <w:bdr w:val="single" w:sz="8" w:space="1" w:color="000000"/>
        </w:rPr>
        <w:t>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ordinary shares are listed on Nasdaq under the symbol “SHMD” and our Public Warrants are listed under the symbol “SHMDW”.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 factors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See “Risk Factors” in this prospectus for a description of certain of the risks you should consider before investing in our ordinary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F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96"/>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 OF SCHMID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Financial Data of SCHMID Group N.V.</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 The summary financial information as of June 30, 2026 and for the six months ended June 30, 2026 and 2025 has been derived from the unaudited condensed consolidated interim financial statements of SCHMID included elsewhere in this prospectus, which have been prepared in accordance with IAS 34 “Interim Financial Reporting”. The results for the six months ended June 30, 2026 are not necessarily indicative of the results to be expected for the full year 2026 or any other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summary historical financial information should be read together with the consolidated financial statements and accompanying notes and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bdr w:val="single" w:sz="8" w:space="1" w:color="000000"/>
        </w:rPr>
        <w:t xml:space="preserve">” appearing elsewhere in this prospectus. The summary historical financial information in this section is not intended to replace our consolidated financial statements and the related notes. Our historical results are not necessarily indicative of our future results.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six months ended June 30, 2026 and 2025</w:t>
      </w:r>
      <w:r>
        <w:rPr>
          <w:rFonts w:ascii="Times New Roman;Times;serif" w:hAnsi="Times New Roman;Times;serif"/>
          <w:b/>
          <w:i w:val="false"/>
          <w:caps w:val="false"/>
          <w:smallCaps w:val="false"/>
          <w:color w:val="000000"/>
          <w:spacing w:val="4"/>
          <w:sz w:val="20"/>
          <w:bdr w:val="single" w:sz="8" w:space="1" w:color="000000"/>
        </w:rPr>
        <w:t xml:space="preserve"> </w:t>
      </w:r>
    </w:p>
    <w:tbl>
      <w:tblPr>
        <w:tblW w:w="7423" w:type="dxa"/>
        <w:jc w:val="left"/>
        <w:tblInd w:w="1393" w:type="dxa"/>
        <w:tblLayout w:type="fixed"/>
        <w:tblCellMar>
          <w:top w:w="0" w:type="dxa"/>
          <w:left w:w="0" w:type="dxa"/>
          <w:bottom w:w="28" w:type="dxa"/>
          <w:right w:w="0" w:type="dxa"/>
        </w:tblCellMar>
      </w:tblPr>
      <w:tblGrid>
        <w:gridCol w:w="4347"/>
        <w:gridCol w:w="109"/>
        <w:gridCol w:w="109"/>
        <w:gridCol w:w="109"/>
        <w:gridCol w:w="109"/>
        <w:gridCol w:w="916"/>
        <w:gridCol w:w="109"/>
        <w:gridCol w:w="109"/>
        <w:gridCol w:w="109"/>
        <w:gridCol w:w="109"/>
        <w:gridCol w:w="109"/>
        <w:gridCol w:w="916"/>
        <w:gridCol w:w="109"/>
        <w:gridCol w:w="154"/>
      </w:tblGrid>
      <w:tr>
        <w:trPr/>
        <w:tc>
          <w:tcPr>
            <w:tcW w:w="43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Gross profit</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Operating profit (loss)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b/>
              </w:rPr>
            </w:pPr>
            <w:r>
              <w:rPr>
                <w:b/>
                <w:spacing w:val="-4"/>
              </w:rPr>
              <w:t>Financial result</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b/>
              </w:rPr>
            </w:pPr>
            <w:r>
              <w:rPr>
                <w:b/>
                <w:spacing w:val="-4"/>
              </w:rPr>
              <w:t>Income (loss) before income tax</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b/>
              </w:rPr>
            </w:pPr>
            <w:r>
              <w:rPr>
                <w:b/>
                <w:spacing w:val="-4"/>
              </w:rPr>
              <w:t>Net income (loss) for the period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Basic and diluted loss per share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(0.24</w:t>
            </w:r>
            <w:r>
              <w:rPr>
                <w:b/>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SCHMID had total assets of €127.2 million (December 31, 2025: €106.3 million), cash and cash equivalents of €2.3 million (December 31, 2025: €1.6 million), current financial liabilities of €28.2 million (December 31, 2025: €87.1 million), non-current financial liabilities of €54.5 million (December 31, 2025: €71.5 million) and total equity of €(30.8) million (December 31, 2025: €(132.2) million). For the six months ended June 30, 2026, cash used in operating activities was €29.3 million, cash used in investing activities was €2.5 million and cash provided by financing activities was €32.6 million.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years ended</w:t>
      </w:r>
      <w:r>
        <w:rPr>
          <w:rFonts w:ascii="Times New Roman;Times;serif" w:hAnsi="Times New Roman;Times;serif"/>
          <w:b/>
          <w:i w:val="false"/>
          <w:caps w:val="false"/>
          <w:smallCaps w:val="false"/>
          <w:color w:val="000000"/>
          <w:sz w:val="20"/>
          <w:bdr w:val="single" w:sz="8" w:space="1" w:color="000000"/>
        </w:rPr>
        <w:t xml:space="preserve"> </w:t>
        <w:br/>
      </w:r>
      <w:r>
        <w:rPr>
          <w:rFonts w:ascii="Times New Roman;Times;serif" w:hAnsi="Times New Roman;Times;serif"/>
          <w:b/>
          <w:i w:val="false"/>
          <w:caps w:val="false"/>
          <w:smallCaps w:val="false"/>
          <w:color w:val="000000"/>
          <w:spacing w:val="-4"/>
          <w:sz w:val="20"/>
          <w:bdr w:val="single" w:sz="8" w:space="1" w:color="000000"/>
        </w:rPr>
        <w:t>December 31, 2025, 2024 and 2023</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IF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by the selling securityholders and other 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securities in the public market by the selling securityholders and/or by our existing Shareholders or selling securityholders of other financial instruments and agreements we entered into could cause the price of our Ordinary Shares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currently 66,637,954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333-296006), a total of 131,052,850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30,926,893 Ordinary Shares they together hold and control make up 50.18%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contribution of shares rather than cash. In addition, Christian Schmid, Anette Schmid and Schmid Grundstücke GmbH &amp; Co KG (which is controlled by them) were issued Ordinary Shares against set-off of liabilities at a share price of $7.3309.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agreed to set off debt owed to them by Pegasus in exchange for Ordinary Shares, at an effective price of $5.10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2028 Convertible Notes were issued in two $15 million tranches and are subject to a floating rate conversion price capped at a floor conversion price of $1.93 and a maximum conversion price of $9.65 per Ordinary Shares. As of the date of this registration statement, 2028 Convertible Notes in an aggregate principal amount of $21 million have been converted at share prices ranging from $2.9974 to $6.1573 per share. The 2026 Warrants are issued in two tranches and are also subject to an exercise price of $8.0125 per Ordinary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the Company issued 2029 Convertible Notes with aggregate principal amount of $20 million which are subject to a floating rate conversion price capped at a floor conversion price of $1.93 and a maximum conversion price of $10.50 per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$3.3150 as of September 16,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strike price of the 2026 Warrants (warrants issued in connection with the issuance of our 2028 Convertible Notes) is $8.0125, which also means that the Company may not receive any proceeds from such 2026 Warrants in the near future or at all if the holders of the 2026 Warrants do not exercise them until they expire in 2028.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Technology,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markets and industries in which we operate, we face intense competition and our failure to compete successfully in product development may have an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because some of our competitors are small divisions of large, international businesses, these competitors may have access to greater resources than we do and may therefore be better able to withstand a change in conditions within our industry or the economy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reputation of our brand is an important company asset and is key to our ability to remain a trusted supplier of specialty products, equipment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maintained a strong reputation in the electronics industries for more than 50 years. Our products, equipment and services are associated with long-lasting and reliable high quality.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products, we have established ourselves as one of the leaders in quality and innovation in the markets in which we operate. For that reason, our customers are willing to pay above market prices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profitability could suffer if our cost management strategies are unsuccessful, or our competitors develop an advantageous cost structure that we cannot match.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planned rates of growth, and our business, financial condition, and results of operations could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continuously develop new, improved and more cost-effective technologies and products, this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direct customers and their direct and indirect customers face numerous competitive challenges, which may materially adversely affect their business and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revenue, earnings, and other operating results have fluctuated in the past and may fluctuate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demand for our products fluctuates as a result of economic conditions or for other reasons, our revenue and profitability could be impacted. Our future operating results will depend on many factors,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political, and macroeconomic changes, and the overall global economy;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wars or public health crises;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expectations for inflation, unemployment levels, and energy or other commodity prices;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our customers’ and their customers’ products;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forecast our customers’ demand for our products accurately;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anticipate secular trends that affect demand for our products and the degree to which those trends materialize;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cost savings and improve yields and margins on our new and existing products; and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capacity efficiently or acquire additional capacity in response to customer demand.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our future operating results could be adversely affected by one or more of the factors set forth above or other similar factors. If our future operating results are below the expectations of stock market analysts or our investors, our stock price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disruptions to our supply chain, significant increase in material costs, or shortages of critical components, could adversely affect our business and result in increased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drivers of the electronics market include the large investments related to the fast growing artificial intelligence industry, specifically into servers, datacenters and electronic components such as chips. If this growth decreases or investments decrease or don’t create the expected returns our growth and financial results may be negatively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 For example, for the six months ended June 30, 2026 our gross margin of 21.2% was lower than anticipated at that revenue level given the product mix shift towards our lower gross margin business in China, and on August 25, 2026 we lowered our full-year 2026 Adjusted EBITDA margin guidance to 6 to 9% from more than 12% while confirming our revenue guidance of more than €100 million. There can be no assurance that our updated guidance will be met.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Difficult and volatile conditions in the capital, credit and commodities markets and in the overall economy could have a material adverse effect on our business, financial condition, results of operations, and 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volatility in commodity prices, we may encounter difficulty in achieving sustained market acceptance of past or future price increases, which could have a material adverse effect on our business, financial condition, results of operations, and cash flows;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respond to market conditions, we may need to seek waivers from certain provisions in financing agreements, and in such case, there can be no assurance that we can obtain such waivers at a reasonable cost, if at all;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result in our key customers experiencing financial difficulties and/or electing to limit spending, which in turn could result in decreased sales and earnings for us.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exchange rate fluctuations and volatility in global currency markets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costs and the majority of our revenues are denominated in currencies other than the Euro, with most of our non-Euro denominated revenues being in RMB and USD while most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costs being denominated in Euro. While most of our RMB revenues are matched by RMB costs, a weakening of the USD against the EUR and to a lesser extent a weaking of the RMB against the EUR, could have a negative effect on our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Natural disasters, catastrophes, fire, or other unexpected events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retain existing key customers, or if our key customers fail to grow their own sales in the future, our business, results of operations, and financial condition could be materially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financial condition, and results of operations could be adversely affected by decreases in the average selling prices of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elect to discontinue products that are significantly affected by such price decreases, we can provide no assurance that any such discontinuation will mitigate the related declines in our financial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required to record an impairment charge on our accounts receivable if we are unable to collect the outstanding balances from our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financial, geopolitical, epidemiological, or other conditions could result in business disruptions which could seriously harm our future revenue and financial condition and increase our costs and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global operations subject us to increased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trade disputes that could result in tariffs or other protectionist measures;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instability, including regime changes, and corruption; </w:t>
      </w:r>
      <w:r>
        <mc:AlternateContent>
          <mc:Choice Requires="wps">
            <w:drawing>
              <wp:anchor behindDoc="0" distT="73660" distB="0" distL="508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terrorism and military actions in response to such acts; </w:t>
      </w:r>
      <w:r>
        <mc:AlternateContent>
          <mc:Choice Requires="wps">
            <w:drawing>
              <wp:anchor behindDoc="0" distT="73660" distB="0" distL="508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military conflicts and negative impact on our global logistics requirements; </w:t>
      </w:r>
      <w:r>
        <mc:AlternateContent>
          <mc:Choice Requires="wps">
            <w:drawing>
              <wp:anchor behindDoc="0" distT="74930" distB="0" distL="508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changes in regulatory environments and government interference in the economy; </w:t>
      </w:r>
      <w:r>
        <mc:AlternateContent>
          <mc:Choice Requires="wps">
            <w:drawing>
              <wp:anchor behindDoc="0" distT="74930" distB="0" distL="508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economic sanctions laws and regulations, including regulatory exemptions that currently authorize certain of our limited dealings involving sanctioned countries; </w:t>
      </w:r>
      <w:r>
        <mc:AlternateContent>
          <mc:Choice Requires="wps">
            <w:drawing>
              <wp:anchor behindDoc="0" distT="74930" distB="0" distL="508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increasingly stringent laws related to privacy and consumer and data protection, including the EU General Data Protection Regulation and US State privacy and security breach notification laws; </w:t>
      </w:r>
      <w:r>
        <mc:AlternateContent>
          <mc:Choice Requires="wps">
            <w:drawing>
              <wp:anchor behindDoc="0" distT="74930" distB="0" distL="508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unrest, crime, strikes, riots and civil disturbances; </w:t>
      </w:r>
      <w:r>
        <mc:AlternateContent>
          <mc:Choice Requires="wps">
            <w:drawing>
              <wp:anchor behindDoc="0" distT="74930" distB="0" distL="508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tax regimes, including with respect to the imposition of confiscatory taxes, other unexpected taxes, or withholding taxes on remittances and other payments by our partnerships or subsidiaries; </w:t>
      </w:r>
      <w:r>
        <mc:AlternateContent>
          <mc:Choice Requires="wps">
            <w:drawing>
              <wp:anchor behindDoc="0" distT="74930" distB="0" distL="508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labor regulations, particularly in Germany and China where we have a significant number of employees; </w:t>
      </w:r>
      <w:r>
        <mc:AlternateContent>
          <mc:Choice Requires="wps">
            <w:drawing>
              <wp:anchor behindDoc="0" distT="74930" distB="0" distL="508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rising wages and rates of inflation; </w:t>
      </w:r>
      <w:r>
        <mc:AlternateContent>
          <mc:Choice Requires="wps">
            <w:drawing>
              <wp:anchor behindDoc="0" distT="74930" distB="0" distL="508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foreign currency exchange rates and foreign exchange controls and restrictions on repatriation of funds; </w:t>
      </w:r>
      <w:r>
        <mc:AlternateContent>
          <mc:Choice Requires="wps">
            <w:drawing>
              <wp:anchor behindDoc="0" distT="7493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outbreak of disease pandemics and responsive governmental measures; </w:t>
      </w:r>
      <w:r>
        <mc:AlternateContent>
          <mc:Choice Requires="wps">
            <w:drawing>
              <wp:anchor behindDoc="0" distT="7493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collect payments, or seek recourse under, or comply with ambiguous or vague commercial or other laws; </w:t>
      </w:r>
      <w:r>
        <mc:AlternateContent>
          <mc:Choice Requires="wps">
            <w:drawing>
              <wp:anchor behindDoc="0" distT="74930" distB="0" distL="508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obtaining, or denial of, export licenses or delay or interruption of the transportation of our products; </w:t>
      </w:r>
      <w:r>
        <mc:AlternateContent>
          <mc:Choice Requires="wps">
            <w:drawing>
              <wp:anchor behindDoc="0" distT="74930" distB="0" distL="508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protections for intellectual property rights; </w:t>
      </w:r>
      <w:r>
        <mc:AlternateContent>
          <mc:Choice Requires="wps">
            <w:drawing>
              <wp:anchor behindDoc="0" distT="7493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risk of cybersecurity incidents and cyberattacks from third-party and state actors and privacy violations; </w:t>
      </w:r>
      <w:r>
        <mc:AlternateContent>
          <mc:Choice Requires="wps">
            <w:drawing>
              <wp:anchor behindDoc="0" distT="7493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attracting and retaining qualified management and employees; </w:t>
      </w:r>
      <w:r>
        <mc:AlternateContent>
          <mc:Choice Requires="wps">
            <w:drawing>
              <wp:anchor behindDoc="0" distT="74930" distB="0" distL="508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credit risk and different financial conditions of customers and distributors may necessitate longer payment cycles of accounts receivable or result in increased bad debt write-offs (including due to bankruptcy) or additions to reserves; </w:t>
      </w:r>
      <w:r>
        <mc:AlternateContent>
          <mc:Choice Requires="wps">
            <w:drawing>
              <wp:anchor behindDoc="0" distT="7493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business practices, which may require us to enter into agreements that include non-standard terms; and </w:t>
      </w:r>
      <w:r>
        <mc:AlternateContent>
          <mc:Choice Requires="wps">
            <w:drawing>
              <wp:anchor behindDoc="0" distT="74930" distB="0" distL="508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penetrating new markets due to entrenched competitors, lack of recognition of our brand, and lack of local acceptance of our products and services. </w:t>
      </w:r>
      <w:r>
        <mc:AlternateContent>
          <mc:Choice Requires="wps">
            <w:drawing>
              <wp:anchor behindDoc="0" distT="0" distB="0" distL="508000" distR="0" simplePos="0" locked="0" layoutInCell="1" allowOverlap="1" relativeHeight="118">
                <wp:simplePos x="0" y="0"/>
                <wp:positionH relativeFrom="column">
                  <wp:align>left</wp:align>
                </wp:positionH>
                <wp:positionV relativeFrom="line">
                  <wp:posOffset>635</wp:posOffset>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any of the foregoing factors or any combination thereof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insured against all potential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use and operate certain portions of our facilities may be limited by the validity of, or a default or termination under, our real property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operations and assets in foreign jurisdictions may be subject to significant political and economic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presented by the foreign legal systems could limit the legal protections available to us and subject us to legal risks, which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increases in labor costs in China could have an adverse impact on our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Chinese government’s policy on foreign investment in China may adversely affect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Chinese government may enact further restrictive measures in the future which could adversely affect our reputation,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obtain additional capital on commercially reasonable terms may be limited.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obtain capital on commercially reasonable terms, it could: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funds available to us for purposes such as working capital, capital expenditures, research and development, strategic acquisitions, and other general corporate purposes; </w:t>
      </w:r>
      <w:r>
        <mc:AlternateContent>
          <mc:Choice Requires="wps">
            <w:drawing>
              <wp:anchor behindDoc="0" distT="6731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introduce new products or exploit business opportunities; </w:t>
      </w:r>
      <w:r>
        <mc:AlternateContent>
          <mc:Choice Requires="wps">
            <w:drawing>
              <wp:anchor behindDoc="0" distT="673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vulnerability to economic downturns and competitive pressures in the markets in which we operate; and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competitive disadvantage.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may need to engage in equity or debt financings to secure additional funds. On January 18, 2026 the Company entered into an investment agreement in relation to the issuance of 2028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Convertible Notes and 2026 Warrants. On July 7, 2026 the Company entered into an investment agreement in relation to the issuance of 2029 Convertible Notes. Under the terms of the 2028 Convertible Notes and the 2029 Convertible Notes, the Company is restricted from incurring additional debt until a substantial portion of the 2028 Convertible Notes and the 2029 Convertible Notes has been converted. Specifically, this restriction remains in place until the outstanding balance of the 2028 Convertible Notes and the 2029 Convertible Notes has been reduced to $5 million and $9 million or less respectively.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we entered into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 fee under the SEPA, thereby making the SEPA available for use by the Company. The Company has utilized the SEPA and, as of date of this registration statement, has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Regulation and Litigation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results may be affected by tariffs, border adjustment taxes or other adverse trade restrictions.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international scope of our operations and our corporate and financing structure may expose us to potentially adverse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comply with trade restrictions such as economic sanctions and export controls could negatively impact our reputation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will be subject to anti-corruption, anti-bribery,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Non-compliance with anti-corruption, anti-bribery, anti-money laundering or financial and economic sanctions laws could subject us to whistleblower complaints, adverse media coverage, investigations,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adversely affected by changes in legislation and regulation, which may impact how we provide products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operate in a litigious environment, which may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comply with environmental, health and safety laws and regulations, we could become subject to fines or penalties or incur costs that could have a material adverse effect on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climate change legislation could negatively impact our results of operations or limit our ability to operate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of information security and privacy concerns could subject us to penalties, damage our reputation and brand, and harm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which became effective in 2018, and the State of California adopted the California Consumer Privacy Act of 2018 (“</w:t>
      </w:r>
      <w:r>
        <w:rPr>
          <w:rFonts w:ascii="Times New Roman;Times;serif" w:hAnsi="Times New Roman;Times;serif"/>
          <w:b/>
          <w:i w:val="false"/>
          <w:caps w:val="false"/>
          <w:smallCaps w:val="false"/>
          <w:color w:val="000000"/>
          <w:spacing w:val="-4"/>
          <w:sz w:val="20"/>
        </w:rPr>
        <w:t>CCPA</w:t>
      </w:r>
      <w:r>
        <w:rPr>
          <w:rFonts w:ascii="Times New Roman;Times;serif" w:hAnsi="Times New Roman;Times;serif"/>
          <w:b w:val="false"/>
          <w:i w:val="false"/>
          <w:caps w:val="false"/>
          <w:smallCaps w:val="false"/>
          <w:color w:val="000000"/>
          <w:spacing w:val="4"/>
          <w:sz w:val="20"/>
        </w:rPr>
        <w:t xml:space="preserve">”);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proceedings against us by governmental entities or others, and damage to our reputation and credibility, and could have a negative impact on revenues and profits.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Employee Matters, Managing Growth, and Relationships with Suppliers and Other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continue to attract, motivate, and retain members of our senior management team and qualified employees, we may not be able to support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acquire other businesses which could require significant management attention, disrupt our business, dilute shareholder value, and adversely affect our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successfully execute on our growth initiatives, business strategies, or operating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employees may engage in misconduct or other improper activities, including noncompliance with regulatory standards and requirements, internal codes of conduct, and insider trading prohibition.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ourselves or asserting our rights) such misconduct or actions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Increases in costs or reductions in the supplies of our specialty and commodity raw materials required for our manufacturing, testing, and operations processes could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upon our information technology systems, which are subject to interruption and failure.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SCHMID’s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know-how and innovations may not be adequately protected.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patent applications may not be successful, which may have a material adverse effect on our ability to prevent others from commercially exploiting products similar to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defend ourselves against patent or trademark infringement claims, which may be time- consuming and would cause us to incur substantial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Being a Public Company listed on a U.S. Stock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improve our operational and financial systems to support our growth goals, increasingly complex business arrangements, and rules governing revenue and expense recognition and any inability to do so will adversely affect our billing and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spring of 2025 the Company failed to finalize its financial reporting for 2024 or publish its annual report on Form 20-F in a timely manner due to delays in resolving accounting issues, as well as liquidity issues facing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a majority of the Board consist of independent directors;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nominating and corporate governance committee that is composed entirely of independent directors with a written charter addressing the committee’s purpose and responsibilities;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compensation committee that is composed entirely of independent directors with a written charter addressing the committee’s purpose and responsibilities; and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an annual performance evaluation of the nominating and corporate governance committee and compensation committee.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Anette Schmid and Christian Schmid jointly have the power to control the outcome of shareholder actions in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Anette Schmid and Christian Schmid jointly held 50.18% of our outstanding Ordinary Shares not taking into account 5 million non-vested earn-out shares held by them which are contractually restricted from voting (53.91% if the non-vested earnout shares are taken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and trading volume of our Ordinary Shares and Public Warrants may be volatile and could decline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meet continued listing requirements could result in a delisting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publish negative reports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our reduced SEC reporting requirements may make our shares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obligations under the Sarbanes-Oxley Act may require substantial financial and management resources and shareholders may have fewer advantages until we cease to be an emerging growth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prior to the Business Combination, we were not a publicly reporting company required to comply with Section 404 of the Sarbanes-Oxley Act (“Section 404”). Our management may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may not be able to assess whether its internal control over financial reporting is effective, which may subject us to adverse regulatory consequences and could harm investor confidence and the market price of our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rights of shareholders in companies subject to Dutch corporate law differ in material respects from the rights of shareholders of corporations incorporated in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Dutch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obligated to, and do not, comply with all best practice provisions of the 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Dutch Corporate Governance Code (the “</w:t>
      </w:r>
      <w:r>
        <w:rPr>
          <w:rFonts w:ascii="Times New Roman;Times;serif" w:hAnsi="Times New Roman;Times;serif"/>
          <w:b/>
          <w:i w:val="false"/>
          <w:caps w:val="false"/>
          <w:smallCaps w:val="false"/>
          <w:color w:val="000000"/>
          <w:spacing w:val="-4"/>
          <w:sz w:val="20"/>
        </w:rPr>
        <w:t>DCGC</w:t>
      </w:r>
      <w:r>
        <w:rPr>
          <w:rFonts w:ascii="Times New Roman;Times;serif" w:hAnsi="Times New Roman;Times;serif"/>
          <w:b w:val="false"/>
          <w:i w:val="false"/>
          <w:caps w:val="false"/>
          <w:smallCaps w:val="false"/>
          <w:color w:val="000000"/>
          <w:spacing w:val="4"/>
          <w:sz w:val="20"/>
        </w:rPr>
        <w:t xml:space="preserve">”). The DCGC contains both principles and best practice provisions on corporate governance that regulate relations between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 listed on the NASDAQ. Any such non-compliance may affect your rights as a shareholder, and you may not have the same level of protection as a shareholder in a Dutch company that fully complies with the DCGC.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not be able to exercise pre-emptive rights and, as a result, may experience substantial dilution upon future issuances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notes of $1 million to $2 million in each case, a total of 4,292,579 shares have been issued. Shareholders may continue to be diluted if the holders chose to convert further notes in the future. Currently $9 million remains outstanding under the 2028 Convertible Notes and $20 million remains outstanding under the 2029 Convertible Notes. In addition to any further conversions by the accounts managed by Linden of the 2028 Convertible Notes and the 2029 Convertible Notes, the Company has 21,000,000 Warrants outstanding and an additional 3,744,150 warrants held by the accounts managed by Linden, which would dilute shareholders’ shareholding if exercised. The Company has also signed a SEPA with Yorkville on May 12, 2026 under which it has access to equity financing of up to USD 30.0 million. As of the date of this registration statement, the Company has issued 1,490,000 Ordinary Shares, and may continue to issue Ordinary Shares under the SEPA. The share issuances under this SEPA also dilute shareholders’ shareholding.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under Dutch law and our Articles of Association may limit 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may have difficulty enforcing civil liabilities against us or the members of our management and our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German and European insolvency laws are substantially different from U.S. insolvency laws and may offer our shareholders less protection than they would have under U.S. insolvency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be subject to limitations on transfers of their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Articles of Association include sole and exclusive forum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residency, including for purposes of the German-Dutch tax treaty, could be challenged, which could result in additional tax liabilities, compliance burdens, and adverse financial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in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utilize our net operating loss and tax credit carryforwards to offset future taxable income may be subject to certain limitations, including losses as a result of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changes to tax laws could materially and adversely affect us and reduce net returns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 countries where we have operations and where we are organized or deemed a resident for tax purposes, and increase the complexity, burden, and cost of tax 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or become a PFIC, which could result in adverse U.S. federal income tax consequences to U.S. holders of Ordinary Shares or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USO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OFFERING PRICE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2029 Convertible Notes is determined by the conversion price mechanism in the indenture, which provides for a floor conversion price of $1.93 and a maximum conversion price of $10.50 per Ordinary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Securityholders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Securityholders may sell the Ordinary Shares.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F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FOR ORDINARY SHARES AND 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Private Warrants are currently listed on the Nasdaq Global Select Market under the symbols “SHMD” and “SHMDW,” respectively. We currently do not intend to list the Private Warrants offered hereby on any stock exchange or stock market.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ordinary shares and we do not anticipate paying any dividends on our ordinary shares for the foreseeable future. We currently intend to retain any earnings for future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A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our capitalization as of June 30, 2026. The information in this table should be read in conjunction with the financial statements and notes thereto and other financial information included in this prospectus and any prospectus supplement and the information under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also sets out an “as adjusted” column showing the effects of the following transactions completed after June 30, 2026: (a) the issuance of the 2029 Convertible Notes in an aggregate principal amount of $20 million on July 14, 2026, and (b) the conversion of $1.0 million and $2.0 million of 2028 Convertible Notes (plus accrued interest) into Ordinary Shares on August 5, 2026 and September 17, 2026 respectively. The issuance of shares to XJ Harbour HK Limited on January 16, 2026, the issuance of the 2028 Convertible Notes and the conversion of $18 million thereof through June 30, 2026, the issuance of 4,958,481 Ordinary Shares against the set-off of €30.75 million of indebtedness on May 23, 2026 and the shares issued under the SEPA through June 30, 2026 are reflected in the actual amounts as of June 30, 2026. The “as adjusted” column does not show the effects of certain other smaller transactions such as issuances of shares to managers and board directors.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results do not necessarily indicate our expected results for any future periods. </w:t>
      </w:r>
    </w:p>
    <w:tbl>
      <w:tblPr>
        <w:tblW w:w="8172" w:type="dxa"/>
        <w:jc w:val="left"/>
        <w:tblInd w:w="1393" w:type="dxa"/>
        <w:tblLayout w:type="fixed"/>
        <w:tblCellMar>
          <w:top w:w="0" w:type="dxa"/>
          <w:left w:w="0" w:type="dxa"/>
          <w:bottom w:w="28" w:type="dxa"/>
          <w:right w:w="0" w:type="dxa"/>
        </w:tblCellMar>
      </w:tblPr>
      <w:tblGrid>
        <w:gridCol w:w="5096"/>
        <w:gridCol w:w="109"/>
        <w:gridCol w:w="109"/>
        <w:gridCol w:w="109"/>
        <w:gridCol w:w="109"/>
        <w:gridCol w:w="916"/>
        <w:gridCol w:w="109"/>
        <w:gridCol w:w="109"/>
        <w:gridCol w:w="109"/>
        <w:gridCol w:w="109"/>
        <w:gridCol w:w="109"/>
        <w:gridCol w:w="916"/>
        <w:gridCol w:w="109"/>
        <w:gridCol w:w="154"/>
      </w:tblGrid>
      <w:tr>
        <w:trPr/>
        <w:tc>
          <w:tcPr>
            <w:tcW w:w="5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(As </w:t>
            </w:r>
            <w:r>
              <w:rPr/>
              <w:br/>
            </w:r>
            <w:r>
              <w:rPr>
                <w:spacing w:val="-3"/>
              </w:rPr>
              <w:t xml:space="preserve">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Cash and cash equivalents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283"/>
              <w:jc w:val="left"/>
              <w:rPr/>
            </w:pPr>
            <w:r>
              <w:rPr>
                <w:spacing w:val="-4"/>
              </w:rPr>
              <w:t>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2029 Convertible Notes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17,553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Other current and non-current financial liabilities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Total financial liabilities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97,578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Equity attributable to 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 converted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Non-controlling interest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Total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(28,160)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(as adjusted) includes the net proceeds from the 2029 Convertible Notes with an initial principal amount of $20 million, issued at 99% of principal amount, less $1 million of fees, shown at an exchange rate of €1 to $1.1394. Cash and cash equivalents amounted to approximately €18.3 million as of August 31, 2026.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2028 Convertible Notes with a principal amount of $12 million outstanding as of June 30, 2026; as adjusted: $9 million following the conversion of $3.0 million principal amount on August 5 and September 17, 2026, shown at an exchange rate of €1 to $1.1394.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2029 Convertible Notes with a principal amount of $20 million issued on July 14, 2026, shown at an exchange rate of €1 to $1.1394.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liabilities includes other current and non-current financial liabilities.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financial liabilities do not include lease liabilities of €8.3 million as of June 30, 2026 (non-current: €7.0 million; current: €1.4 million). In addition, they also do not include certain other liabilities which are not financial liabilities.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conversion of $3.0 million principal amount on July 5 and August 21, 2026, shown at an exchange rate of €1 to $1.1394.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BOC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OF SCHMID AND CERTAIN INFORMATION ABOUT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indicates otherwise, the terms “Company”, “SCHMID,” “we,” “our” or “us” as used herein refers to Gebr. Schmid GmbH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and modified semi additive processes (“</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developed and applied for patents for the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customers include large, global original equipment manufacturer (“</w:t>
      </w:r>
      <w:r>
        <w:rPr>
          <w:rFonts w:ascii="Times New Roman;Times;serif" w:hAnsi="Times New Roman;Times;serif"/>
          <w:b/>
          <w:i w:val="false"/>
          <w:caps w:val="false"/>
          <w:smallCaps w:val="false"/>
          <w:color w:val="000000"/>
          <w:spacing w:val="-4"/>
          <w:sz w:val="20"/>
        </w:rPr>
        <w:t>OEM</w:t>
      </w:r>
      <w:r>
        <w:rPr>
          <w:rFonts w:ascii="Times New Roman;Times;serif" w:hAnsi="Times New Roman;Times;serif"/>
          <w:b w:val="false"/>
          <w:i w:val="false"/>
          <w:caps w:val="false"/>
          <w:smallCaps w:val="false"/>
          <w:color w:val="000000"/>
          <w:spacing w:val="4"/>
          <w:sz w:val="20"/>
        </w:rPr>
        <w:t xml:space="preserve">”)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6"/>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Business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our revenue by country (based on customer location) for the fiscal year 2025: </w:t>
      </w:r>
    </w:p>
    <w:tbl>
      <w:tblPr>
        <w:tblW w:w="5221"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graphic provides an overview of our key product lines and the processes where our machines are used (our machines are used in the process steps marked dark blue):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257800" cy="3124200"/>
            <wp:effectExtent l="0" t="0" r="0" b="0"/>
            <wp:docPr id="1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 descr=""/>
                    <pic:cNvPicPr>
                      <a:picLocks noChangeAspect="1" noChangeArrowheads="1"/>
                    </pic:cNvPicPr>
                  </pic:nvPicPr>
                  <pic:blipFill>
                    <a:blip r:embed="rId2"/>
                    <a:stretch>
                      <a:fillRect/>
                    </a:stretch>
                  </pic:blipFill>
                  <pic:spPr bwMode="auto">
                    <a:xfrm>
                      <a:off x="0" y="0"/>
                      <a:ext cx="5257800" cy="3124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7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C+ Line are vertical spin-process machines for developing, flash-etching and surface treatment. </w:t>
      </w:r>
      <w:r>
        <mc:AlternateContent>
          <mc:Choice Requires="wps">
            <w:drawing>
              <wp:anchor behindDoc="0" distT="10922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V+ Line are machines for a vertical inline process for developing, etching and stripping applications.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P+ Line are machines for high-end single panel electroplating tools.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CMP is a full format chemical mechanical polishing equipment for leveling copper.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PlasmaLine are vertical inline and cluster plasma etching and sputtering machines.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InfinityLine A+ is used for automation of process equipment for fully automatic loading and unloading.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H+ Line are machines for a horizontal inline processing for multiple processes and applications.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equipment includes various special equipment for horizontal inline processing and software solutions for such equipment.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Customers in 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ET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Times;serif" w:hAnsi="Times New Roman;Times;serif"/>
          <w:b/>
          <w:i w:val="false"/>
          <w:caps w:val="false"/>
          <w:smallCaps w:val="false"/>
          <w:color w:val="000000"/>
          <w:spacing w:val="-4"/>
          <w:sz w:val="20"/>
        </w:rPr>
        <w:t>ESG</w:t>
      </w:r>
      <w:r>
        <w:rPr>
          <w:rFonts w:ascii="Times New Roman;Times;serif" w:hAnsi="Times New Roman;Times;serif"/>
          <w:b w:val="false"/>
          <w:i w:val="false"/>
          <w:caps w:val="false"/>
          <w:smallCaps w:val="false"/>
          <w:color w:val="000000"/>
          <w:spacing w:val="4"/>
          <w:sz w:val="20"/>
        </w:rPr>
        <w:t xml:space="preserve">”)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ET technology can (i) increase production yields with reduced facility requirements, (ii) enable new 3D packaging solutions that cover ratification intelligence and photonic applications,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Sales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Strategies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8001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Procurement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purchase local and imported parts, but also commodities. We have long-standing relationships with our most trusted suppliers and employ specified and diligent processes for qualifying new suppliers.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Research and Development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research and development (“</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basic research activities, we collaborate with customers, strategic partners and leading research institutions worldwide in the electronics, photovoltaics and energy storage sectors.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Electronics.</w:t>
      </w:r>
      <w:r>
        <w:rPr>
          <w:rFonts w:ascii="Times New Roman;Times;serif" w:hAnsi="Times New Roman;Times;serif"/>
          <w:b w:val="false"/>
          <w:i w:val="false"/>
          <w:caps w:val="false"/>
          <w:smallCaps w:val="false"/>
          <w:color w:val="000000"/>
          <w:spacing w:val="4"/>
          <w:sz w:val="20"/>
        </w:rPr>
        <w:t xml:space="preserve">   Our R&amp;D efforts in the electronics market focus on advancing applications for the new ET process, conducting customer sampling, and supporting product optimization. We also continue to enhance equipment capabilities to meet next-generation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Photovoltaics.</w:t>
      </w:r>
      <w:r>
        <w:rPr>
          <w:rFonts w:ascii="Times New Roman;Times;serif" w:hAnsi="Times New Roman;Times;serif"/>
          <w:b w:val="false"/>
          <w:i w:val="false"/>
          <w:caps w:val="false"/>
          <w:smallCaps w:val="false"/>
          <w:color w:val="000000"/>
          <w:spacing w:val="4"/>
          <w:sz w:val="20"/>
        </w:rPr>
        <w:t xml:space="preserve">   In photovoltaics, our R&amp;D activities relate primarily to the enhancement and expansion of the next generation of our InfinityLine systems for alkaline structuring and polishing.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more than 150 scientists, researchers and engineers globally, working across multiple laboratories equipped with advanced technologies and research infrastructure, more than 30 of which work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developed additional revenue opportunities through paid R&amp;D engagements. We expect licensing revenue to increase over time as our installed base expands.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had 734 employees. As of June 30, 2026, we had approximately 800 employees. The biggest departments are production, engineering, sales and procurement. We have not experienced any work stoppages, slowdowns or other serious labor problems that have materially impeded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Safety and Environmental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r>
        <w:rPr>
          <w:rFonts w:ascii="Times New Roman;Times;serif" w:hAnsi="Times New Roman;Times;serif"/>
          <w:b w:val="false"/>
          <w:i/>
          <w:caps w:val="false"/>
          <w:smallCaps w:val="false"/>
          <w:color w:val="000000"/>
          <w:spacing w:val="4"/>
          <w:sz w:val="20"/>
        </w:rPr>
        <w:t>(Lieferkettensorgfaltspflichtengesetz</w:t>
      </w:r>
      <w:r>
        <w:rPr>
          <w:rFonts w:ascii="Times New Roman;Times;serif" w:hAnsi="Times New Roman;Times;serif"/>
          <w:b w:val="false"/>
          <w:i w:val="false"/>
          <w:caps w:val="false"/>
          <w:smallCaps w:val="false"/>
          <w:color w:val="000000"/>
          <w:spacing w:val="4"/>
          <w:sz w:val="20"/>
        </w:rPr>
        <w:t xml:space="preserve">), we have nevertheless implemented a Code of Conduct for our employees and suppliers that aims to ensure that working conditions in our supply chain are safe and suitable.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general course of business, we sometimes face legal proceedings and claims against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subsidiary SCHMID China Ltd. (“</w:t>
      </w:r>
      <w:r>
        <w:rPr>
          <w:rFonts w:ascii="Times New Roman;Times;serif" w:hAnsi="Times New Roman;Times;serif"/>
          <w:b/>
          <w:i w:val="false"/>
          <w:caps w:val="false"/>
          <w:smallCaps w:val="false"/>
          <w:color w:val="000000"/>
          <w:spacing w:val="-4"/>
          <w:sz w:val="20"/>
        </w:rPr>
        <w:t>SCL</w:t>
      </w:r>
      <w:r>
        <w:rPr>
          <w:rFonts w:ascii="Times New Roman;Times;serif" w:hAnsi="Times New Roman;Times;serif"/>
          <w:b w:val="false"/>
          <w:i w:val="false"/>
          <w:caps w:val="false"/>
          <w:smallCaps w:val="false"/>
          <w:color w:val="000000"/>
          <w:spacing w:val="4"/>
          <w:sz w:val="20"/>
        </w:rPr>
        <w:t xml:space="preserve">”)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2025, Gebr. SCHMID GmbH announced that it has filed a lawsuit against Shenzhen China Science &amp; Technology Co., Ltd. (“</w:t>
      </w:r>
      <w:r>
        <w:rPr>
          <w:rFonts w:ascii="Times New Roman;Times;serif" w:hAnsi="Times New Roman;Times;serif"/>
          <w:b/>
          <w:i w:val="false"/>
          <w:caps w:val="false"/>
          <w:smallCaps w:val="false"/>
          <w:color w:val="000000"/>
          <w:spacing w:val="-4"/>
          <w:sz w:val="20"/>
        </w:rPr>
        <w:t>China SC</w:t>
      </w:r>
      <w:r>
        <w:rPr>
          <w:rFonts w:ascii="Times New Roman;Times;serif" w:hAnsi="Times New Roman;Times;serif"/>
          <w:b w:val="false"/>
          <w:i w:val="false"/>
          <w:caps w:val="false"/>
          <w:smallCaps w:val="false"/>
          <w:color w:val="000000"/>
          <w:spacing w:val="4"/>
          <w:sz w:val="20"/>
        </w:rPr>
        <w:t xml:space="preserve">”) over allegations of trademark infringement and unauthorized copying of proprietary technology. The lawsuit involves, in particular, a claim for injunctive relief against China SC for use of the SCHMID Group’s intellectual property and for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2025, Validus Broker Dealer Investment Management Company LLC (“</w:t>
      </w:r>
      <w:r>
        <w:rPr>
          <w:rFonts w:ascii="Times New Roman;Times;serif" w:hAnsi="Times New Roman;Times;serif"/>
          <w:b/>
          <w:i w:val="false"/>
          <w:caps w:val="false"/>
          <w:smallCaps w:val="false"/>
          <w:color w:val="000000"/>
          <w:spacing w:val="-4"/>
          <w:sz w:val="20"/>
        </w:rPr>
        <w:t>Validus Broker Dealer</w:t>
      </w:r>
      <w:r>
        <w:rPr>
          <w:rFonts w:ascii="Times New Roman;Times;serif" w:hAnsi="Times New Roman;Times;serif"/>
          <w:b w:val="false"/>
          <w:i w:val="false"/>
          <w:caps w:val="false"/>
          <w:smallCaps w:val="false"/>
          <w:color w:val="000000"/>
          <w:spacing w:val="4"/>
          <w:sz w:val="20"/>
        </w:rPr>
        <w:t xml:space="preserve">”)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Organizational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diagram depicts our organizational structure as of the date of this annual report (including the material subsidiaries):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4600575"/>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3"/>
                    <a:stretch>
                      <a:fillRect/>
                    </a:stretch>
                  </pic:blipFill>
                  <pic:spPr bwMode="auto">
                    <a:xfrm>
                      <a:off x="0" y="0"/>
                      <a:ext cx="4676775" cy="460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list of SCHMID’s subsidiaries see Exhibit 8.1 “</w:t>
      </w:r>
      <w:r>
        <w:rPr>
          <w:rFonts w:ascii="Times New Roman;Times;serif" w:hAnsi="Times New Roman;Times;serif"/>
          <w:b w:val="false"/>
          <w:i/>
          <w:caps w:val="false"/>
          <w:smallCaps w:val="false"/>
          <w:color w:val="000000"/>
          <w:spacing w:val="4"/>
          <w:sz w:val="20"/>
        </w:rPr>
        <w:t>List of Subsidiaries of SCHMID N.V.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New China Manufacturing Campus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Construction is expected to commence following completion of the final land transfer and permitting process and the conclusion of a final, binding agreement. SCHMID currently expects to begin operations at the new facility approximately in the fourth quarter of 2027.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DOR"/>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Factors Affecting Our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performance and future success depend on several factors which have affected our previous performance in the periods for which financial information is presented in this registration statement. These factors include: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growth in our key PCB market and Advanced Packaging Solutions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customer base and new applications. Due to positive feedback from our customers, we expect to receive orders for our ET technology as well as for our TGV Etching system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Developments in Orders from our Core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Trends affecting the Demand for our Customers’ End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Macroeconomic and Geopolitical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Segment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has prepared IFRS financial statements and segment reporting. See note 6 of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Components of 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certain components of our consolidated statements of profit and loss and certain factors that impact those items: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includes personnel expenses, material expenses, depreciation and amortization, and certain other expenses such as costs for outward freight, production-related short-term leases, and facility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Administration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principally consists of foreign currency gains and other miscellaneous income such as government grants.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foreign currency losses, other taxes, disposal of assets, and miscellaneous other items. Miscellaneous other items mainly include banking fees and other service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Six Months Ended June 30, 2026 and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six months ended June 30, 2026 and 2025. </w:t>
      </w:r>
    </w:p>
    <w:tbl>
      <w:tblPr>
        <w:tblW w:w="5883" w:type="dxa"/>
        <w:jc w:val="left"/>
        <w:tblInd w:w="1393" w:type="dxa"/>
        <w:tblLayout w:type="fixed"/>
        <w:tblCellMar>
          <w:top w:w="0" w:type="dxa"/>
          <w:left w:w="0" w:type="dxa"/>
          <w:bottom w:w="28" w:type="dxa"/>
          <w:right w:w="0" w:type="dxa"/>
        </w:tblCellMar>
      </w:tblPr>
      <w:tblGrid>
        <w:gridCol w:w="2807"/>
        <w:gridCol w:w="109"/>
        <w:gridCol w:w="109"/>
        <w:gridCol w:w="109"/>
        <w:gridCol w:w="109"/>
        <w:gridCol w:w="916"/>
        <w:gridCol w:w="109"/>
        <w:gridCol w:w="109"/>
        <w:gridCol w:w="109"/>
        <w:gridCol w:w="109"/>
        <w:gridCol w:w="109"/>
        <w:gridCol w:w="916"/>
        <w:gridCol w:w="109"/>
        <w:gridCol w:w="154"/>
      </w:tblGrid>
      <w:tr>
        <w:trPr/>
        <w:tc>
          <w:tcPr>
            <w:tcW w:w="28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Selling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638" w:type="dxa"/>
        <w:jc w:val="left"/>
        <w:tblInd w:w="1393" w:type="dxa"/>
        <w:tblLayout w:type="fixed"/>
        <w:tblCellMar>
          <w:top w:w="0" w:type="dxa"/>
          <w:left w:w="0" w:type="dxa"/>
          <w:bottom w:w="28" w:type="dxa"/>
          <w:right w:w="0" w:type="dxa"/>
        </w:tblCellMar>
      </w:tblPr>
      <w:tblGrid>
        <w:gridCol w:w="3562"/>
        <w:gridCol w:w="109"/>
        <w:gridCol w:w="109"/>
        <w:gridCol w:w="109"/>
        <w:gridCol w:w="109"/>
        <w:gridCol w:w="916"/>
        <w:gridCol w:w="109"/>
        <w:gridCol w:w="109"/>
        <w:gridCol w:w="109"/>
        <w:gridCol w:w="109"/>
        <w:gridCol w:w="109"/>
        <w:gridCol w:w="916"/>
        <w:gridCol w:w="109"/>
        <w:gridCol w:w="154"/>
      </w:tblGrid>
      <w:tr>
        <w:trPr/>
        <w:tc>
          <w:tcPr>
            <w:tcW w:w="3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shd w:fill="CCEEFF" w:val="clear"/>
            <w:tcMar>
              <w:bottom w:w="0" w:type="dxa"/>
            </w:tcMar>
            <w:vAlign w:val="center"/>
          </w:tcPr>
          <w:p>
            <w:pPr>
              <w:pStyle w:val="TableContents"/>
              <w:bidi w:val="0"/>
              <w:spacing w:before="0" w:after="0"/>
              <w:jc w:val="left"/>
              <w:rPr>
                <w:b/>
              </w:rPr>
            </w:pPr>
            <w:r>
              <w:rPr>
                <w:b/>
                <w:spacing w:val="-4"/>
              </w:rPr>
              <w:t>Operating profit (loss)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16" w:type="dxa"/>
            <w:tcBorders/>
            <w:shd w:fill="CCEEFF" w:val="clear"/>
            <w:tcMar>
              <w:bottom w:w="0" w:type="dxa"/>
            </w:tcMar>
            <w:vAlign w:val="center"/>
          </w:tcPr>
          <w:p>
            <w:pPr>
              <w:pStyle w:val="TableContents"/>
              <w:bidi w:val="0"/>
              <w:spacing w:before="0" w:after="0"/>
              <w:jc w:val="right"/>
              <w:rPr>
                <w:b/>
              </w:rPr>
            </w:pPr>
            <w:r>
              <w:rPr>
                <w:b/>
              </w:rPr>
              <w:t>(7,804)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Financial result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Share of loss from equity investees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2"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(46,793)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(10,090)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638" w:type="dxa"/>
            <w:gridSpan w:val="14"/>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9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€16.9 million in the six months ended June 30, 2025 to €46.0 million in the six months ended June 30, 2026 (first quarter 2026: €18.2 million; second quarter 2026: €27.7 million). Revenues of the segment Technical Equipment &amp; Processes increased from €10.7 million to €39.4 million, spare parts and services revenues increased from €5.9 million to €6.4 million and licensing and other revenues amounted to €0.2 million. More than half of our revenues in the six months ended June 30, 2026 were generated in China, which continued to perform stronger than expected, while demand for machines manufactured in our German plant only recently accelerated. Revenues in the six months ended June 30, 2025 had been affected by limited and delayed order intake caused by global trade frictions and uncertainty about tariffs.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our order backlog for equipment amounted to €54.8 million (December 31, 2025: €50.9 million) and increased to €95.0 million as of August 21, 2026. Order backlog figures relate exclusively to orders for equipment and do not include orders associated with services or spare parts. Order backlog is expected to be realized within 12 months.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€18.5 million in the six months ended June 30, 2025 to €36.2 million in the six months ended June 30, 2026, reflecting the significantly higher revenue volume.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€(1.6) million in the six months ended June 30, 2025 to €9.8 million in the six months ended June 30, 2026. As a result, our gross profit margin increased from (9.7)% in the six months ended June 30, 2025 to 21.2%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€5.8 million in the six months ended June 30, 2025 to €5.4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increased from €5.5 million in the six months ended June 30, 2025 to €8.5 million in the six months ended June 30, 2026, driven by the various reorganization programs, including share-based compensation of €1.4 million (with front-loaded expense recognition relative to the two-year service period of the awards), “Sprint” restructuring costs of €0.4 million and advisory expenses of €1.4 million related to the financings, the debt-to-equity swaps, two Form 20-F filings within three months and various registration statement filings.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increased from €1.6 million in the six months ended June 30, 2025 to €2.4 million in the six months ended June 30, 2026. The increase in research and development expenses was primarily attributable to higher expenditure on projects that had not yet met the criteria for capitalization and were therefore expensed as incurred.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decreased from €6.9 million in the six months ended June 30, 2025 to €1.3 million in the six months ended June 30, 2026. Other income in the six months ended June 30, 2025 had benefited from foreign exchange gains of €6.3 million.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increased from €0.3 million in the six months ended June 30, 2025 to €2.7 million in the six months ended June 30, 2026, mainly reflecting a net foreign exchange loss of €1.7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€7.8 million in the six months ended June 30, 2025 and an operating loss of €8.0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changed from a net expense of €2.0 million for the six months ended June 30, 2025 to a net expense of €38.7 million for the six months ended June 30, 2026. The financial result for the six months ended June 30, 2026 was impacted mostly by non-cash effects related primarily to the accounting treatment of the XJ Harbour liability converted into shares on January 16, 2026 and, to a lesser extent, to the fair-value movements of the Company’s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€1.0 million in the six months ended June 30, 2026, compared to €0.1 million in the six months ended June 30,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year ended December 31, 2025 and 2024. </w:t>
      </w:r>
    </w:p>
    <w:tbl>
      <w:tblPr>
        <w:tblW w:w="7401" w:type="dxa"/>
        <w:jc w:val="left"/>
        <w:tblInd w:w="1393" w:type="dxa"/>
        <w:tblLayout w:type="fixed"/>
        <w:tblCellMar>
          <w:top w:w="0" w:type="dxa"/>
          <w:left w:w="0" w:type="dxa"/>
          <w:bottom w:w="28" w:type="dxa"/>
          <w:right w:w="0" w:type="dxa"/>
        </w:tblCellMar>
      </w:tblPr>
      <w:tblGrid>
        <w:gridCol w:w="4325"/>
        <w:gridCol w:w="109"/>
        <w:gridCol w:w="109"/>
        <w:gridCol w:w="109"/>
        <w:gridCol w:w="109"/>
        <w:gridCol w:w="916"/>
        <w:gridCol w:w="109"/>
        <w:gridCol w:w="109"/>
        <w:gridCol w:w="109"/>
        <w:gridCol w:w="109"/>
        <w:gridCol w:w="109"/>
        <w:gridCol w:w="916"/>
        <w:gridCol w:w="109"/>
        <w:gridCol w:w="154"/>
      </w:tblGrid>
      <w:tr>
        <w:trPr/>
        <w:tc>
          <w:tcPr>
            <w:tcW w:w="43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(50,928)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(48,791)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16,017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12,044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(81,772)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(72,244)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(5,712)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Share of profit (loss) in joint ventures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(71,141)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(85,596)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1,492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tcMar>
              <w:bottom w:w="4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tcMar>
              <w:bottom w:w="40" w:type="dxa"/>
            </w:tcMar>
            <w:vAlign w:val="center"/>
          </w:tcPr>
          <w:p>
            <w:pPr>
              <w:pStyle w:val="TableContents"/>
              <w:bidi w:val="0"/>
              <w:spacing w:before="0" w:after="283"/>
              <w:jc w:val="right"/>
              <w:rPr/>
            </w:pPr>
            <w:r>
              <w:rPr/>
              <w:t>(84,104)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intake in particular in the first half, caused by global trade frictions and uncertainty about tariffs. Orders started to come back strongly during Q2 of the year with revenues rebouncing in Q3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services revenue increased from €3.9 million in the year ended December 31, 2024 to €4.1 million in the year ended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 </w:t>
      </w:r>
    </w:p>
    <w:tbl>
      <w:tblPr>
        <w:tblW w:w="5221" w:type="dxa"/>
        <w:jc w:val="left"/>
        <w:tblInd w:w="1393" w:type="dxa"/>
        <w:tblLayout w:type="fixed"/>
        <w:tblCellMar>
          <w:top w:w="0" w:type="dxa"/>
          <w:left w:w="0" w:type="dxa"/>
          <w:bottom w:w="3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3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31, 2025, our order backlog for machine sales amounted to €50.9 million, and the order backlog for spare parts and services amounted to €1.3 million. Order backlog is expected to be realized within 12 months.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€48.8 million in the year ended December 31, 2024 to €50.9 million in the year ended December 31, 2025. This was mainly attributable to an increase in material expenses.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€12.0 million in the year ended December 31, 2024 to €16.0 million in the year ended December 31, 2025. As a result, our gross profit margin increased from 19.8% in the year ended December 31, 2024 to 24.0% in the year ended December 31, 2025. This was mainly attributable to higher revenue growth than cost of sales increase.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€13.0 million in the year ended December 31, 2024 to €12.0 million in the year ended December 31, 2025. This was mainly attributable to a significant decrease in the amount of sales commissions paid out.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decreased from €4.0 million during the year ended December 31, 2024 to €2.8 million in the year ended December 31, 2025. The personnel expenses were the most significant contributor to the decrease.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decreased to €0.6 million in 2025 from €2.6 million in 2024, primarily due to a decrease in foreign currency losses from €2.3 million in 2024 to €0.4 million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€0.04 million in 2025, compared to an income tax benefit of €1.5 million in 2024. The change reflects differences in the recognition of deferred income tax effects and the absence of comparable tax benefits recognized in the prior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Non-IFRS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Adjusted EBITDA reconciled to our net income (loss) for the period, the closest IFRS measure for each period presented. Adjusted EBITDA for the six months ended June 30, 2025 has been recalculated under the Company’s current definition (as previously published, without adjustment for foreign exchange effects, Adjusted EBITDA for the six months ended June 30, 2025 was €(5.3) million): </w:t>
      </w:r>
    </w:p>
    <w:tbl>
      <w:tblPr>
        <w:tblW w:w="8812" w:type="dxa"/>
        <w:jc w:val="left"/>
        <w:tblInd w:w="1393" w:type="dxa"/>
        <w:tblLayout w:type="fixed"/>
        <w:tblCellMar>
          <w:top w:w="0" w:type="dxa"/>
          <w:left w:w="0" w:type="dxa"/>
          <w:bottom w:w="28" w:type="dxa"/>
          <w:right w:w="0" w:type="dxa"/>
        </w:tblCellMar>
      </w:tblPr>
      <w:tblGrid>
        <w:gridCol w:w="2978"/>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58"/>
      </w:tblGrid>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0" w:type="dxa"/>
            <w:gridSpan w:val="10"/>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0" w:type="dxa"/>
            <w:gridSpan w:val="10"/>
            <w:tcBorders/>
            <w:tcMar>
              <w:bottom w:w="0" w:type="dxa"/>
            </w:tcMar>
            <w:vAlign w:val="center"/>
          </w:tcPr>
          <w:p>
            <w:pPr>
              <w:pStyle w:val="TableContents"/>
              <w:bidi w:val="0"/>
              <w:spacing w:before="0" w:after="0"/>
              <w:jc w:val="center"/>
              <w:rPr>
                <w:spacing w:val="-3"/>
              </w:rPr>
            </w:pPr>
            <w:r>
              <w:rPr>
                <w:spacing w:val="-3"/>
              </w:rPr>
              <w:t xml:space="preserve">(in € thousands) </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(47,809)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(1,492)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72,178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2,433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7,315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Share of profit (loss) in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w:t>
            </w:r>
            <w:r>
              <w:rPr>
                <w:spacing w:val="4"/>
              </w:rPr>
              <w:t>Sprint” restructuring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Share-based compensation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Capital structure restructuring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Foreign exchange (gains)/losses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(6,326)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(5,874)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Shareholder loan waiver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Listing and related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Income from SES transaction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(3,703)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Total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(11,584)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(4,607)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(2,417)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Adjusted EBITDA definition for the six months periods ended June 30, 2026 and ended June 30, 2025 have been adjusted compared to the full year Adjusted EBITDA definitions for the years ended December 31, 2025 and ended December 31, 2024 to in particular exclude non-cash expenses related to our IPO, foreign exchange gains and losses and certain other adjustments. The Company intends to use this definition for Adjusted EBITDA going forward. </w:t>
      </w:r>
      <w:r>
        <mc:AlternateContent>
          <mc:Choice Requires="wps">
            <w:drawing>
              <wp:anchor behindDoc="0" distT="8382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of our financial statements included elsewhere in this registration statement.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relates to share and option awards covering the 2026 and 2027 service periods. Capital structure restructuring costs primarily relate to the exceptional volume of financing and regulatory filing activity during the first half of 2026, including multiple Form F-1 registration statements and Form 20-F filings undertaken as part of the Company’s Nasdaq compliance process, together with associated legal, advisory, consulting and printing costs, and costs related to the debt-to-equity conversions; financing costs that are capitalized and amortized over the respective financing terms are excluded. Foreign exchange gains and losses primarily reflect the impact of currency movements and currency conversion transactions during the period and are excluded because they are primarily driven by exchange rate movements and the timing of currency conversions rather than by underlying operating performance. Shareholder loan waiver relates to the gain resulting from €5 million loan waiver by SCHMID’s shareholders. Listing and related expenses in 2024 relates to the share listing expenses of €71,631 thousand as well as other legal and advisory costs associated with the listing of €1,765 thousand. SES deconsolidation is attributable to the partial disposal and deconsolidation of SCHMID Energy Systems GmbH (SES).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result for the six months ended June 30, 2026 includes non-cash effects related primarily to the accounting treatment of the XJ Harbour liability converted into shares on January 16, 2026 and, to a lesser extent, to the fair-value movements of the Company’s warrants.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Sources of Liquidity and Operational and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principally finance our operations through cash generated from the sale of machines, spare parts and services. We also have relied on debt and related-party financing. As of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were €1.6 million and €3.8 million, respectively. As of June 30, 2026, cash and cash equivalents were €2.3 million. Following the closing of the $20.0 million 2029 Convertible Notes on July 14, 2026, cash and cash equivalents were approximately €14.3 million as of July 31, 2026; in addition, approximately $21 million remained available at the Company’s discretion under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(i) a debt-for-equity set-off with XJ Harbour that became effective on January 16, 2026 following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and (iv) in July 2026 issued the 2029 Convertible Notes with an aggregate principal amount of USD 20 million. See also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beginning of June 2026. Under its “Sprint” cost saving program, management identified more than 40 full-time equivalents across German overhead functions for reduction during the first half of 2026, with most departures taking place in the third quarter of 2026, and expects €4 million in annual savings to take full effect during the second half of 2026; the Company has since entered the next phase, “Sprint II”, a purchasing cost reduction program targeting savings of approximately 5% of material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On May 23, 2026, the Company issued and sold in private placements an aggregate of 4,958,481 Ordinary Shares to Anette Schmid, Christian Schmid, Christine Schmid and Schmid Grundstücke GmbH &amp; Co KG to offset an aggregate amount of EUR 30.75 million owed to them thereby reducing the shareholders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June 30, 2026, current financial liabilities totaled €28.2 million and non-current financial liabilities totaled €54.5 million (December 31, 2025: €87.1 million and €71.5 million, respectively). Trade payables and other financial liabilities totaled €37.8 million (December 31, 2025: €38.1 million), and current contract liabilities were €11.9 million (December 31, 2025: €13.6 million). Total equity was €(30.8) million as of June 30, 2026 compared to €(132.2) million as of December 31, 2025, reflecting the conversion of the XJ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Harbour liability into shares on January 16, 2026, the set-off of €30.75 million of shareholder and related-party liabilities against the issuance of Ordinary Shares on May 23, 2026, the conversion of $18 million of 2028 Convertible Notes and the issuance of shares under the SEPA, partially offset by the net loss for the period. Financial debt was reduced by close to €30 million between December 31, 2025 and June 30, 2026.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on September 17, 2026 a further $2 million of 2028 Convertible Notes was converted, leaving $9 million outstanding, and on July 14, 2026 the $20 million 2029 Convertible Notes were funded. The 2029 Convertible Notes can only be converted once all of the 2028 Convertible Notes have been converted.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increased by €26.1 million in the six months ended June 30, 2026, from an unusually low negative working capital as of December 31, 2025 to a more normalized level of approximately €14 million as of June 30, 2026; the Company expects working capital to be at the same level or lower by year-end 2026. Based on the current business plan, the existing order backlog and contractually agreed milestone payments, the Company expects its available liquidity, together with cash flows from operations, to be sufficient to fund its operations and to meet its obligations as they fall due for at least the next twelve months. The Company does not currently anticipate further drawdowns under the SEPA in 2026 and does not plan to incur additional indebtedness at the level of SCHMID Group N.V. or Gebr. Schmid GmbH. The new Chinese manufacturing campus is expected to require approximately €11 million of expenditure, to be financed primarily through local project financing. This financing and potential local bank loans or working capital financing from Chinese banks without any security from SCHMID Group N.V. or Gebr. Schmid GmbH are permitted under the Company’s existing financing arrangements up to a maximum of €20 million.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cash flows for each period presented (in € thousands): </w:t>
      </w:r>
    </w:p>
    <w:tbl>
      <w:tblPr>
        <w:tblW w:w="8812" w:type="dxa"/>
        <w:jc w:val="left"/>
        <w:tblInd w:w="1393" w:type="dxa"/>
        <w:tblLayout w:type="fixed"/>
        <w:tblCellMar>
          <w:top w:w="0" w:type="dxa"/>
          <w:left w:w="0" w:type="dxa"/>
          <w:bottom w:w="28" w:type="dxa"/>
          <w:right w:w="0" w:type="dxa"/>
        </w:tblCellMar>
      </w:tblPr>
      <w:tblGrid>
        <w:gridCol w:w="3181"/>
        <w:gridCol w:w="109"/>
        <w:gridCol w:w="109"/>
        <w:gridCol w:w="111"/>
        <w:gridCol w:w="111"/>
        <w:gridCol w:w="902"/>
        <w:gridCol w:w="111"/>
        <w:gridCol w:w="111"/>
        <w:gridCol w:w="111"/>
        <w:gridCol w:w="111"/>
        <w:gridCol w:w="111"/>
        <w:gridCol w:w="779"/>
        <w:gridCol w:w="111"/>
        <w:gridCol w:w="109"/>
        <w:gridCol w:w="109"/>
        <w:gridCol w:w="112"/>
        <w:gridCol w:w="112"/>
        <w:gridCol w:w="785"/>
        <w:gridCol w:w="112"/>
        <w:gridCol w:w="112"/>
        <w:gridCol w:w="112"/>
        <w:gridCol w:w="112"/>
        <w:gridCol w:w="112"/>
        <w:gridCol w:w="785"/>
        <w:gridCol w:w="112"/>
        <w:gridCol w:w="160"/>
      </w:tblGrid>
      <w:tr>
        <w:trPr/>
        <w:tc>
          <w:tcPr>
            <w:tcW w:w="31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1" w:type="dxa"/>
            <w:tcBorders/>
            <w:shd w:fill="CCEEFF" w:val="clear"/>
            <w:tcMar>
              <w:bottom w:w="0" w:type="dxa"/>
            </w:tcMar>
            <w:vAlign w:val="center"/>
          </w:tcPr>
          <w:p>
            <w:pPr>
              <w:pStyle w:val="TableContents"/>
              <w:bidi w:val="0"/>
              <w:spacing w:before="0" w:after="283"/>
              <w:jc w:val="left"/>
              <w:rPr/>
            </w:pPr>
            <w:r>
              <w:rPr>
                <w:spacing w:val="-4"/>
              </w:rPr>
              <w:t>Cash flow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79"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81" w:type="dxa"/>
            <w:tcBorders/>
            <w:tcMar>
              <w:bottom w:w="0" w:type="dxa"/>
            </w:tcMar>
            <w:vAlign w:val="center"/>
          </w:tcPr>
          <w:p>
            <w:pPr>
              <w:pStyle w:val="TableContents"/>
              <w:bidi w:val="0"/>
              <w:spacing w:before="0" w:after="0"/>
              <w:ind w:left="200" w:right="0" w:hanging="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(29,328)</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79" w:type="dxa"/>
            <w:tcBorders/>
            <w:tcMar>
              <w:bottom w:w="0" w:type="dxa"/>
            </w:tcMar>
            <w:vAlign w:val="center"/>
          </w:tcPr>
          <w:p>
            <w:pPr>
              <w:pStyle w:val="TableContents"/>
              <w:bidi w:val="0"/>
              <w:spacing w:before="0" w:after="283"/>
              <w:jc w:val="right"/>
              <w:rPr/>
            </w:pPr>
            <w:r>
              <w:rPr/>
              <w:t>1,056</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1,250</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(2,578)</w:t>
            </w:r>
          </w:p>
        </w:tc>
        <w:tc>
          <w:tcPr>
            <w:tcW w:w="112"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18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(2,520)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79" w:type="dxa"/>
            <w:tcBorders/>
            <w:shd w:fill="CCEEFF" w:val="clear"/>
            <w:tcMar>
              <w:bottom w:w="0" w:type="dxa"/>
            </w:tcMar>
            <w:vAlign w:val="center"/>
          </w:tcPr>
          <w:p>
            <w:pPr>
              <w:pStyle w:val="TableContents"/>
              <w:bidi w:val="0"/>
              <w:spacing w:before="0" w:after="283"/>
              <w:jc w:val="right"/>
              <w:rPr/>
            </w:pPr>
            <w:r>
              <w:rPr/>
              <w:t>(2,530)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(6,227)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(4,054)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8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902" w:type="dxa"/>
            <w:tcBorders>
              <w:bottom w:val="single" w:sz="2" w:space="0" w:color="000000"/>
            </w:tcBorders>
            <w:tcMar>
              <w:bottom w:w="50" w:type="dxa"/>
            </w:tcMar>
            <w:vAlign w:val="center"/>
          </w:tcPr>
          <w:p>
            <w:pPr>
              <w:pStyle w:val="TableContents"/>
              <w:bidi w:val="0"/>
              <w:spacing w:before="0" w:after="283"/>
              <w:jc w:val="right"/>
              <w:rPr/>
            </w:pPr>
            <w:r>
              <w:rPr/>
              <w:t>32,566</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779"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2,923</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3,959</w:t>
            </w:r>
          </w:p>
        </w:tc>
        <w:tc>
          <w:tcPr>
            <w:tcW w:w="112"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1"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50" w:type="dxa"/>
            </w:tcMar>
            <w:vAlign w:val="center"/>
          </w:tcPr>
          <w:p>
            <w:pPr>
              <w:pStyle w:val="TableContents"/>
              <w:bidi w:val="0"/>
              <w:spacing w:before="0" w:after="283"/>
              <w:jc w:val="right"/>
              <w:rPr/>
            </w:pPr>
            <w:r>
              <w:rPr/>
              <w:t>718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79" w:type="dxa"/>
            <w:tcBorders>
              <w:bottom w:val="double" w:sz="8" w:space="0" w:color="000000"/>
            </w:tcBorders>
            <w:shd w:fill="CCEEFF" w:val="clear"/>
            <w:tcMar>
              <w:bottom w:w="50" w:type="dxa"/>
            </w:tcMar>
            <w:vAlign w:val="center"/>
          </w:tcPr>
          <w:p>
            <w:pPr>
              <w:pStyle w:val="TableContents"/>
              <w:bidi w:val="0"/>
              <w:spacing w:before="0" w:after="283"/>
              <w:jc w:val="right"/>
              <w:rPr/>
            </w:pPr>
            <w:r>
              <w:rPr/>
              <w:t>(1,335)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283"/>
              <w:jc w:val="right"/>
              <w:rPr/>
            </w:pPr>
            <w:r>
              <w:rPr/>
              <w:t>(2,055)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283"/>
              <w:jc w:val="right"/>
              <w:rPr/>
            </w:pPr>
            <w:r>
              <w:rPr/>
              <w:t>(2,673)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cash and cash equivalents decreased by €2.1 million during 2025, compared to a decrease of €2.7 million during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used in operating activities for the six months ended June 30, 2026 was €29.3 million, mainly driven by spending on working capital of €26.1 million (changes in trade and other receivables of €(16.7)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million, inventories of €(5.3) million and trade and related party payables of €(3.5) million), reflecting the increase from an unusually low negative working capital as of December 31, 2025 to a more normalized level of approximately €14 million as of June 30, 2026. Cash used in investing activities for the six months ended June 30, 2026 was €2.5 million, of which €0.8 million related to investments in property, plant and equipment. Cash provided by financing activities for the six months ended June 30, 2026 was €32.6 million, of which €33.1 million was generated from the 2028 Convertible Notes and the SEPA financing, partially offset by repayments of borrowings, lease payments and interest paid. As a result, cash and cash equivalents increased by €0.7 million to €2.3 million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from operating activities for the six months ended June 30, 2025 was €1.1 million, as operating losses were compensated by an increase in payables and working capital inflow. Cash used in investing activities for the six months ended June 30, 2025 was €2.5 million, of which €0.8 million related to investments in property, plant and equipment. Cash provided by financing activities for the six months ended June 30, 2025 was €0.1 million. As a result, cash and cash equivalents decreased by €1.3 million to €2.5 million as of June 30,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fund our operations primarily through operating activities and through debt and equity financing arrangements. During 2025 and 2026 and subsequent to year-end, the Company entered into certain financing arrangements, notably including senior convertible notes and a Standby Equity Purchase Agreement. The Company may issue equity securities or enter into additional debt arrangements in the future, subject to market conditions, contractual obligations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Schmid Group did not have any off-balance sheet arrangements as defined in Item 303(a)(4)(ii)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Outlook and Trend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primarily driven by the global surge in AI-server boards, which require highly demanding HDI and ultra-high layer-count PCB architectures.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and order book figures relate exclusively to orders for equipment and do not include orders associated with services or spare parts. Order intake was €13.6 million in the first quarter of 2026 and €30.7 million in the second quarter of 2026; orders received in the third quarter through August 21, 2026 amounted to €52.3 million, bringing order intake to €96.6 million year-to-date as of August 21, 2026. The order backlog stood at €54.8 million as of June 30, 2026 and at €95.0 million as of August 21, 2026. As anticipated, order intake in the first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quarter of 2026 was seasonally weak, and the Company has seen a significant pick-up, in particular in China, since the second quarter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25, 2026, based on the weaker than expected first-half financial results and on orders and current visibility on second-half performance, the Company confirmed its full-year 2026 revenue guidance of more than €100 million and lowered its full-year 2026 Adjusted EBITDA margin guidance to 6 to 9% (the previously communicated full-year 2026 Adjusted EBITDA margin guidance was that such margin would be more than 12%), (see “— Non-IFRS Financial Information”). Given order visibility, the Company expects a significant pick-up of revenues for its German plant in the second half of 2026, leading to roughly an equal split of revenues between its two plants in the second half of 2026 and a higher-margin product mix. While 2026 is expected to remain a transition year in terms of overall financial performance, management believes that the restructuring and operational groundwork of the first half of 2026, together with the order momentum, positions the Company for a good second half of 2026 and a promising 2027 financial performance in terms of growth and margins.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and SCHMID expects to reach an annual run-rate of cost savings of € 4 million. More than 40 full-time equivalents across German overhead functions were identified for reduction during the first half of 2026, with most departures taking place in the third quarter of 2026, and the savings are expected to take full effect during the second half of 2026; “Sprint” restructuring costs of €0.4 million were incurred in the six months ended June 30, 2026. Having executed “Sprint”, the Company has entered the next phase, “Sprint II”, a purchasing cost reduction program targeting savings of approximately 5% of material expenses; the majority of these savings are expected to be realized by year-end 2026 and the remaining savings are expected to be captured as design-to-cost improvements are implemented. Additionally SCHMID is implementing measures to reduce its listing-related expenses in 2026, with further reductions expected in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sustained improvement in order momentum and enhanced business visibility, management increased its full-year 2026 order intake guidance on July 14, 2026 from approximately €114 million to a range of €125 to €150 million and, on August 25, 2026, maintained that guidance range while indicating that it now expects to be in the upper half of that range. Our forecast for our order intake is based on three reinforcing growth factors that position SCHMID in its growing global target market: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losses or profit shares or losses for the upcoming financial year. Additionally, information that is currently not available to the Company could have a potentially unpredictable and potentially significant impact on its future IFRS financial results.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on critical accounting estimates, see the notes of the Company’s consolidated financial statements, which are included in our financial statements included elsewhere in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MAN"/>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Senior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about SCHMID’s management is based on the provisions of SCHMID’s Articles of Association, which is included as an exhibit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the names and positions of those individuals are SCHMID’s directors and executive officers. </w:t>
      </w:r>
    </w:p>
    <w:tbl>
      <w:tblPr>
        <w:tblW w:w="7820" w:type="dxa"/>
        <w:jc w:val="left"/>
        <w:tblInd w:w="1393" w:type="dxa"/>
        <w:tblLayout w:type="fixed"/>
        <w:tblCellMar>
          <w:top w:w="0" w:type="dxa"/>
          <w:left w:w="0" w:type="dxa"/>
          <w:bottom w:w="50" w:type="dxa"/>
          <w:right w:w="0" w:type="dxa"/>
        </w:tblCellMar>
      </w:tblPr>
      <w:tblGrid>
        <w:gridCol w:w="2476"/>
        <w:gridCol w:w="109"/>
        <w:gridCol w:w="109"/>
        <w:gridCol w:w="4972"/>
        <w:gridCol w:w="154"/>
      </w:tblGrid>
      <w:tr>
        <w:trPr/>
        <w:tc>
          <w:tcPr>
            <w:tcW w:w="24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72"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SCHMID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Prof. Dr.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Chairman, 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spacing w:val="4"/>
              </w:rPr>
              <w:t>Non-executive Director (independent)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the Schmid Group consists of six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for each of the directors and executive officers of the Company is Robert-Bosch-Str. 32-36, 72250 Freudenstadt,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Christian Schmid</w:t>
      </w:r>
      <w:r>
        <w:rPr>
          <w:rFonts w:ascii="Times New Roman;Times;serif" w:hAnsi="Times New Roman;Times;serif"/>
          <w:b w:val="false"/>
          <w:i w:val="false"/>
          <w:caps w:val="false"/>
          <w:smallCaps w:val="false"/>
          <w:color w:val="000000"/>
          <w:spacing w:val="4"/>
          <w:sz w:val="20"/>
        </w:rPr>
        <w:t xml:space="preserve"> is serving as the Company’s Chief Executive Officer and Executive Director of the 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Arthur Schuetz</w:t>
      </w:r>
      <w:r>
        <w:rPr>
          <w:rFonts w:ascii="Times New Roman;Times;serif" w:hAnsi="Times New Roman;Times;serif"/>
          <w:b w:val="false"/>
          <w:i w:val="false"/>
          <w:caps w:val="false"/>
          <w:smallCaps w:val="false"/>
          <w:color w:val="000000"/>
          <w:spacing w:val="4"/>
          <w:sz w:val="20"/>
        </w:rPr>
        <w:t xml:space="preserve"> serves as the Company’s Chief Financial Officer. He was appointed as of January 1, 2026. Mr. Schuetz obtained a Masters degree in economics from the University of Bonn and spent time at Hitotsubashi University Tokyo and University of Freiburg. He has over 20 years of experience in finance and banking. Mr. Schuetz started in investment banking at Flemings in London, and worked at JP Morgan for about ten years, followed by Morgan Stanley for about twelve years. At Morgan Stanley he transferred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Executive Officers</w:t>
      </w:r>
      <w:r>
        <w:rPr>
          <w:rFonts w:ascii="Times New Roman;Times;serif" w:hAnsi="Times New Roman;Times;serif"/>
          <w:b w:val="false"/>
          <w:i w:val="false"/>
          <w:caps w:val="false"/>
          <w:smallCaps w:val="false"/>
          <w:color w:val="000000"/>
          <w:spacing w:val="4"/>
          <w:sz w:val="20"/>
        </w:rPr>
        <w:t xml:space="preserve">” for the biography of Christian Schmid.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Anette Schmid</w:t>
      </w:r>
      <w:r>
        <w:rPr>
          <w:rFonts w:ascii="Times New Roman;Times;serif" w:hAnsi="Times New Roman;Times;serif"/>
          <w:b w:val="false"/>
          <w:i w:val="false"/>
          <w:caps w:val="false"/>
          <w:smallCaps w:val="false"/>
          <w:color w:val="000000"/>
          <w:spacing w:val="4"/>
          <w:sz w:val="20"/>
        </w:rPr>
        <w:t xml:space="preserve"> is a director of the Company’s board. Ms. Schmid has over 25 years of experience 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Prof. Dr. Sir Ralf Speth</w:t>
      </w:r>
      <w:r>
        <w:rPr>
          <w:rFonts w:ascii="Times New Roman;Times;serif" w:hAnsi="Times New Roman;Times;serif"/>
          <w:b w:val="false"/>
          <w:i w:val="false"/>
          <w:caps w:val="false"/>
          <w:smallCaps w:val="false"/>
          <w:color w:val="000000"/>
          <w:spacing w:val="4"/>
          <w:sz w:val="20"/>
        </w:rPr>
        <w:t xml:space="preserve"> serves as the Chairman of Board of SCHMID. Prof. Dr. Sir Ralf Speth has over 40 years of operating, 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Stefan Berger</w:t>
      </w:r>
      <w:r>
        <w:rPr>
          <w:rFonts w:ascii="Times New Roman;Times;serif" w:hAnsi="Times New Roman;Times;serif"/>
          <w:b w:val="false"/>
          <w:i w:val="false"/>
          <w:caps w:val="false"/>
          <w:smallCaps w:val="false"/>
          <w:color w:val="000000"/>
          <w:spacing w:val="4"/>
          <w:sz w:val="20"/>
        </w:rPr>
        <w:t xml:space="preserve"> serves as director of the Company’s board. Dr. Berger has over 15 years of experience in global blue-chip and 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 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 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Boo-Keun Yoon</w:t>
      </w:r>
      <w:r>
        <w:rPr>
          <w:rFonts w:ascii="Times New Roman;Times;serif" w:hAnsi="Times New Roman;Times;serif"/>
          <w:b w:val="false"/>
          <w:i w:val="false"/>
          <w:caps w:val="false"/>
          <w:smallCaps w:val="false"/>
          <w:color w:val="000000"/>
          <w:spacing w:val="4"/>
          <w:sz w:val="20"/>
        </w:rPr>
        <w:t xml:space="preserve"> serves as director of the Company’s board. Mr. Yoon holds a bachelor’s degree in 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Annedore Streyl</w:t>
      </w:r>
      <w:r>
        <w:rPr>
          <w:rFonts w:ascii="Times New Roman;Times;serif" w:hAnsi="Times New Roman;Times;serif"/>
          <w:b w:val="false"/>
          <w:i w:val="false"/>
          <w:caps w:val="false"/>
          <w:smallCaps w:val="false"/>
          <w:color w:val="000000"/>
          <w:spacing w:val="4"/>
          <w:sz w:val="20"/>
        </w:rPr>
        <w:t xml:space="preserve"> serves as director of the Company’s board. She is the chair of the Board’s audit 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certain information regarding the diversity of the Board as of the date of this prospectus: </w:t>
      </w:r>
    </w:p>
    <w:tbl>
      <w:tblPr>
        <w:tblW w:w="8812" w:type="dxa"/>
        <w:jc w:val="left"/>
        <w:tblInd w:w="1393" w:type="dxa"/>
        <w:tblLayout w:type="fixed"/>
        <w:tblCellMar>
          <w:top w:w="0" w:type="dxa"/>
          <w:left w:w="0" w:type="dxa"/>
          <w:bottom w:w="50" w:type="dxa"/>
          <w:right w:w="0" w:type="dxa"/>
        </w:tblCellMar>
      </w:tblPr>
      <w:tblGrid>
        <w:gridCol w:w="5638"/>
        <w:gridCol w:w="109"/>
        <w:gridCol w:w="109"/>
        <w:gridCol w:w="2801"/>
        <w:gridCol w:w="155"/>
      </w:tblGrid>
      <w:tr>
        <w:trPr/>
        <w:tc>
          <w:tcPr>
            <w:tcW w:w="5638" w:type="dxa"/>
            <w:tcBorders>
              <w:bottom w:val="single" w:sz="2" w:space="0" w:color="000000"/>
            </w:tcBorders>
            <w:vAlign w:val="center"/>
          </w:tcPr>
          <w:p>
            <w:pPr>
              <w:pStyle w:val="TableContents"/>
              <w:bidi w:val="0"/>
              <w:spacing w:before="0" w:after="0"/>
              <w:jc w:val="left"/>
              <w:rPr>
                <w:spacing w:val="-3"/>
              </w:rPr>
            </w:pPr>
            <w:r>
              <w:rPr>
                <w:spacing w:val="-3"/>
              </w:rPr>
              <w:t xml:space="preserve">Board Diversity Matrix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1"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Country of Principal Executive Offices: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Foreign Private Issuer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Yes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Disclosure Prohibited under Home Country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Total Number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6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Female: 2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Male: 4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Non-Binary: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Did not disclosure gender: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Underrepresented Individual in Home Country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1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Did Not Disclose Demographic Background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spacing w:val="4"/>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Leadership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made any determination on the diversity of our leadership team as of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are siblings.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Board Members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10D-1 promulgated under the Exchange Act and Nasdaq Listing Rule 5608, we adopted an Incentive Compensation Recoupment Policy which is filed herewith as Exhibit 99.2.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Arrangements with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fixed compensation as CEO of the Company was approved by resolution as of April 30, 2024 and includes: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626,373 and an annual fee of EUR 70,000; and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allowances of schooling costs, travelling expenses and a company car, if requested by Mr. Schmid. </w:t>
      </w:r>
      <w:r>
        <mc:AlternateContent>
          <mc:Choice Requires="wps">
            <w:drawing>
              <wp:anchor behindDoc="0" distT="0" distB="0" distL="254000" distR="0" simplePos="0" locked="0" layoutInCell="1" allowOverlap="1" relativeHeight="155">
                <wp:simplePos x="0" y="0"/>
                <wp:positionH relativeFrom="column">
                  <wp:align>left</wp:align>
                </wp:positionH>
                <wp:positionV relativeFrom="line">
                  <wp:posOffset>635</wp:posOffset>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variable compensation for 2025 was set by the Compensation Committee and included the following short-term and long-term incentive plans: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short-term targets refer to one-year periods, with targets set by the Board on the Company’s EBIT, operating free cash flow and on ESG targets, with the possibility of between 0% – 200% achievement. 100% achievement entitles Mr. Schmid to additional remuneration of €500,000, while the maximum remuneration is capped at €900,000; </w:t>
      </w:r>
      <w:r>
        <mc:AlternateContent>
          <mc:Choice Requires="wps">
            <w:drawing>
              <wp:anchor behindDoc="0" distT="8001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long-term targets refer to three-year periods, with targets set by the Board on the Company’s relative total shareholder returns, return on capital employed and on ESG targets, with the possibility of between 0% – 200% achievement. 100% achievement entitles Mr. Schmid to additional remuneration of €500,000, while the maximum remuneration is capped at €1,000,000. </w:t>
      </w:r>
      <w:r>
        <mc:AlternateContent>
          <mc:Choice Requires="wps">
            <w:drawing>
              <wp:anchor behindDoc="0" distT="8001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targets set for the short-term and long-term incentive plans were not reached in 2025 and as a result no payments were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Arthur Schuetz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Arthur Schuetz has been appointed as CFO in December 2025 and has served as CFO since January 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Julia Natterer served as CFO of the Company until January 1, 2026.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195,612 until April 1, 2025 when it was increased to EUR 196,812, and an annual service fee of EUR 35,000;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allowances: a company car, if requested by Ms. Julia Natterer. </w:t>
      </w:r>
      <w:r>
        <mc:AlternateContent>
          <mc:Choice Requires="wps">
            <w:drawing>
              <wp:anchor behindDoc="0" distT="8001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Arthur Schuetz serves as CFO of the Company and Ms. Natterer is CFO of Gebr. Schmid GmbH.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Helmut Rauch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Service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Christian Schmid. The services agreement provides for, among other things, a service fee of €70,000.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Service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Julia Natterer. The services agreement provided for, among other things, a service fee of €35,000.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Non-Executive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Stefan Berger: EUR 90,000;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Ralf Speth: EUR 165,000;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EUR 115,000;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Boo-Keun Yoon: EUR 90,000, and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will receive a fixed annual fee of EUR 95,000; </w:t>
      </w:r>
      <w:r>
        <mc:AlternateContent>
          <mc:Choice Requires="wps">
            <w:drawing>
              <wp:anchor behindDoc="0" distT="76200" distB="0" distL="508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 </w:t>
      </w:r>
      <w:r>
        <mc:AlternateContent>
          <mc:Choice Requires="wps">
            <w:drawing>
              <wp:anchor behindDoc="0" distT="76200" distB="0" distL="508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short-term bonus of up to 50% of the annual base salary based on the Company’s consolidated EBIT margin and certain individual targets set out by the management: </w:t>
      </w:r>
      <w:r>
        <mc:AlternateContent>
          <mc:Choice Requires="wps">
            <w:drawing>
              <wp:anchor behindDoc="0" distT="0" distB="0" distL="508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10,000 for each percentage point of consolidated EBIT margin achieved by the Company (on a pro rata basis, i.e. if the Company’s consolidated EBIT margin is 1.5%, Ms Anette Schmid will receive EUR 15,000); and </w:t>
      </w:r>
      <w:r>
        <mc:AlternateContent>
          <mc:Choice Requires="wps">
            <w:drawing>
              <wp:anchor behindDoc="0" distT="77470" distB="0" distL="762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 </w:t>
      </w:r>
      <w:r>
        <mc:AlternateContent>
          <mc:Choice Requires="wps">
            <w:drawing>
              <wp:anchor behindDoc="0" distT="77470" distB="0" distL="762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 </w:t>
      </w:r>
      <w:r>
        <mc:AlternateContent>
          <mc:Choice Requires="wps">
            <w:drawing>
              <wp:anchor behindDoc="0" distT="77470" distB="0" distL="762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car, if requested by Ms Anette Schmid. </w:t>
      </w:r>
      <w:r>
        <mc:AlternateContent>
          <mc:Choice Requires="wps">
            <w:drawing>
              <wp:anchor behindDoc="0" distT="76200" distB="0" distL="508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Home Country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consists of one executive director and five non-executive directors. The total number of directors, including the number of executive directors and non-executive directors, may be increased or decreased pursuant to a resolution of the Board. The Board is a one-tier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at all times overrule the binding nature of each nomination by at least a two-thirds (2/3) majority of the votes cast, provided such majority represents more than half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Term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Directors have been appointed for four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three standing committees, including Audit Committee, Compensation Committee and Nomination and Corporate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consists of Dr. Annedore Streyl, Boo-Keun Yoon and Stefan Berger. The audit committee will assist the Board in overseeing the Company’s accounting and financial reporting processes and the audits of its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governed by a charter that complies with applicable NASDAQ rules and that is posted on the Company’s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governed by a charter that complies with applicable NASDAQ rules and that is posted on the Company’s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committee is governed by a charter that is posted on our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As of June 30, 2026, we had approximately 800 employees. We have not experienced any work stoppages, and we consider our relationship with our employees to be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EO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as Pegasus Topco B.V. on February 7, 2023 as a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the consummation of the Business Combination, we converted into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Times;serif" w:hAnsi="Times New Roman;Times;serif"/>
          <w:b w:val="false"/>
          <w:i/>
          <w:caps w:val="false"/>
          <w:smallCaps w:val="false"/>
          <w:color w:val="000000"/>
          <w:spacing w:val="4"/>
          <w:sz w:val="20"/>
        </w:rPr>
        <w:t>Kamer van Koophandel</w:t>
      </w:r>
      <w:r>
        <w:rPr>
          <w:rFonts w:ascii="Times New Roman;Times;serif" w:hAnsi="Times New Roman;Times;serif"/>
          <w:b w:val="false"/>
          <w:i w:val="false"/>
          <w:caps w:val="false"/>
          <w:smallCaps w:val="false"/>
          <w:color w:val="000000"/>
          <w:spacing w:val="4"/>
          <w:sz w:val="20"/>
        </w:rPr>
        <w:t xml:space="preserve">) in the Netherlands under number 89188276.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subject to, and have been created under, Dutch law. Set forth below is a summary of relevant information concerning the material provisions of the articles of association and applicable Dutch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is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Schmid has a one-tier board structure, which consists of six members, one executive director and five non- executive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issued share capital of the Company amounts to €666,379.54, divided into 66,637,954 ordinary shares with a nominal value of €0.01 each. The authorized share capital of the Company amounts to €1,686,250.00.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Closing Date, none of the Schmid Group Shares were held by Schmid in treasury. All issued and outstanding Schmid Group Shares are held in registered form. No share certificates may be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Issued and Outstanding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issued and outstanding share capital as of the date of this registration statement consisted 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66,637,954 Ordinary Shares (including 5,000,000 earn-out shares, which have been issued but have not vested and are subject to cancellation)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Convertible Loan, 2028 Convertible Notes, Warrants, 2025 Options, 2026 Warrants and 2029 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several outstanding instruments that may be converted, or exercised for cash or, with respect to certain instruments, on a cashless basis; including 2025 Convertible Loan, 2028 Convertible Notes, Warrants, 2025 Options, 2026 Warrants and 2029 Convertible Notes. The shares to be issued in relation to these instruments from time to time by us would amount to an aggregate of up to 64,414,896.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of up to €7,500,000 was set to be drawn down early in 2026, but was not utilized due to the Company issuing 2028 Convertible Notes (see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Agreement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30 Million 7.00% Senior Convertible Notes due 2028 (the 2028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the 2028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are to be funded in two tranches: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signing of the investment agreement dated July 7, 2026, in relation to the issuance and sale of the 2029 Convertible Notes, Linden Capital L.P., Crown Managed Accounts SPC and PCH Manager Fund, SPC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investment agreement, the Company also undertook to hold a shareholders’ meeting authorizing the issuance of the maximum number of underlying shares in relation to the 2026 Warrants and the 2028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2028 Convertible Notes, the Company may also ask shareholders to reauthorize the general 20% authorized capital for other issuances of new Ordinary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issued in connection with the 2028 Convertible Notes (the 2026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also issued 3,744,150 warrants to the investor to purchase shares of the Company. The warrants are exercisable until December 15, 2028, at an exercise price of $8.0125 for cash or, at the Company’s election, on a cashless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in relation to the 2024 Business Combination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Public Warrants and Private Warrants, see “</w:t>
      </w:r>
      <w:r>
        <w:rPr>
          <w:rFonts w:ascii="Times New Roman;Times;serif" w:hAnsi="Times New Roman;Times;serif"/>
          <w:b w:val="false"/>
          <w:i/>
          <w:caps w:val="false"/>
          <w:smallCaps w:val="false"/>
          <w:color w:val="000000"/>
          <w:spacing w:val="4"/>
          <w:sz w:val="20"/>
        </w:rPr>
        <w:t xml:space="preserve">Description of Securities — Public Warrants”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Description of Securities — Private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USD 20 Million 5.000% Senior Convertible Notes due 2029 (the 2029 Convertible Notes)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7, 2026, SCHMID entered into an investment agreement with an institutional investor, Linden Advisors LP to sell, and on July 14, 2026 sold the 2029 Convertible Notes in an aggregate principal amount of $20.0 million convertible into ordinary shares of the Company. The 2029 Convertible Notes were issued at 99% of principal amount pursuant the governing indenture to the accounts managed by Linden.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Authorization of Issuance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following the extraordinary shareholders meeting held on December 31, 2025 the Board is authorized to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Times;serif" w:hAnsi="Times New Roman;Times;serif"/>
          <w:b/>
          <w:i w:val="false"/>
          <w:caps w:val="false"/>
          <w:smallCaps w:val="false"/>
          <w:color w:val="000000"/>
          <w:spacing w:val="-4"/>
          <w:sz w:val="20"/>
        </w:rPr>
        <w:t>Warrants Assumption Delegation”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Times;serif" w:hAnsi="Times New Roman;Times;serif"/>
          <w:b/>
          <w:i w:val="false"/>
          <w:caps w:val="false"/>
          <w:smallCaps w:val="false"/>
          <w:color w:val="000000"/>
          <w:spacing w:val="-4"/>
          <w:sz w:val="20"/>
        </w:rPr>
        <w:t>Employee Delegation”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541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Times;serif" w:hAnsi="Times New Roman;Times;serif"/>
          <w:b/>
          <w:i w:val="false"/>
          <w:caps w:val="false"/>
          <w:smallCaps w:val="false"/>
          <w:color w:val="000000"/>
          <w:spacing w:val="-4"/>
          <w:sz w:val="20"/>
        </w:rPr>
        <w:t>General Delegation”</w:t>
      </w:r>
      <w:r>
        <w:rPr>
          <w:rFonts w:ascii="Times New Roman;Times;serif" w:hAnsi="Times New Roman;Times;serif"/>
          <w:b w:val="false"/>
          <w:i w:val="false"/>
          <w:caps w:val="false"/>
          <w:smallCaps w:val="false"/>
          <w:color w:val="000000"/>
          <w:spacing w:val="4"/>
          <w:sz w:val="20"/>
        </w:rPr>
        <w:t xml:space="preserve">), with effect from Closing. </w:t>
      </w:r>
      <w:r>
        <mc:AlternateContent>
          <mc:Choice Requires="wps">
            <w:drawing>
              <wp:anchor behindDoc="0" distT="10541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transfers of Shares (other than in book-entry form) require a written deed of transfer and, unless Schmid is a party to the deed of transfer, an acknowledgement by or proper service upon Schmid to be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Shares are registered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and Repurchase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Schmid may not subscribe for newly issued Shares. Schmid may acquire Shares, subject to applicable provisions and restrictions of Dutch law and the articles of association, to the extent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 capital, reduced by the acquisition price of the Shares, is not less than the sum of the issued and paid-up capital and the reserves to be maintained pursuant to Dutch law or the articles of association;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transaction contemplated, at least one Share remains outstanding and is not held by Schmid; and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 </w:t>
      </w:r>
      <w:r>
        <mc:AlternateContent>
          <mc:Choice Requires="wps">
            <w:drawing>
              <wp:anchor behindDoc="0" distT="7239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Shares acquired gratuitously (</w:t>
      </w:r>
      <w:r>
        <w:rPr>
          <w:rFonts w:ascii="Times New Roman;Times;serif" w:hAnsi="Times New Roman;Times;serif"/>
          <w:b w:val="false"/>
          <w:i/>
          <w:caps w:val="false"/>
          <w:smallCaps w:val="false"/>
          <w:color w:val="000000"/>
          <w:spacing w:val="4"/>
          <w:sz w:val="20"/>
        </w:rPr>
        <w:t>om niet</w:t>
      </w:r>
      <w:r>
        <w:rPr>
          <w:rFonts w:ascii="Times New Roman;Times;serif" w:hAnsi="Times New Roman;Times;serif"/>
          <w:b w:val="false"/>
          <w:i w:val="false"/>
          <w:caps w:val="false"/>
          <w:smallCaps w:val="false"/>
          <w:color w:val="000000"/>
          <w:spacing w:val="4"/>
          <w:sz w:val="20"/>
        </w:rPr>
        <w:t>) or under universal title of succession (</w:t>
      </w:r>
      <w:r>
        <w:rPr>
          <w:rFonts w:ascii="Times New Roman;Times;serif" w:hAnsi="Times New Roman;Times;serif"/>
          <w:b w:val="false"/>
          <w:i/>
          <w:caps w:val="false"/>
          <w:smallCaps w:val="false"/>
          <w:color w:val="000000"/>
          <w:spacing w:val="4"/>
          <w:sz w:val="20"/>
        </w:rPr>
        <w:t>onder algemene titel</w:t>
      </w:r>
      <w:r>
        <w:rPr>
          <w:rFonts w:ascii="Times New Roman;Times;serif" w:hAnsi="Times New Roman;Times;serif"/>
          <w:b w:val="false"/>
          <w:i w:val="false"/>
          <w:caps w:val="false"/>
          <w:smallCaps w:val="false"/>
          <w:color w:val="000000"/>
          <w:spacing w:val="4"/>
          <w:sz w:val="20"/>
        </w:rPr>
        <w:t xml:space="preserve">)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Meetings and 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is convened by a notice, which includes an agenda stating the items to be 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DCGC, the Board may invoke a statutory cooling-off period up to a maximum of 250 days (</w:t>
      </w:r>
      <w:r>
        <w:rPr>
          <w:rFonts w:ascii="Times New Roman;Times;serif" w:hAnsi="Times New Roman;Times;serif"/>
          <w:b w:val="false"/>
          <w:i/>
          <w:caps w:val="false"/>
          <w:smallCaps w:val="false"/>
          <w:color w:val="000000"/>
          <w:spacing w:val="4"/>
          <w:sz w:val="20"/>
        </w:rPr>
        <w:t>wettelijke bedenktijd</w:t>
      </w:r>
      <w:r>
        <w:rPr>
          <w:rFonts w:ascii="Times New Roman;Times;serif" w:hAnsi="Times New Roman;Times;serif"/>
          <w:b w:val="false"/>
          <w:i w:val="false"/>
          <w:caps w:val="false"/>
          <w:smallCaps w:val="false"/>
          <w:color w:val="000000"/>
          <w:spacing w:val="4"/>
          <w:sz w:val="20"/>
        </w:rPr>
        <w:t xml:space="preserve">) as set out in the Dutch Civil Code. For the Company, the statutory cooling-off period will apply in case: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requesting the Board to have the General Meeting consider a proposal for the appointment, suspension or dismissal of one or more directors, or a proposal for the amendment of one or more provisions in the articles of association relating thereto; or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offer for shares in the capital of the Company is announced or made without the bidder and the Company having been reached agreement about the offer; and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if the Board also considers the relevant situation to be substantially contrary to the interests of the Company and its affiliated enterprises.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invokes such cooling-off period, this causes the powers of the General Meeting to appoint, suspend or dismiss directors (and to amend the articles of association in this respect) being suspended.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cooling-off period has a maximum term of 250 days, calculated from: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latest date on which shareholders may request an item to be placed on the agenda of the next General Meeting (which is 60 days before the day of the meeting); </w:t>
      </w:r>
      <w:r>
        <mc:AlternateContent>
          <mc:Choice Requires="wps">
            <w:drawing>
              <wp:anchor behindDoc="0" distT="863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day on which the public offer is made; or </w:t>
      </w:r>
      <w:r>
        <mc:AlternateContent>
          <mc:Choice Requires="wps">
            <w:drawing>
              <wp:anchor behindDoc="0" distT="889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the court in preliminary relief proceedings has granted authority to shareholders holding at least 10% of the issued share capital to convoke a General Meeting. </w:t>
      </w:r>
      <w:r>
        <mc:AlternateContent>
          <mc:Choice Requires="wps">
            <w:drawing>
              <wp:anchor behindDoc="0" distT="889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shareholders who solely or jointly hold 3% of the issued share capital may request the Enterprise Chamber of the Court of Appeal in Amsterdam (</w:t>
      </w:r>
      <w:r>
        <w:rPr>
          <w:rFonts w:ascii="Times New Roman;Times;serif" w:hAnsi="Times New Roman;Times;serif"/>
          <w:b w:val="false"/>
          <w:i/>
          <w:caps w:val="false"/>
          <w:smallCaps w:val="false"/>
          <w:color w:val="000000"/>
          <w:spacing w:val="4"/>
          <w:sz w:val="20"/>
        </w:rPr>
        <w:t>Ondernemingskamer van het Gerechtshof te Amsterdam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“Enterprise Chamber”) to terminate the cooling-off period. The Enterprise Chamber must rule in favor of the request if the shareholders can demonstrate that: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in light of the circumstances at hand when the cooling-off period was invoked, could not reasonably have concluded that the relevant proposal or hostile offer constituted a material conflict with the interests of our Company and its business; </w:t>
      </w:r>
      <w:r>
        <mc:AlternateContent>
          <mc:Choice Requires="wps">
            <w:drawing>
              <wp:anchor behindDoc="0" distT="863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cannot reasonably believe that a continuation of the cooling-off period would contribute to careful policy-making; and </w:t>
      </w:r>
      <w:r>
        <mc:AlternateContent>
          <mc:Choice Requires="wps">
            <w:drawing>
              <wp:anchor behindDoc="0" distT="889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 </w:t>
      </w:r>
      <w:r>
        <mc:AlternateContent>
          <mc:Choice Requires="wps">
            <w:drawing>
              <wp:anchor behindDoc="0" distT="889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registered shares may further be provided notice of the meeting in writing at their addresses as stated in our shareholders’ register.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articles of association and Dutch law, the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to establish which shareholders and others with meeting rights are entitled to attend and, if applicable, vote at the General Meeting. The record date, if any, and the manner in which shareholders can register and exercise their rights will be set out in the notice of the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the articles of association, and in each case without prejudice to the Voting Cap (as defined hereinafter) being applicable to any shareholder: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Ordinary Share confers the right to cast 1 vote in a General Meeting. </w:t>
      </w:r>
      <w:r>
        <mc:AlternateContent>
          <mc:Choice Requires="wps">
            <w:drawing>
              <wp:anchor behindDoc="0" distT="876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chairman of the General Meeting) of a shareholder, which proxy holder does not need to be a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blank votes (votes where no choice has been made) and invalid votes shall not be counted as votes 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 </w:t>
      </w:r>
      <w:r>
        <mc:AlternateContent>
          <mc:Choice Requires="wps">
            <w:drawing>
              <wp:anchor behindDoc="0" distT="9906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 subsections j, n, s, aa, bb, dd, mm or nn; </w:t>
      </w:r>
      <w:r>
        <mc:AlternateContent>
          <mc:Choice Requires="wps">
            <w:drawing>
              <wp:anchor behindDoc="0" distT="73660" distB="0" distL="508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 paragraph 2 or paragraph 3, to the extent it concerns a change of the nominal value of the Shares; </w:t>
      </w:r>
      <w:r>
        <mc:AlternateContent>
          <mc:Choice Requires="wps">
            <w:drawing>
              <wp:anchor behindDoc="0" distT="7366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4A; </w:t>
      </w:r>
      <w:r>
        <mc:AlternateContent>
          <mc:Choice Requires="wps">
            <w:drawing>
              <wp:anchor behindDoc="0" distT="7366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7 paragraph 1 or paragraph 2; </w:t>
      </w:r>
      <w:r>
        <mc:AlternateContent>
          <mc:Choice Requires="wps">
            <w:drawing>
              <wp:anchor behindDoc="0" distT="7366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16 paragraph 10, paragraph 11 or paragraph 12; </w:t>
      </w:r>
      <w:r>
        <mc:AlternateContent>
          <mc:Choice Requires="wps">
            <w:drawing>
              <wp:anchor behindDoc="0" distT="7366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22 paragraph 5; </w:t>
      </w:r>
      <w:r>
        <mc:AlternateContent>
          <mc:Choice Requires="wps">
            <w:drawing>
              <wp:anchor behindDoc="0" distT="73660" distB="0" distL="508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26 paragraph 4; and </w:t>
      </w:r>
      <w:r>
        <mc:AlternateContent>
          <mc:Choice Requires="wps">
            <w:drawing>
              <wp:anchor behindDoc="0" distT="7366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 </w:t>
      </w:r>
      <w:r>
        <mc:AlternateContent>
          <mc:Choice Requires="wps">
            <w:drawing>
              <wp:anchor behindDoc="0" distT="9906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 — Merger, Demerger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Squeeze Out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irrevocable, the majority shareholder that instituted the squeeze-out proceedings shall give written notice of the date and place of payment and the price to the holders of the shares to be acquired whose addresses are known to the majority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addresses of all minority shareholders are known to the majority shareholder acquiring the shares, the majority shareholder is required to publish the same in a newspaper with a national circulation.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sale or transfer of all of our assets (see “</w:t>
      </w:r>
      <w:r>
        <w:rPr>
          <w:rFonts w:ascii="Times New Roman;Times;serif" w:hAnsi="Times New Roman;Times;serif"/>
          <w:b w:val="false"/>
          <w:i/>
          <w:caps w:val="false"/>
          <w:smallCaps w:val="false"/>
          <w:color w:val="000000"/>
          <w:spacing w:val="4"/>
          <w:sz w:val="20"/>
        </w:rPr>
        <w:t>Certain Other Major Transactions</w:t>
      </w:r>
      <w:r>
        <w:rPr>
          <w:rFonts w:ascii="Times New Roman;Times;serif" w:hAnsi="Times New Roman;Times;serif"/>
          <w:b w:val="false"/>
          <w:i w:val="false"/>
          <w:caps w:val="false"/>
          <w:smallCaps w:val="false"/>
          <w:color w:val="000000"/>
          <w:spacing w:val="4"/>
          <w:sz w:val="20"/>
        </w:rPr>
        <w:t>” below) and our dissolution or liquidation is subject to approval by a majority of the votes cast in our General Meeting (see “</w:t>
      </w:r>
      <w:r>
        <w:rPr>
          <w:rFonts w:ascii="Times New Roman;Times;serif" w:hAnsi="Times New Roman;Times;serif"/>
          <w:b w:val="false"/>
          <w:i/>
          <w:caps w:val="false"/>
          <w:smallCaps w:val="false"/>
          <w:color w:val="000000"/>
          <w:spacing w:val="4"/>
          <w:sz w:val="20"/>
        </w:rPr>
        <w:t>Amendment of Articles of Association — Merger, Demerger and Dissolution”</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Other Major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of association and Dutch law provide that resolutions of the Board concerning a material change in our identity, character or business are subject to the approval of the General Meeting. Such changes include: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business/enterprise to a third party; </w:t>
      </w:r>
      <w:r>
        <mc:AlternateContent>
          <mc:Choice Requires="wps">
            <w:drawing>
              <wp:anchor behindDoc="0" distT="876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 </w:t>
      </w:r>
      <w:r>
        <mc:AlternateContent>
          <mc:Choice Requires="wps">
            <w:drawing>
              <wp:anchor behindDoc="0" distT="889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 </w:t>
      </w:r>
      <w:r>
        <mc:AlternateContent>
          <mc:Choice Requires="wps">
            <w:drawing>
              <wp:anchor behindDoc="0" distT="889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We do not anticipate paying any dividends on Shares for the foreseeable future. See the section entitled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Controls and other Provisions relating to non-Dutch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subject to the 1977 Sanction Act (</w:t>
      </w:r>
      <w:r>
        <w:rPr>
          <w:rFonts w:ascii="Times New Roman;Times;serif" w:hAnsi="Times New Roman;Times;serif"/>
          <w:b w:val="false"/>
          <w:i/>
          <w:caps w:val="false"/>
          <w:smallCaps w:val="false"/>
          <w:color w:val="000000"/>
          <w:spacing w:val="4"/>
          <w:sz w:val="20"/>
        </w:rPr>
        <w:t>Sanctiewet 1977</w:t>
      </w:r>
      <w:r>
        <w:rPr>
          <w:rFonts w:ascii="Times New Roman;Times;serif" w:hAnsi="Times New Roman;Times;serif"/>
          <w:b w:val="false"/>
          <w:i w:val="false"/>
          <w:caps w:val="false"/>
          <w:smallCaps w:val="false"/>
          <w:color w:val="000000"/>
          <w:spacing w:val="4"/>
          <w:sz w:val="20"/>
        </w:rPr>
        <w:t xml:space="preserve">)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there were 11,250,000 Public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$18.00.</w:t>
      </w:r>
      <w:r>
        <w:rPr>
          <w:rFonts w:ascii="Times New Roman;Times;serif" w:hAnsi="Times New Roman;Times;serif"/>
          <w:b w:val="false"/>
          <w:i w:val="false"/>
          <w:caps w:val="false"/>
          <w:smallCaps w:val="false"/>
          <w:color w:val="000000"/>
          <w:spacing w:val="4"/>
          <w:sz w:val="20"/>
        </w:rPr>
        <w:t xml:space="preserve"> We may call the outstanding Public Warrants for redemption: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not less than 30 days’ prior written notice of redemption to each Public Warrant holder; and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091"/>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state securities laws. As a result, we may redeem the Public Warrants as set forth above even if the holders are otherwise unable to exercise the Public Warrants.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foregoing conditions are satisfied and we issue a notice of redemption of the Public Warrants, each Public Warrant holder will be entitled to exercise his, her or its Public Warrant prior to the scheduled redemption date.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$10.00</w:t>
      </w:r>
      <w:r>
        <w:rPr>
          <w:rFonts w:ascii="Times New Roman;Times;serif" w:hAnsi="Times New Roman;Times;serif"/>
          <w:b w:val="false"/>
          <w:i w:val="false"/>
          <w:caps w:val="false"/>
          <w:smallCaps w:val="false"/>
          <w:color w:val="000000"/>
          <w:spacing w:val="4"/>
          <w:sz w:val="20"/>
        </w:rPr>
        <w:t xml:space="preserve">. We may redeem the outstanding Public Warrants: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914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Reference Value equals or exceeds $10.00 per share (subject to adjustment as described below); and </w:t>
      </w:r>
      <w:r>
        <mc:AlternateContent>
          <mc:Choice Requires="wps">
            <w:drawing>
              <wp:anchor behindDoc="0" distT="914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Reference Value is less than $18.00 per share (subject to adjustment as described below), the Private Warrants must also be concurrently called for redemption on the same terms as the outstanding Public Warrants, as described above. </w:t>
      </w:r>
      <w:r>
        <mc:AlternateContent>
          <mc:Choice Requires="wps">
            <w:drawing>
              <wp:anchor behindDoc="0" distT="914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Times;serif" w:hAnsi="Times New Roman;Times;serif"/>
          <w:b w:val="false"/>
          <w:i/>
          <w:caps w:val="false"/>
          <w:smallCaps w:val="false"/>
          <w:color w:val="000000"/>
          <w:spacing w:val="4"/>
          <w:sz w:val="20"/>
        </w:rPr>
        <w:t>Anti-dilution Adjustments</w:t>
      </w:r>
      <w:r>
        <w:rPr>
          <w:rFonts w:ascii="Times New Roman;Times;serif" w:hAnsi="Times New Roman;Times;serif"/>
          <w:b w:val="false"/>
          <w:i w:val="false"/>
          <w:caps w:val="false"/>
          <w:smallCaps w:val="false"/>
          <w:color w:val="000000"/>
          <w:spacing w:val="4"/>
          <w:sz w:val="20"/>
        </w:rPr>
        <w:t xml:space="preserve">”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22" w:type="dxa"/>
        <w:jc w:val="left"/>
        <w:tblInd w:w="1393" w:type="dxa"/>
        <w:tblLayout w:type="fixed"/>
        <w:tblCellMar>
          <w:top w:w="0" w:type="dxa"/>
          <w:left w:w="0" w:type="dxa"/>
          <w:bottom w:w="50" w:type="dxa"/>
          <w:right w:w="0" w:type="dxa"/>
        </w:tblCellMar>
      </w:tblPr>
      <w:tblGrid>
        <w:gridCol w:w="124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49"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Redemption Date </w:t>
            </w:r>
            <w:r>
              <w:rPr/>
              <w:br/>
            </w:r>
            <w:r>
              <w:rPr>
                <w:spacing w:val="-3"/>
              </w:rPr>
              <w:t xml:space="preserve">(period to expiration of Public Warrants)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01" w:type="dxa"/>
            <w:gridSpan w:val="52"/>
            <w:tcBorders>
              <w:bottom w:val="single" w:sz="2" w:space="0" w:color="000000"/>
            </w:tcBorders>
            <w:vAlign w:val="center"/>
          </w:tcPr>
          <w:p>
            <w:pPr>
              <w:pStyle w:val="TableContents"/>
              <w:bidi w:val="0"/>
              <w:spacing w:before="0" w:after="0"/>
              <w:jc w:val="center"/>
              <w:rPr>
                <w:spacing w:val="-3"/>
              </w:rPr>
            </w:pPr>
            <w:r>
              <w:rPr>
                <w:spacing w:val="-3"/>
              </w:rPr>
              <w:t xml:space="preserve">Fair Market Value of Class A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$15.00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$16.00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$17.00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$18.00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54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45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24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15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of Public Warrant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Private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Private Warrants are subject to the same terms and conditions outlined above under “— </w:t>
      </w:r>
      <w:r>
        <w:rPr>
          <w:rFonts w:ascii="Times New Roman;Times;serif" w:hAnsi="Times New Roman;Times;serif"/>
          <w:b w:val="false"/>
          <w:i/>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certain disclosure obligations under Dutch and U.S. law and the rules of Nasdaq. The following is a description of the general disclosure obligations of public companies under Dutch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law and the rules of Nasdaq as such laws and rules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Reporting Under Dutch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the “FRSA”) applies to our financial reporting. Under the FRSA, the Dutch Authority for the Financial Markets (</w:t>
      </w:r>
      <w:r>
        <w:rPr>
          <w:rFonts w:ascii="Times New Roman;Times;serif" w:hAnsi="Times New Roman;Times;serif"/>
          <w:b w:val="false"/>
          <w:i/>
          <w:caps w:val="false"/>
          <w:smallCaps w:val="false"/>
          <w:color w:val="000000"/>
          <w:spacing w:val="4"/>
          <w:sz w:val="20"/>
        </w:rPr>
        <w:t>Autoriteit Financiële Markten</w:t>
      </w:r>
      <w:r>
        <w:rPr>
          <w:rFonts w:ascii="Times New Roman;Times;serif" w:hAnsi="Times New Roman;Times;serif"/>
          <w:b w:val="false"/>
          <w:i w:val="false"/>
          <w:caps w:val="false"/>
          <w:smallCaps w:val="false"/>
          <w:color w:val="000000"/>
          <w:spacing w:val="4"/>
          <w:sz w:val="20"/>
        </w:rPr>
        <w:t xml:space="preserve">,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Periodic Reporting Under U.S. Securities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Insider Trading and Market Manipulation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Netherlands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2016, the Regulation (EU) No 596/2014 of the European Parliament and of the Council of April 16, 2014 (the “MAR”) replaced all of the Dutch market abuse rules. It could be that in future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Ordinary Shares will be traded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in Germany (being a member state of the EU). The trading of these Ordinary Shares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can be implemented without our approval. These open markets in Germany are qualified as multilateral trading facilities (“MTFs”) or organized trading facilities (“OTFs”) within the scope of the MAR.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and Reporting Obligations of Directors, Officers and Shareholders of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DCGC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Civil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Civil Code provides for certain disclosure obligations in our annual accounts. Information on directors’ remuneration and rights to acquire Shares must be disclosed in our annual accounts.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Warrant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of the total number of ordinary shares then outstanding; or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reported trading volume of the ordinary shares during the four calendar weeks preceding the filing of a notice on Form 144 with respect to the sale.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the Use of Rule 144 by Shell Companies or Former Shell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that was formerly a shell company has ceased to be a shell company;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is subject to the reporting requirements of Section 13 or 15(d) of the Exchange Act;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has filed all Exchange Act reports and materials required to be filed, as applicable, during the preceding 12 months (or such shorter period that the issuer was required to file such reports and materials), other than Current Reports; and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R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Related Party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also Note 37 of our consolidated financial statements included elsewhere in this prospectus for a description of certain transactions with related parties required to be disclosed under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are holders of private warrants and are major shareholders of the Company, see “</w:t>
      </w:r>
      <w:r>
        <w:rPr>
          <w:rFonts w:ascii="Times New Roman;Times;serif" w:hAnsi="Times New Roman;Times;serif"/>
          <w:b w:val="false"/>
          <w:i/>
          <w:caps w:val="false"/>
          <w:smallCaps w:val="false"/>
          <w:color w:val="000000"/>
          <w:spacing w:val="4"/>
          <w:sz w:val="20"/>
        </w:rPr>
        <w:t>Principal Securityholders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Times;serif" w:hAnsi="Times New Roman;Times;serif"/>
          <w:b w:val="false"/>
          <w:i/>
          <w:caps w:val="false"/>
          <w:smallCaps w:val="false"/>
          <w:color w:val="000000"/>
          <w:spacing w:val="4"/>
          <w:sz w:val="20"/>
        </w:rPr>
        <w:t>Description of Securities — Share Capital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same time as the signing of the two-tranche term loan facility, the Company received a cash injection of €200,000 from Christine Schmid, a related party to Anette Schmid and Christian Schmid on December 15, 2025. The agreed interest rate is 5% and the loan has a maturity of 15 months. The €200,000 were injected into the Company alongside the Company’s conclusion of the term loan facility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our remuneration agreements with members of the Board and senior management, see the section titled “</w:t>
      </w:r>
      <w:r>
        <w:rPr>
          <w:rFonts w:ascii="Times New Roman;Times;serif" w:hAnsi="Times New Roman;Times;serif"/>
          <w:b w:val="false"/>
          <w:i/>
          <w:caps w:val="false"/>
          <w:smallCaps w:val="false"/>
          <w:color w:val="000000"/>
          <w:spacing w:val="4"/>
          <w:sz w:val="20"/>
        </w:rPr>
        <w:t>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RI"/>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Major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regarding the beneficial ownership of Schmid Group Shares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our outstanding ordinary shares;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person named below is c/o SCHMID Group., Robert-Bosch-Str. 32-36, 72250 Freudenstadt, Germany. </w:t>
      </w:r>
    </w:p>
    <w:tbl>
      <w:tblPr>
        <w:tblW w:w="8812" w:type="dxa"/>
        <w:jc w:val="left"/>
        <w:tblInd w:w="1393" w:type="dxa"/>
        <w:tblLayout w:type="fixed"/>
        <w:tblCellMar>
          <w:top w:w="0" w:type="dxa"/>
          <w:left w:w="0" w:type="dxa"/>
          <w:bottom w:w="28" w:type="dxa"/>
          <w:right w:w="0" w:type="dxa"/>
        </w:tblCellMar>
      </w:tblPr>
      <w:tblGrid>
        <w:gridCol w:w="3301"/>
        <w:gridCol w:w="109"/>
        <w:gridCol w:w="109"/>
        <w:gridCol w:w="109"/>
        <w:gridCol w:w="109"/>
        <w:gridCol w:w="1186"/>
        <w:gridCol w:w="109"/>
        <w:gridCol w:w="109"/>
        <w:gridCol w:w="109"/>
        <w:gridCol w:w="109"/>
        <w:gridCol w:w="109"/>
        <w:gridCol w:w="822"/>
        <w:gridCol w:w="109"/>
        <w:gridCol w:w="109"/>
        <w:gridCol w:w="109"/>
        <w:gridCol w:w="223"/>
        <w:gridCol w:w="223"/>
        <w:gridCol w:w="1368"/>
        <w:gridCol w:w="226"/>
        <w:gridCol w:w="155"/>
      </w:tblGrid>
      <w:tr>
        <w:trPr/>
        <w:tc>
          <w:tcPr>
            <w:tcW w:w="3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38" w:type="dxa"/>
            <w:gridSpan w:val="16"/>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September 21,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bottom w:val="single" w:sz="2" w:space="0" w:color="000000"/>
            </w:tcBorders>
            <w:vAlign w:val="center"/>
          </w:tcPr>
          <w:p>
            <w:pPr>
              <w:pStyle w:val="TableContents"/>
              <w:bidi w:val="0"/>
              <w:spacing w:before="0" w:after="0"/>
              <w:jc w:val="left"/>
              <w:rPr>
                <w:spacing w:val="-3"/>
              </w:rPr>
            </w:pPr>
            <w:r>
              <w:rPr>
                <w:spacing w:val="-3"/>
              </w:rPr>
              <w:t xml:space="preserve">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9" w:type="dxa"/>
            <w:gridSpan w:val="4"/>
            <w:tcBorders>
              <w:bottom w:val="single" w:sz="2" w:space="0" w:color="000000"/>
            </w:tcBorders>
            <w:vAlign w:val="center"/>
          </w:tcPr>
          <w:p>
            <w:pPr>
              <w:pStyle w:val="TableContents"/>
              <w:bidi w:val="0"/>
              <w:spacing w:lineRule="atLeast" w:line="142" w:before="0" w:after="0"/>
              <w:jc w:val="center"/>
              <w:rPr/>
            </w:pPr>
            <w:r>
              <w:rPr>
                <w:spacing w:val="-3"/>
              </w:rPr>
              <w:t>% Voting</w:t>
            </w:r>
            <w:r>
              <w:rPr/>
              <w:t xml:space="preserve"> </w:t>
              <w:br/>
            </w:r>
            <w:r>
              <w:rPr>
                <w:spacing w:val="-3"/>
              </w:rPr>
              <w:t>Power</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0" w:type="dxa"/>
            <w:gridSpan w:val="4"/>
            <w:tcBorders>
              <w:bottom w:val="single" w:sz="2" w:space="0" w:color="000000"/>
            </w:tcBorders>
            <w:vAlign w:val="center"/>
          </w:tcPr>
          <w:p>
            <w:pPr>
              <w:pStyle w:val="TableContents"/>
              <w:bidi w:val="0"/>
              <w:spacing w:lineRule="atLeast" w:line="142" w:before="0" w:after="0"/>
              <w:jc w:val="center"/>
              <w:rPr/>
            </w:pPr>
            <w:r>
              <w:rPr>
                <w:spacing w:val="-3"/>
              </w:rPr>
              <w:t>% Share Ownership</w:t>
            </w:r>
            <w:r>
              <w:rPr/>
              <w:t xml:space="preserve"> </w:t>
              <w:br/>
            </w:r>
            <w:r>
              <w:rPr>
                <w:spacing w:val="-3"/>
              </w:rPr>
              <w:t>(Disposition Power)</w:t>
            </w:r>
            <w:r>
              <w:rPr>
                <w:spacing w:val="-2"/>
                <w:sz w:val="10"/>
              </w:rPr>
              <w:t>(5)</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283"/>
              <w:jc w:val="left"/>
              <w:rPr/>
            </w:pPr>
            <w:r>
              <w:rPr>
                <w:b/>
                <w:spacing w:val="-4"/>
              </w:rPr>
              <w:t>Executive Officers and Directors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Christian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16,117,337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26.15%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26.15%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Anette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14,809,556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24.03%</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Prof. Sir Ralf Speth</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269,311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0.44%</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Dr. Stefan Berger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177,084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0.29%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Arthur Schuetz</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0.05%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Boo-Keun Yoon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0.04%</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283"/>
              <w:jc w:val="left"/>
              <w:rPr/>
            </w:pPr>
            <w:r>
              <w:rPr>
                <w:spacing w:val="-4"/>
              </w:rPr>
              <w:t>5</w:t>
            </w:r>
            <w:r>
              <w:rPr>
                <w:i/>
                <w:spacing w:val="-4"/>
              </w:rPr>
              <w:t>% and Greater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Christian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16,117,337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26.15%</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jc w:val="left"/>
              <w:rPr/>
            </w:pPr>
            <w:r>
              <w:rPr>
                <w:spacing w:val="4"/>
              </w:rPr>
              <w:t>Anette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14,809,556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24.03%</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XJ Harbour HK Limited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10,162,575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16.49%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does not own any shares as of the date of this registration statement. </w:t>
      </w:r>
      <w:r>
        <mc:AlternateContent>
          <mc:Choice Requires="wps">
            <w:drawing>
              <wp:anchor behindDoc="0" distT="10033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On August 7, 2026, Christian Schmid transferred 330,000 of his own and private Ordinary Shares to his children; 110,000 Ordinary Shares each. Christian Schmid retains sole voting and dispositive power over the shares. </w:t>
      </w:r>
      <w:r>
        <mc:AlternateContent>
          <mc:Choice Requires="wps">
            <w:drawing>
              <wp:anchor behindDoc="0" distT="4953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Times;serif" w:hAnsi="Times New Roman;Times;serif"/>
          <w:b w:val="false"/>
          <w:i/>
          <w:caps w:val="false"/>
          <w:smallCaps w:val="false"/>
          <w:color w:val="000000"/>
          <w:spacing w:val="4"/>
          <w:sz w:val="20"/>
        </w:rPr>
        <w:t>Erbengemeinschaft</w:t>
      </w:r>
      <w:r>
        <w:rPr>
          <w:rFonts w:ascii="Times New Roman;Times;serif" w:hAnsi="Times New Roman;Times;serif"/>
          <w:b w:val="false"/>
          <w:i w:val="false"/>
          <w:caps w:val="false"/>
          <w:smallCaps w:val="false"/>
          <w:color w:val="000000"/>
          <w:spacing w:val="4"/>
          <w:sz w:val="20"/>
        </w:rPr>
        <w:t xml:space="preserve">), which has now been dissolved. They have voted their shares jointly in the past and are expected to continue to do so. Combined they hold 30,926,893 Ordinary shares and 5,000,000 non-voting earn-out shares, amounting to 50.18%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 </w:t>
      </w:r>
      <w:r>
        <mc:AlternateContent>
          <mc:Choice Requires="wps">
            <w:drawing>
              <wp:anchor behindDoc="0" distT="5080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 calculation and share ownership (disposition power) calculation is based on the total number of shares outstanding on the date of this registration statement, which is 61,637,954 shares (i.e. 66,637,954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 </w:t>
      </w:r>
      <w:r>
        <mc:AlternateContent>
          <mc:Choice Requires="wps">
            <w:drawing>
              <wp:anchor behindDoc="0" distT="5080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 filed by XJ Harbour HK Limited on May 12, 2026. </w:t>
      </w:r>
      <w:r>
        <mc:AlternateContent>
          <mc:Choice Requires="wps">
            <w:drawing>
              <wp:anchor behindDoc="0" distT="508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and the 2029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The 2025 share options were granted to Black Forest Special Situations I, which would own less than 5% of the outstanding capital if it were to exercise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fact that some of our shares are held by brokers and other nominees, the number of our shares held by, and the number of, beneficial holders with addresses in the U.S. is not fully ascertainable. As of September 10, 2026, according to the records of our transfer agent Continental Stock Transfer &amp; Trust Company, 60,802,389 shares were held through Cede &amp; Co, the nominee of The Depository Trust Company, in whose name all shares held in “street name” are held in the U.S. Overall. As of the date of this prospectus, the Company is aware of the following shares being held by non-US persons: all shares held by Christian Schmid and Anette Schmid (including 5,000,000 earn out shares) and all shares held by XJ Harbour HK Limited. Thus the majority of all outstanding shares are held by non-US persons. The remainder of the shares are held by a mix of U.S. and non-U.S. persons.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ESE"/>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Ordinary Shares being offered by the selling securityholders are those issuable to the selling securityholders upon conversion of the notes. We are registering the Ordinary Shares in order to permit the selling securityholders to offer the shares for resale from time to time. Except for the ownership of the notes, Ordinary Shares issued pursuant to the Securities Purchase Agreement, the selling securityholders have not had any material relationship with us within the past three years.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lists the selling securityholders and other information regarding the beneficial ownership (as determined under Section 13(d) of the Securities Exchange Act of 1934, as amended, and the rules and regulations thereunder) of the Ordinary Shares held by each of the selling securityholders. The second column lists the number of Ordinary Shares beneficially owned by the selling securityholders, based on their respective ownership of Ordinary Shares, notes, as of August 21, 2026, assuming conversion of the notes held by each such selling shareholder on that date but taking account of any limitations on conversion and exercise set forth therein.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third column lists the Ordinary Shares being offered by this prospectus by the selling securityholders and does not take in account any limitations on conversion of the notes set forth therein.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terms of a registration rights agreement with the holders of the Ordinary Shares, notes, this prospectus generally covers the resale of the sum of (i) the Ordinary Shares currently held by the holders and (ii) the maximum number of Ordinary Shares issued or issuable pursuant to the Notes, including payment of interest on the notes through the maturity date of the notes, assuming such interest is paid-in-kind to the maximum extent permissible in accordance with the indenture, and in each case, determined as if the outstanding notes (including interest on the notes through the maturity date of the notes) were converted or exercised (as the case may be) in full (without regard to any limitations on conversion or exercise contained therein solely for the purpose of such calculation) at a conversion price or exercise price (as the case may be) calculated as of July 15, 2026. Because the conversion price of the notes, the number of shares that will actually be issued may be more or less than the number of shares being offered by this prospectus. The fourth column assumes the sale of all of the shares offered by the selling securityholders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the notes, a selling shareholder may not convert the notes to the extent (but only to the extent) such selling shareholder or any of its affiliates would beneficially own a number of our Ordinary Shares which would exceed 4.99% of the outstanding shares of the Company. The number of shares in the second column reflects these limitations. The selling securityholders may sell all, some or none of their shares in this offering.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903"/>
        <w:gridCol w:w="109"/>
        <w:gridCol w:w="109"/>
        <w:gridCol w:w="174"/>
        <w:gridCol w:w="174"/>
        <w:gridCol w:w="553"/>
        <w:gridCol w:w="175"/>
        <w:gridCol w:w="109"/>
        <w:gridCol w:w="109"/>
        <w:gridCol w:w="113"/>
        <w:gridCol w:w="113"/>
        <w:gridCol w:w="1204"/>
        <w:gridCol w:w="113"/>
        <w:gridCol w:w="109"/>
        <w:gridCol w:w="109"/>
        <w:gridCol w:w="109"/>
        <w:gridCol w:w="109"/>
        <w:gridCol w:w="1149"/>
        <w:gridCol w:w="109"/>
        <w:gridCol w:w="160"/>
      </w:tblGrid>
      <w:tr>
        <w:trPr/>
        <w:tc>
          <w:tcPr>
            <w:tcW w:w="3903" w:type="dxa"/>
            <w:tcBorders>
              <w:bottom w:val="single" w:sz="2" w:space="0" w:color="000000"/>
            </w:tcBorders>
            <w:vAlign w:val="center"/>
          </w:tcPr>
          <w:p>
            <w:pPr>
              <w:pStyle w:val="TableContents"/>
              <w:bidi w:val="0"/>
              <w:spacing w:before="0" w:after="0"/>
              <w:jc w:val="left"/>
              <w:rPr>
                <w:spacing w:val="-3"/>
              </w:rPr>
            </w:pPr>
            <w:r>
              <w:rPr>
                <w:spacing w:val="-3"/>
              </w:rPr>
              <w:t xml:space="preserve">Name of Selling Shareholder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Ordinary </w:t>
            </w:r>
            <w:r>
              <w:rPr/>
              <w:br/>
            </w:r>
            <w:r>
              <w:rPr>
                <w:spacing w:val="-3"/>
              </w:rPr>
              <w:t xml:space="preserve">Shares </w:t>
            </w:r>
            <w:r>
              <w:rPr/>
              <w:br/>
            </w:r>
            <w:r>
              <w:rPr>
                <w:spacing w:val="-3"/>
              </w:rPr>
              <w:t xml:space="preserve">Owned Prior </w:t>
            </w:r>
            <w:r>
              <w:rPr/>
              <w:br/>
            </w:r>
            <w:r>
              <w:rPr>
                <w:spacing w:val="-3"/>
              </w:rPr>
              <w:t>to Offering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pPr>
            <w:r>
              <w:rPr>
                <w:spacing w:val="-3"/>
              </w:rPr>
              <w:t xml:space="preserve">Maximum </w:t>
            </w:r>
            <w:r>
              <w:rPr/>
              <w:br/>
            </w:r>
            <w:r>
              <w:rPr>
                <w:spacing w:val="-3"/>
              </w:rPr>
              <w:t xml:space="preserve">Number of </w:t>
            </w:r>
            <w:r>
              <w:rPr/>
              <w:br/>
            </w:r>
            <w:r>
              <w:rPr>
                <w:spacing w:val="-3"/>
              </w:rPr>
              <w:t xml:space="preserve">Ordinary </w:t>
            </w:r>
            <w:r>
              <w:rPr/>
              <w:br/>
            </w:r>
            <w:r>
              <w:rPr>
                <w:spacing w:val="-3"/>
              </w:rPr>
              <w:t xml:space="preserve">Shares to be </w:t>
            </w:r>
            <w:r>
              <w:rPr/>
              <w:br/>
            </w:r>
            <w:r>
              <w:rPr>
                <w:spacing w:val="-3"/>
              </w:rPr>
              <w:t xml:space="preserve">Sold Pursuant </w:t>
            </w:r>
            <w:r>
              <w:rPr/>
              <w:br/>
            </w:r>
            <w:r>
              <w:rPr>
                <w:spacing w:val="-3"/>
              </w:rPr>
              <w:t>to this Prospectus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6"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Ordinary </w:t>
            </w:r>
            <w:r>
              <w:rPr/>
              <w:br/>
            </w:r>
            <w:r>
              <w:rPr>
                <w:spacing w:val="-3"/>
              </w:rPr>
              <w:t xml:space="preserve">Shares </w:t>
            </w:r>
            <w:r>
              <w:rPr/>
              <w:br/>
            </w:r>
            <w:r>
              <w:rPr>
                <w:spacing w:val="-3"/>
              </w:rPr>
              <w:t xml:space="preserve">Owned </w:t>
            </w:r>
            <w:r>
              <w:rPr/>
              <w:br/>
            </w:r>
            <w:r>
              <w:rPr>
                <w:spacing w:val="-3"/>
              </w:rPr>
              <w:t>After Offering</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903" w:type="dxa"/>
            <w:tcBorders/>
            <w:shd w:fill="CCEEFF" w:val="clear"/>
            <w:tcMar>
              <w:bottom w:w="0" w:type="dxa"/>
            </w:tcMar>
            <w:vAlign w:val="center"/>
          </w:tcPr>
          <w:p>
            <w:pPr>
              <w:pStyle w:val="TableContents"/>
              <w:bidi w:val="0"/>
              <w:spacing w:before="0" w:after="0"/>
              <w:jc w:val="left"/>
              <w:rPr/>
            </w:pPr>
            <w:r>
              <w:rPr>
                <w:spacing w:val="4"/>
              </w:rPr>
              <w:t>Linden Capital L.P.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3,242,788</w:t>
            </w:r>
            <w:r>
              <w:rPr>
                <w:sz w:val="13"/>
              </w:rPr>
              <w:t>(1)</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3,242,788</w:t>
            </w:r>
            <w:r>
              <w:rPr>
                <w:sz w:val="13"/>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903" w:type="dxa"/>
            <w:tcBorders/>
            <w:tcMar>
              <w:bottom w:w="0" w:type="dxa"/>
            </w:tcMar>
            <w:vAlign w:val="center"/>
          </w:tcPr>
          <w:p>
            <w:pPr>
              <w:pStyle w:val="TableContents"/>
              <w:bidi w:val="0"/>
              <w:spacing w:before="0" w:after="0"/>
              <w:ind w:left="200" w:right="0" w:hanging="200"/>
              <w:jc w:val="left"/>
              <w:rPr/>
            </w:pPr>
            <w:r>
              <w:rPr>
                <w:spacing w:val="4"/>
              </w:rPr>
              <w:t>Crown Managed Accounts SPC, acting for and on behalf of Crown/Linden Segregated Portfolio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r>
              <w:rPr/>
              <w:t>—</w:t>
            </w:r>
          </w:p>
        </w:tc>
        <w:tc>
          <w:tcPr>
            <w:tcW w:w="17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78,208</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78,208</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903"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PCH Manager Fund, SPC, on behalf of and for the account of </w:t>
            </w:r>
            <w:r>
              <w:rPr/>
              <w:br/>
            </w:r>
            <w:r>
              <w:rPr>
                <w:spacing w:val="4"/>
              </w:rPr>
              <w:t>Segregated Portfolio 214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96,694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96,694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2029 Convertible Notes, selling shareholder may not convert the notes to the extent which would exceed 4.99% of the outstanding shares of the Company. Absent this limitation, the number of Ordinary Shares beneficially owned by Linden Capital L.P. would be 4,564,996 Ordinary Shares, representing approximately 7.02% of the Ordinary Shares outstanding as of that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TAX"/>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describes certain material U.S. federal income tax consequences to a U.S. holder (as defined below) with respect to the ownership and disposition of the Ordinary Shares and the Public Warrants (collectively, the “</w:t>
      </w:r>
      <w:r>
        <w:rPr>
          <w:rFonts w:ascii="Times New Roman;Times;serif" w:hAnsi="Times New Roman;Times;serif"/>
          <w:b/>
          <w:i w:val="false"/>
          <w:caps w:val="false"/>
          <w:smallCaps w:val="false"/>
          <w:color w:val="000000"/>
          <w:spacing w:val="-4"/>
          <w:sz w:val="20"/>
        </w:rPr>
        <w:t>Schmid securities</w:t>
      </w:r>
      <w:r>
        <w:rPr>
          <w:rFonts w:ascii="Times New Roman;Times;serif" w:hAnsi="Times New Roman;Times;serif"/>
          <w:b w:val="false"/>
          <w:i w:val="false"/>
          <w:caps w:val="false"/>
          <w:smallCaps w:val="false"/>
          <w:color w:val="000000"/>
          <w:spacing w:val="4"/>
          <w:sz w:val="20"/>
        </w:rPr>
        <w:t xml:space="preserve">”).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the term “</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SCHMID SECURITIES SHOULD CONSULT THEIR TAX ADVISORS AS TO THE PARTICULAR TAX CONSEQUENCES TO THEM RELATING TO THE OWNERSHIP OF SCHMID SECURITIES, INCLUDING THE APPLICABILITY AND EFFECT OF STATE, LOCAL, NON-U.S. AND OTHER TAX LAWS AND POSSIBLE CHANGES IN TAX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This discussion is subject to the discussion in “— </w:t>
      </w:r>
      <w:r>
        <w:rPr>
          <w:rFonts w:ascii="Times New Roman;Times;serif" w:hAnsi="Times New Roman;Times;serif"/>
          <w:b/>
          <w:i/>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below.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Times;serif" w:hAnsi="Times New Roman;Times;serif"/>
          <w:b w:val="false"/>
          <w:i/>
          <w:caps w:val="false"/>
          <w:smallCaps w:val="false"/>
          <w:color w:val="000000"/>
          <w:spacing w:val="4"/>
          <w:sz w:val="20"/>
        </w:rPr>
        <w:t>Application of the PFIC Rules to Schmid Securities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Schmid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Exercise or Lapse of a Public Warrant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discussed below with respect to the cashless exercise of a Public Warrant, a U.S. holder generally will not recognize gain or loss upon the acquisition of an Ordinary Share on the exercise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Times;serif" w:hAnsi="Times New Roman;Times;serif"/>
          <w:b/>
          <w:i w:val="false"/>
          <w:caps w:val="false"/>
          <w:smallCaps w:val="false"/>
          <w:color w:val="000000"/>
          <w:spacing w:val="-4"/>
          <w:sz w:val="20"/>
        </w:rPr>
        <w:t>surrendered warrants</w:t>
      </w:r>
      <w:r>
        <w:rPr>
          <w:rFonts w:ascii="Times New Roman;Times;serif" w:hAnsi="Times New Roman;Times;serif"/>
          <w:b w:val="false"/>
          <w:i w:val="false"/>
          <w:caps w:val="false"/>
          <w:smallCaps w:val="false"/>
          <w:color w:val="000000"/>
          <w:spacing w:val="4"/>
          <w:sz w:val="20"/>
        </w:rPr>
        <w:t xml:space="preserve">”).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Possible Constructive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Times;serif" w:hAnsi="Times New Roman;Times;serif"/>
          <w:b w:val="false"/>
          <w:i/>
          <w:caps w:val="false"/>
          <w:smallCaps w:val="false"/>
          <w:color w:val="000000"/>
          <w:spacing w:val="4"/>
          <w:sz w:val="20"/>
        </w:rPr>
        <w:t>Distributions on Ordinary Shares</w:t>
      </w:r>
      <w:r>
        <w:rPr>
          <w:rFonts w:ascii="Times New Roman;Times;serif" w:hAnsi="Times New Roman;Times;serif"/>
          <w:b w:val="false"/>
          <w:i w:val="false"/>
          <w:caps w:val="false"/>
          <w:smallCaps w:val="false"/>
          <w:color w:val="000000"/>
          <w:spacing w:val="4"/>
          <w:sz w:val="20"/>
        </w:rPr>
        <w:t xml:space="preserve">”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Company were a PFIC in any year during which a U.S. holder owns Ordinary Shares, subject to the discussion below regarding the mark-to-market (“</w:t>
      </w:r>
      <w:r>
        <w:rPr>
          <w:rFonts w:ascii="Times New Roman;Times;serif" w:hAnsi="Times New Roman;Times;serif"/>
          <w:b/>
          <w:i w:val="false"/>
          <w:caps w:val="false"/>
          <w:smallCaps w:val="false"/>
          <w:color w:val="000000"/>
          <w:spacing w:val="-4"/>
          <w:sz w:val="20"/>
        </w:rPr>
        <w:t>MTM</w:t>
      </w:r>
      <w:r>
        <w:rPr>
          <w:rFonts w:ascii="Times New Roman;Times;serif" w:hAnsi="Times New Roman;Times;serif"/>
          <w:b w:val="false"/>
          <w:i w:val="false"/>
          <w:caps w:val="false"/>
          <w:smallCaps w:val="false"/>
          <w:color w:val="000000"/>
          <w:spacing w:val="4"/>
          <w:sz w:val="20"/>
        </w:rPr>
        <w:t>”) or qualified electing fund (“</w:t>
      </w:r>
      <w:r>
        <w:rPr>
          <w:rFonts w:ascii="Times New Roman;Times;serif" w:hAnsi="Times New Roman;Times;serif"/>
          <w:b/>
          <w:i w:val="false"/>
          <w:caps w:val="false"/>
          <w:smallCaps w:val="false"/>
          <w:color w:val="000000"/>
          <w:spacing w:val="-4"/>
          <w:sz w:val="20"/>
        </w:rPr>
        <w:t>QEF</w:t>
      </w:r>
      <w:r>
        <w:rPr>
          <w:rFonts w:ascii="Times New Roman;Times;serif" w:hAnsi="Times New Roman;Times;serif"/>
          <w:b w:val="false"/>
          <w:i w:val="false"/>
          <w:caps w:val="false"/>
          <w:smallCaps w:val="false"/>
          <w:color w:val="000000"/>
          <w:spacing w:val="4"/>
          <w:sz w:val="20"/>
        </w:rPr>
        <w:t xml:space="preserve">”)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own tax advisors concerning the Company’s possible PFIC status and the consequences to them, including potential reporting requirements, if the Company were classified as a PFIC for any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Amounts withheld as backup withholding may be credited against the U.S. holder’s U.S. federal income tax liability, and a U.S. holder may obtain a refund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Dutch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Times;serif" w:hAnsi="Times New Roman;Times;serif"/>
          <w:b/>
          <w:i w:val="false"/>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and an investor holding Warrants is being referred to as a warrant holder (“</w:t>
      </w:r>
      <w:r>
        <w:rPr>
          <w:rFonts w:ascii="Times New Roman;Times;serif" w:hAnsi="Times New Roman;Times;serif"/>
          <w:b/>
          <w:i w:val="false"/>
          <w:caps w:val="false"/>
          <w:smallCaps w:val="false"/>
          <w:color w:val="000000"/>
          <w:spacing w:val="-4"/>
          <w:sz w:val="20"/>
        </w:rPr>
        <w:t>Warrant 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Times;serif" w:hAnsi="Times New Roman;Times;serif"/>
          <w:b w:val="false"/>
          <w:i/>
          <w:caps w:val="false"/>
          <w:smallCaps w:val="false"/>
          <w:color w:val="000000"/>
          <w:spacing w:val="4"/>
          <w:sz w:val="20"/>
        </w:rPr>
        <w:t>aanmerkelijk belang</w:t>
      </w:r>
      <w:r>
        <w:rPr>
          <w:rFonts w:ascii="Times New Roman;Times;serif" w:hAnsi="Times New Roman;Times;serif"/>
          <w:b w:val="false"/>
          <w:i w:val="false"/>
          <w:caps w:val="false"/>
          <w:smallCaps w:val="false"/>
          <w:color w:val="000000"/>
          <w:spacing w:val="4"/>
          <w:sz w:val="20"/>
        </w:rPr>
        <w:t xml:space="preserve">) or a deemed substantial interest in Schmid.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such company, or (ii) the ownership of, or certain rights over, profit participating certificates (</w:t>
      </w:r>
      <w:r>
        <w:rPr>
          <w:rFonts w:ascii="Times New Roman;Times;serif" w:hAnsi="Times New Roman;Times;serif"/>
          <w:b w:val="false"/>
          <w:i/>
          <w:caps w:val="false"/>
          <w:smallCaps w:val="false"/>
          <w:color w:val="000000"/>
          <w:spacing w:val="4"/>
          <w:sz w:val="20"/>
        </w:rPr>
        <w:t>winstbewijzen</w:t>
      </w:r>
      <w:r>
        <w:rPr>
          <w:rFonts w:ascii="Times New Roman;Times;serif" w:hAnsi="Times New Roman;Times;serif"/>
          <w:b w:val="false"/>
          <w:i w:val="false"/>
          <w:caps w:val="false"/>
          <w:smallCaps w:val="false"/>
          <w:color w:val="000000"/>
          <w:spacing w:val="4"/>
          <w:sz w:val="20"/>
        </w:rPr>
        <w:t xml:space="preserve">)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assumes that Schmid is not affiliated (</w:t>
      </w:r>
      <w:r>
        <w:rPr>
          <w:rFonts w:ascii="Times New Roman;Times;serif" w:hAnsi="Times New Roman;Times;serif"/>
          <w:b w:val="false"/>
          <w:i/>
          <w:caps w:val="false"/>
          <w:smallCaps w:val="false"/>
          <w:color w:val="000000"/>
          <w:spacing w:val="4"/>
          <w:sz w:val="20"/>
        </w:rPr>
        <w:t>gelieerd</w:t>
      </w:r>
      <w:r>
        <w:rPr>
          <w:rFonts w:ascii="Times New Roman;Times;serif" w:hAnsi="Times New Roman;Times;serif"/>
          <w:b w:val="false"/>
          <w:i w:val="false"/>
          <w:caps w:val="false"/>
          <w:smallCaps w:val="false"/>
          <w:color w:val="000000"/>
          <w:spacing w:val="4"/>
          <w:sz w:val="20"/>
        </w:rPr>
        <w:t>) to any recipient (</w:t>
      </w:r>
      <w:r>
        <w:rPr>
          <w:rFonts w:ascii="Times New Roman;Times;serif" w:hAnsi="Times New Roman;Times;serif"/>
          <w:b w:val="false"/>
          <w:i/>
          <w:caps w:val="false"/>
          <w:smallCaps w:val="false"/>
          <w:color w:val="000000"/>
          <w:spacing w:val="4"/>
          <w:sz w:val="20"/>
        </w:rPr>
        <w:t>voordeelgerechtigde</w:t>
      </w:r>
      <w:r>
        <w:rPr>
          <w:rFonts w:ascii="Times New Roman;Times;serif" w:hAnsi="Times New Roman;Times;serif"/>
          <w:b w:val="false"/>
          <w:i w:val="false"/>
          <w:caps w:val="false"/>
          <w:smallCaps w:val="false"/>
          <w:color w:val="000000"/>
          <w:spacing w:val="4"/>
          <w:sz w:val="20"/>
        </w:rPr>
        <w:t>) of any payments under the Ordinary Shares and/or Warrants within the meaning of the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entity is regarded as ‘affiliated’ for Dutch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Times;serif" w:hAnsi="Times New Roman;Times;serif"/>
          <w:b w:val="false"/>
          <w:i/>
          <w:caps w:val="false"/>
          <w:smallCaps w:val="false"/>
          <w:color w:val="000000"/>
          <w:spacing w:val="4"/>
          <w:sz w:val="20"/>
        </w:rPr>
        <w:t>samenwerkende groep</w:t>
      </w:r>
      <w:r>
        <w:rPr>
          <w:rFonts w:ascii="Times New Roman;Times;serif" w:hAnsi="Times New Roman;Times;serif"/>
          <w:b w:val="false"/>
          <w:i w:val="false"/>
          <w:caps w:val="false"/>
          <w:smallCaps w:val="false"/>
          <w:color w:val="000000"/>
          <w:spacing w:val="4"/>
          <w:sz w:val="20"/>
        </w:rPr>
        <w:t xml:space="preserve">), that gives the holder of such interest definite influence over the decisions of the entity in which the interest is held and allows determination of its activities.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summary refers to “the Netherlands” or “Dutch” it refers only to the European part of the Kingdom of the Netherlands.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overview assumes that Schmid shall have its place of effective management in Germany and that it is treated as a German tax resident for German tax purposes.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consult their professional advisers as to the tax consequences of acquiring, holding and disposing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must withhold Dutch dividend tax from dividends distributed on the Ordinary Shares at the rate of 15%.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include, without limitation: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profits (including paid-in capital not recognised for Dutch dividend tax purposes) in cash or in kind, including deemed and constructive dividends; </w:t>
      </w:r>
      <w:r>
        <mc:AlternateContent>
          <mc:Choice Requires="wps">
            <w:drawing>
              <wp:anchor behindDoc="0" distT="9779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distributions and, generally, proceeds realised upon a repurchase of Ordinary Shares by Schmid or upon the transfer of Ordinary Shares to a direct or indirect subsidiary of Schmid, in excess of the average paid-in capital recognised for Dutch dividend tax purposes; </w:t>
      </w:r>
      <w:r>
        <mc:AlternateContent>
          <mc:Choice Requires="wps">
            <w:drawing>
              <wp:anchor behindDoc="0" distT="9779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value of Ordinary Shares issued to a shareholder or any increase in the par value of Ordinary Shares, except to the extent such (increase in the) par value is contributed to or funded out of the Schmid’s paid-in capital recognised for Dutch dividend tax purposes; </w:t>
      </w:r>
      <w:r>
        <mc:AlternateContent>
          <mc:Choice Requires="wps">
            <w:drawing>
              <wp:anchor behindDoc="0" distT="97790" distB="0" distL="254000" distR="0" simplePos="0" locked="0" layoutInCell="1" allowOverlap="1" relativeHeight="229">
                <wp:simplePos x="0" y="0"/>
                <wp:positionH relativeFrom="column">
                  <wp:align>left</wp:align>
                </wp:positionH>
                <wp:positionV relativeFrom="line">
                  <wp:align>top</wp:align>
                </wp:positionV>
                <wp:extent cx="254000" cy="52578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repayments of paid-in capital recognised for Dutch dividend tax purposes up to the amount of Schmid’s profits (</w:t>
      </w:r>
      <w:r>
        <w:rPr>
          <w:rFonts w:ascii="Times New Roman;Times;serif" w:hAnsi="Times New Roman;Times;serif"/>
          <w:b w:val="false"/>
          <w:i/>
          <w:caps w:val="false"/>
          <w:smallCaps w:val="false"/>
          <w:color w:val="000000"/>
          <w:spacing w:val="4"/>
          <w:sz w:val="20"/>
        </w:rPr>
        <w:t>zuivere winst</w:t>
      </w:r>
      <w:r>
        <w:rPr>
          <w:rFonts w:ascii="Times New Roman;Times;serif" w:hAnsi="Times New Roman;Times;serif"/>
          <w:b w:val="false"/>
          <w:i w:val="false"/>
          <w:caps w:val="false"/>
          <w:smallCaps w:val="false"/>
          <w:color w:val="000000"/>
          <w:spacing w:val="4"/>
          <w:sz w:val="20"/>
        </w:rPr>
        <w:t xml:space="preserve">) unless Schmid’s general meeting of shareholders has resolved in advance that Schmid shall make such repayments and the par value of the Ordinary Shares concerned has been reduced by a corresponding amount through an amendment of Schmid’s articles of association. </w:t>
      </w:r>
      <w:r>
        <mc:AlternateContent>
          <mc:Choice Requires="wps">
            <w:drawing>
              <wp:anchor behindDoc="0" distT="97790" distB="0" distL="254000" distR="0" simplePos="0" locked="0" layoutInCell="1" allowOverlap="1" relativeHeight="230">
                <wp:simplePos x="0" y="0"/>
                <wp:positionH relativeFrom="column">
                  <wp:align>left</wp:align>
                </wp:positionH>
                <wp:positionV relativeFrom="line">
                  <wp:align>top</wp:align>
                </wp:positionV>
                <wp:extent cx="254000" cy="52578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Times;serif" w:hAnsi="Times New Roman;Times;serif"/>
          <w:b/>
          <w:i w:val="false"/>
          <w:caps w:val="false"/>
          <w:smallCaps w:val="false"/>
          <w:color w:val="000000"/>
          <w:spacing w:val="-4"/>
          <w:sz w:val="20"/>
        </w:rPr>
        <w:t>German-Dutch tax treaty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who is resident or deemed to be resident in the Netherlands for Dutch income tax purposes or an entity or enterprise that is subject to the Corporate Tax Act 1969 (</w:t>
      </w:r>
      <w:r>
        <w:rPr>
          <w:rFonts w:ascii="Times New Roman;Times;serif" w:hAnsi="Times New Roman;Times;serif"/>
          <w:b w:val="false"/>
          <w:i/>
          <w:caps w:val="false"/>
          <w:smallCaps w:val="false"/>
          <w:color w:val="000000"/>
          <w:spacing w:val="4"/>
          <w:sz w:val="20"/>
        </w:rPr>
        <w:t>Wet op de vennootschapsbelasting 1969</w:t>
      </w:r>
      <w:r>
        <w:rPr>
          <w:rFonts w:ascii="Times New Roman;Times;serif" w:hAnsi="Times New Roman;Times;serif"/>
          <w:b w:val="false"/>
          <w:i w:val="false"/>
          <w:caps w:val="false"/>
          <w:smallCaps w:val="false"/>
          <w:color w:val="000000"/>
          <w:spacing w:val="4"/>
          <w:sz w:val="20"/>
        </w:rPr>
        <w:t xml:space="preserve">) and is resident or deemed to be resident in the Netherlands for Dutch corporate tax purposes; or </w:t>
      </w:r>
      <w:r>
        <mc:AlternateContent>
          <mc:Choice Requires="wps">
            <w:drawing>
              <wp:anchor behindDoc="0" distT="9779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in the Netherlands, to which the Ordinary Shares are attributable. </w:t>
      </w:r>
      <w:r>
        <mc:AlternateContent>
          <mc:Choice Requires="wps">
            <w:drawing>
              <wp:anchor behindDoc="0" distT="9906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Taxes on Income and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Residents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entity holding the Ordinary Shares and Warrants which is or is deemed to be resident in the Netherlands for Dutch corporate tax purposes and which is not tax exempt, will generally be subject to corporate tax (</w:t>
      </w:r>
      <w:r>
        <w:rPr>
          <w:rFonts w:ascii="Times New Roman;Times;serif" w:hAnsi="Times New Roman;Times;serif"/>
          <w:b w:val="false"/>
          <w:i/>
          <w:caps w:val="false"/>
          <w:smallCaps w:val="false"/>
          <w:color w:val="000000"/>
          <w:spacing w:val="4"/>
          <w:sz w:val="20"/>
        </w:rPr>
        <w:t>vennootschapsbelasting</w:t>
      </w:r>
      <w:r>
        <w:rPr>
          <w:rFonts w:ascii="Times New Roman;Times;serif" w:hAnsi="Times New Roman;Times;serif"/>
          <w:b w:val="false"/>
          <w:i w:val="false"/>
          <w:caps w:val="false"/>
          <w:smallCaps w:val="false"/>
          <w:color w:val="000000"/>
          <w:spacing w:val="4"/>
          <w:sz w:val="20"/>
        </w:rPr>
        <w:t>) in the Netherlands in respect of income or a capital gain derived from such Ordinary Shares and Warrants at rates up to 25.8%, unless the entity has the benefit of the participation exemption (</w:t>
      </w:r>
      <w:r>
        <w:rPr>
          <w:rFonts w:ascii="Times New Roman;Times;serif" w:hAnsi="Times New Roman;Times;serif"/>
          <w:b w:val="false"/>
          <w:i/>
          <w:caps w:val="false"/>
          <w:smallCaps w:val="false"/>
          <w:color w:val="000000"/>
          <w:spacing w:val="4"/>
          <w:sz w:val="20"/>
        </w:rPr>
        <w:t>deelnemingsvrijstelling</w:t>
      </w:r>
      <w:r>
        <w:rPr>
          <w:rFonts w:ascii="Times New Roman;Times;serif" w:hAnsi="Times New Roman;Times;serif"/>
          <w:b w:val="false"/>
          <w:i w:val="false"/>
          <w:caps w:val="false"/>
          <w:smallCaps w:val="false"/>
          <w:color w:val="000000"/>
          <w:spacing w:val="4"/>
          <w:sz w:val="20"/>
        </w:rPr>
        <w:t xml:space="preserve">) with respect to such Ordinary Shares. Generally speaking, the entity holding Ordinary Shares will have the benefit of the participation exemption if the entity owns at least 5% of the nominal paid-up share capital of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individuals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or capital gain is attributable to an enterprise from which the holder derives profits (other than as a shareholder); or </w:t>
      </w:r>
      <w:r>
        <mc:AlternateContent>
          <mc:Choice Requires="wps">
            <w:drawing>
              <wp:anchor behindDoc="0" distT="9779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if the Shareholder or Warrant Holder demonstrates that the aggregate actual return for savings, debts and investments — calculated in accordance with the Dutch Counterevidence Act (</w:t>
      </w:r>
      <w:r>
        <w:rPr>
          <w:rFonts w:ascii="Times New Roman;Times;serif" w:hAnsi="Times New Roman;Times;serif"/>
          <w:b w:val="false"/>
          <w:i/>
          <w:caps w:val="false"/>
          <w:smallCaps w:val="false"/>
          <w:color w:val="000000"/>
          <w:spacing w:val="4"/>
          <w:sz w:val="20"/>
        </w:rPr>
        <w:t>Wet tegenbewijsregeling box 3</w:t>
      </w:r>
      <w:r>
        <w:rPr>
          <w:rFonts w:ascii="Times New Roman;Times;serif" w:hAnsi="Times New Roman;Times;serif"/>
          <w:b w:val="false"/>
          <w:i w:val="false"/>
          <w:caps w:val="false"/>
          <w:smallCaps w:val="false"/>
          <w:color w:val="000000"/>
          <w:spacing w:val="4"/>
          <w:sz w:val="20"/>
        </w:rPr>
        <w:t>) — is lower than the applicable aggregate deemed return, the taxable basis should be that lower amount.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taxable income from savings and investments (including the Ordinary Shares and Public Warrants) will be taxed at the prevailing statutory rate (36%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Non-residents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which is not and is not deemed to be resident in the Netherlands for the relevant tax purposes will not be subject to taxation in the Netherlands on income or a capital gain derived from Ordinary Shares and Warrants,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is attributable to an enterprise or part thereof which is either effectively managed in the Netherlands or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taxable in the Netherlands and the Shareholder or Warrant Holder derives profits from such enterprise (other than by way of the holding of securities); or </w:t>
      </w:r>
      <w:r>
        <mc:AlternateContent>
          <mc:Choice Requires="wps">
            <w:drawing>
              <wp:anchor behindDoc="0" distT="10541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or Warrant Holder is an individual and 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in the Netherlands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Gift and Inheritance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gift or inheritance taxes will not be levied on the occasion of the transfer of a Shareholder or Warrant Holder by way of gift by, or on the death of, a holder,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or is deemed to be resident in the Netherlands for the purpose of the relevant provisions; or </w:t>
      </w:r>
      <w:r>
        <mc:AlternateContent>
          <mc:Choice Requires="wps">
            <w:drawing>
              <wp:anchor behindDoc="0" distT="10541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is construed as an inheritance or gift made by, or on behalf of, a person who, at the time of the gift or death, is or is deemed to be resident in the Netherlands for the purpose of the relevant provisions. </w:t>
      </w:r>
      <w:r>
        <mc:AlternateContent>
          <mc:Choice Requires="wps">
            <w:drawing>
              <wp:anchor behindDoc="0" distT="10541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Added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Taxes and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registration tax, stamp duty, or any other similar tax or duty payable in the Netherlands in respect of or in connection with the subscription, issue, placement, allotment, delivery or transfer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German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Times;serif" w:hAnsi="Times New Roman;Times;serif"/>
          <w:b w:val="false"/>
          <w:i/>
          <w:caps w:val="false"/>
          <w:smallCaps w:val="false"/>
          <w:color w:val="000000"/>
          <w:spacing w:val="4"/>
          <w:sz w:val="20"/>
        </w:rPr>
        <w:t>Umwandlungssteuergesetz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Residency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German Taxation of Holders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Dividends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Times;serif" w:hAnsi="Times New Roman;Times;serif"/>
          <w:b w:val="false"/>
          <w:i/>
          <w:caps w:val="false"/>
          <w:smallCaps w:val="false"/>
          <w:color w:val="000000"/>
          <w:spacing w:val="4"/>
          <w:sz w:val="20"/>
        </w:rPr>
        <w:t>steuerliches Einlagekonto</w:t>
      </w:r>
      <w:r>
        <w:rPr>
          <w:rFonts w:ascii="Times New Roman;Times;serif" w:hAnsi="Times New Roman;Times;serif"/>
          <w:b w:val="false"/>
          <w:i w:val="false"/>
          <w:caps w:val="false"/>
          <w:smallCaps w:val="false"/>
          <w:color w:val="000000"/>
          <w:spacing w:val="4"/>
          <w:sz w:val="20"/>
        </w:rPr>
        <w:t xml:space="preserve">)) or fully or partially withholding tax exempt, as further described. The withholding tax rate is 25% plus a 5.5%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solidarity surcharge (</w:t>
      </w:r>
      <w:r>
        <w:rPr>
          <w:rFonts w:ascii="Times New Roman;Times;serif" w:hAnsi="Times New Roman;Times;serif"/>
          <w:b w:val="false"/>
          <w:i/>
          <w:caps w:val="false"/>
          <w:smallCaps w:val="false"/>
          <w:color w:val="000000"/>
          <w:spacing w:val="4"/>
          <w:sz w:val="20"/>
        </w:rPr>
        <w:t>Solidaritätszuschlag</w:t>
      </w:r>
      <w:r>
        <w:rPr>
          <w:rFonts w:ascii="Times New Roman;Times;serif" w:hAnsi="Times New Roman;Times;serif"/>
          <w:b w:val="false"/>
          <w:i w:val="false"/>
          <w:caps w:val="false"/>
          <w:smallCaps w:val="false"/>
          <w:color w:val="000000"/>
          <w:spacing w:val="4"/>
          <w:sz w:val="20"/>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by the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that keeps and administers the Ordinary Shares and disburses or credits the dividends or disburses the dividends to a foreign agent, or by the securities custodian bank (</w:t>
      </w:r>
      <w:r>
        <w:rPr>
          <w:rFonts w:ascii="Times New Roman;Times;serif" w:hAnsi="Times New Roman;Times;serif"/>
          <w:b w:val="false"/>
          <w:i/>
          <w:caps w:val="false"/>
          <w:smallCaps w:val="false"/>
          <w:color w:val="000000"/>
          <w:spacing w:val="4"/>
          <w:sz w:val="20"/>
        </w:rPr>
        <w:t>Wertpapiersammelbank</w:t>
      </w:r>
      <w:r>
        <w:rPr>
          <w:rFonts w:ascii="Times New Roman;Times;serif" w:hAnsi="Times New Roman;Times;serif"/>
          <w:b w:val="false"/>
          <w:i w:val="false"/>
          <w:caps w:val="false"/>
          <w:smallCaps w:val="false"/>
          <w:color w:val="000000"/>
          <w:spacing w:val="4"/>
          <w:sz w:val="20"/>
        </w:rPr>
        <w:t xml:space="preserve">)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not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received by corporate bodies (</w:t>
      </w:r>
      <w:r>
        <w:rPr>
          <w:rFonts w:ascii="Times New Roman;Times;serif" w:hAnsi="Times New Roman;Times;serif"/>
          <w:b w:val="false"/>
          <w:i/>
          <w:caps w:val="false"/>
          <w:smallCaps w:val="false"/>
          <w:color w:val="000000"/>
          <w:spacing w:val="4"/>
          <w:sz w:val="20"/>
        </w:rPr>
        <w:t>Körperschaften</w:t>
      </w:r>
      <w:r>
        <w:rPr>
          <w:rFonts w:ascii="Times New Roman;Times;serif" w:hAnsi="Times New Roman;Times;serif"/>
          <w:b w:val="false"/>
          <w:i w:val="false"/>
          <w:caps w:val="false"/>
          <w:smallCaps w:val="false"/>
          <w:color w:val="000000"/>
          <w:spacing w:val="4"/>
          <w:sz w:val="20"/>
        </w:rPr>
        <w:t xml:space="preserve">)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application for a refund of withholding tax under the EU Parent Subsidiary Directive, a tax treaty or the aforementioned option for foreign corporate bodies is to be filed with the German Federal Central Tax Office (</w:t>
      </w:r>
      <w:r>
        <w:rPr>
          <w:rFonts w:ascii="Times New Roman;Times;serif" w:hAnsi="Times New Roman;Times;serif"/>
          <w:b w:val="false"/>
          <w:i/>
          <w:caps w:val="false"/>
          <w:smallCaps w:val="false"/>
          <w:color w:val="000000"/>
          <w:spacing w:val="4"/>
          <w:sz w:val="20"/>
        </w:rPr>
        <w:t>Bundeszentralamt für Steuern</w:t>
      </w:r>
      <w:r>
        <w:rPr>
          <w:rFonts w:ascii="Times New Roman;Times;serif" w:hAnsi="Times New Roman;Times;serif"/>
          <w:b w:val="false"/>
          <w:i w:val="false"/>
          <w:caps w:val="false"/>
          <w:smallCaps w:val="false"/>
          <w:color w:val="000000"/>
          <w:spacing w:val="4"/>
          <w:sz w:val="20"/>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Times;serif" w:hAnsi="Times New Roman;Times;serif"/>
          <w:b w:val="false"/>
          <w:i/>
          <w:caps w:val="false"/>
          <w:smallCaps w:val="false"/>
          <w:color w:val="000000"/>
          <w:spacing w:val="4"/>
          <w:sz w:val="20"/>
        </w:rPr>
        <w:t>Kapitalertragsteuerbescheinigung</w:t>
      </w:r>
      <w:r>
        <w:rPr>
          <w:rFonts w:ascii="Times New Roman;Times;serif" w:hAnsi="Times New Roman;Times;serif"/>
          <w:b w:val="false"/>
          <w:i w:val="false"/>
          <w:caps w:val="false"/>
          <w:smallCaps w:val="false"/>
          <w:color w:val="000000"/>
          <w:spacing w:val="4"/>
          <w:sz w:val="20"/>
        </w:rPr>
        <w:t xml:space="preserve">)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solidarity surcharge, and the tax liability determined on the basis of the EU Parent Subsidiary Directive (0) % or on the basis of the tax rate set forth in the applicable tax treaty (15%, 5% or 0) % is refunded by the German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Times;serif" w:hAnsi="Times New Roman;Times;serif"/>
          <w:b w:val="false"/>
          <w:i/>
          <w:caps w:val="false"/>
          <w:smallCaps w:val="false"/>
          <w:color w:val="000000"/>
          <w:spacing w:val="4"/>
          <w:sz w:val="20"/>
        </w:rPr>
        <w:t>Freistellungsbescheinigung</w:t>
      </w:r>
      <w:r>
        <w:rPr>
          <w:rFonts w:ascii="Times New Roman;Times;serif" w:hAnsi="Times New Roman;Times;serif"/>
          <w:b w:val="false"/>
          <w:i w:val="false"/>
          <w:caps w:val="false"/>
          <w:smallCaps w:val="false"/>
          <w:color w:val="000000"/>
          <w:spacing w:val="4"/>
          <w:sz w:val="20"/>
        </w:rPr>
        <w:t xml:space="preserve">) that documents that the prerequisites for the application of the reduced withholding tax rates have been met. Dividends covered by the exemption certificate of the shareholder are then only subject to the reduced withholding tax rates stipulated in the exemption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Times;serif" w:hAnsi="Times New Roman;Times;serif"/>
          <w:b w:val="false"/>
          <w:i/>
          <w:caps w:val="false"/>
          <w:smallCaps w:val="false"/>
          <w:color w:val="000000"/>
          <w:spacing w:val="4"/>
          <w:sz w:val="20"/>
        </w:rPr>
        <w:t>Freistellungsverfahren</w:t>
      </w:r>
      <w:r>
        <w:rPr>
          <w:rFonts w:ascii="Times New Roman;Times;serif" w:hAnsi="Times New Roman;Times;serif"/>
          <w:b w:val="false"/>
          <w:i w:val="false"/>
          <w:caps w:val="false"/>
          <w:smallCaps w:val="false"/>
          <w:color w:val="000000"/>
          <w:spacing w:val="4"/>
          <w:sz w:val="20"/>
        </w:rPr>
        <w:t>) and 615 days for deciding about refunds under the retain and refund procedures (</w:t>
      </w:r>
      <w:r>
        <w:rPr>
          <w:rFonts w:ascii="Times New Roman;Times;serif" w:hAnsi="Times New Roman;Times;serif"/>
          <w:b w:val="false"/>
          <w:i/>
          <w:caps w:val="false"/>
          <w:smallCaps w:val="false"/>
          <w:color w:val="000000"/>
          <w:spacing w:val="4"/>
          <w:sz w:val="20"/>
        </w:rPr>
        <w:t>Erstattungsverfahren</w:t>
      </w:r>
      <w:r>
        <w:rPr>
          <w:rFonts w:ascii="Times New Roman;Times;serif" w:hAnsi="Times New Roman;Times;serif"/>
          <w:b w:val="false"/>
          <w:i w:val="false"/>
          <w:caps w:val="false"/>
          <w:smallCaps w:val="false"/>
          <w:color w:val="000000"/>
          <w:spacing w:val="4"/>
          <w:sz w:val="20"/>
        </w:rPr>
        <w:t xml:space="preserve">). According to a recent statement on the website of the German Federal Central Tax Office, due to the large number of applications received, processing times for refund can exceed 20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or corporate shareholders tax resident outside Germany not holding the Ordinary Shares through a permanent establishment (</w:t>
      </w:r>
      <w:r>
        <w:rPr>
          <w:rFonts w:ascii="Times New Roman;Times;serif" w:hAnsi="Times New Roman;Times;serif"/>
          <w:b w:val="false"/>
          <w:i/>
          <w:caps w:val="false"/>
          <w:smallCaps w:val="false"/>
          <w:color w:val="000000"/>
          <w:spacing w:val="4"/>
          <w:sz w:val="20"/>
        </w:rPr>
        <w:t>Betriebsstätte</w:t>
      </w:r>
      <w:r>
        <w:rPr>
          <w:rFonts w:ascii="Times New Roman;Times;serif" w:hAnsi="Times New Roman;Times;serif"/>
          <w:b w:val="false"/>
          <w:i w:val="false"/>
          <w:caps w:val="false"/>
          <w:smallCaps w:val="false"/>
          <w:color w:val="000000"/>
          <w:spacing w:val="4"/>
          <w:sz w:val="20"/>
        </w:rPr>
        <w:t>) in Germany or as business assets (</w:t>
      </w:r>
      <w:r>
        <w:rPr>
          <w:rFonts w:ascii="Times New Roman;Times;serif" w:hAnsi="Times New Roman;Times;serif"/>
          <w:b w:val="false"/>
          <w:i/>
          <w:caps w:val="false"/>
          <w:smallCaps w:val="false"/>
          <w:color w:val="000000"/>
          <w:spacing w:val="4"/>
          <w:sz w:val="20"/>
        </w:rPr>
        <w:t>Betriebsvermögen</w:t>
      </w:r>
      <w:r>
        <w:rPr>
          <w:rFonts w:ascii="Times New Roman;Times;serif" w:hAnsi="Times New Roman;Times;serif"/>
          <w:b w:val="false"/>
          <w:i w:val="false"/>
          <w:caps w:val="false"/>
          <w:smallCaps w:val="false"/>
          <w:color w:val="000000"/>
          <w:spacing w:val="4"/>
          <w:sz w:val="20"/>
        </w:rPr>
        <w:t>) for which a permanent representative (</w:t>
      </w:r>
      <w:r>
        <w:rPr>
          <w:rFonts w:ascii="Times New Roman;Times;serif" w:hAnsi="Times New Roman;Times;serif"/>
          <w:b w:val="false"/>
          <w:i/>
          <w:caps w:val="false"/>
          <w:smallCaps w:val="false"/>
          <w:color w:val="000000"/>
          <w:spacing w:val="4"/>
          <w:sz w:val="20"/>
        </w:rPr>
        <w:t>ständiger Vertreter</w:t>
      </w:r>
      <w:r>
        <w:rPr>
          <w:rFonts w:ascii="Times New Roman;Times;serif" w:hAnsi="Times New Roman;Times;serif"/>
          <w:b w:val="false"/>
          <w:i w:val="false"/>
          <w:caps w:val="false"/>
          <w:smallCaps w:val="false"/>
          <w:color w:val="000000"/>
          <w:spacing w:val="4"/>
          <w:sz w:val="20"/>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xml:space="preserve">), subject to the exceptions described in the following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dividends are subject to a flat rate tax, which is satisfied by the withholding tax actually withheld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dividend income will be taxed at a flat tax rate of 25% plus 5.5% solidarity surcharge thereon totaling 26.375% and church tax (</w:t>
      </w:r>
      <w:r>
        <w:rPr>
          <w:rFonts w:ascii="Times New Roman;Times;serif" w:hAnsi="Times New Roman;Times;serif"/>
          <w:b w:val="false"/>
          <w:i/>
          <w:caps w:val="false"/>
          <w:smallCaps w:val="false"/>
          <w:color w:val="000000"/>
          <w:spacing w:val="4"/>
          <w:sz w:val="20"/>
        </w:rPr>
        <w:t>Kirchensteuer</w:t>
      </w:r>
      <w:r>
        <w:rPr>
          <w:rFonts w:ascii="Times New Roman;Times;serif" w:hAnsi="Times New Roman;Times;serif"/>
          <w:b w:val="false"/>
          <w:i w:val="false"/>
          <w:caps w:val="false"/>
          <w:smallCaps w:val="false"/>
          <w:color w:val="000000"/>
          <w:spacing w:val="4"/>
          <w:sz w:val="20"/>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Exceptions from the flat rate tax (satisfied by withholding the tax at source, A</w:t>
      </w:r>
      <w:r>
        <w:rPr>
          <w:rFonts w:ascii="Times New Roman;Times;serif" w:hAnsi="Times New Roman;Times;serif"/>
          <w:b w:val="false"/>
          <w:i/>
          <w:caps w:val="false"/>
          <w:smallCaps w:val="false"/>
          <w:color w:val="000000"/>
          <w:spacing w:val="4"/>
          <w:sz w:val="20"/>
        </w:rPr>
        <w:t>bgeltungswirkung</w:t>
      </w:r>
      <w:r>
        <w:rPr>
          <w:rFonts w:ascii="Times New Roman;Times;serif" w:hAnsi="Times New Roman;Times;serif"/>
          <w:b w:val="false"/>
          <w:i w:val="false"/>
          <w:caps w:val="false"/>
          <w:smallCaps w:val="false"/>
          <w:color w:val="000000"/>
          <w:spacing w:val="4"/>
          <w:sz w:val="20"/>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 </w:t>
      </w:r>
      <w:r>
        <w:rPr>
          <w:rFonts w:ascii="Times New Roman;Times;serif" w:hAnsi="Times New Roman;Times;serif"/>
          <w:b w:val="false"/>
          <w:i/>
          <w:caps w:val="false"/>
          <w:smallCaps w:val="false"/>
          <w:color w:val="000000"/>
          <w:spacing w:val="4"/>
          <w:sz w:val="20"/>
        </w:rPr>
        <w:t>Taxation of Dividend Income of Shareholders Tax Resident in Germany Holding Ordinary Shares as Business Assets — Sole Proprietors</w:t>
      </w:r>
      <w:r>
        <w:rPr>
          <w:rFonts w:ascii="Times New Roman;Times;serif" w:hAnsi="Times New Roman;Times;serif"/>
          <w:b w:val="false"/>
          <w:i w:val="false"/>
          <w:caps w:val="false"/>
          <w:smallCaps w:val="false"/>
          <w:color w:val="000000"/>
          <w:spacing w:val="4"/>
          <w:sz w:val="20"/>
        </w:rPr>
        <w:t xml:space="preserve">”). Further, the flat rate tax does not apply if and to the extent dividends reduced Schmid taxable income.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the dividend income depends on whether the respective shareholder is a corporation, a sole proprietor or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Times;serif" w:hAnsi="Times New Roman;Times;serif"/>
          <w:b w:val="false"/>
          <w:i/>
          <w:caps w:val="false"/>
          <w:smallCaps w:val="false"/>
          <w:color w:val="000000"/>
          <w:spacing w:val="4"/>
          <w:sz w:val="20"/>
        </w:rPr>
        <w:t>Mitunternehmerschaften</w:t>
      </w:r>
      <w:r>
        <w:rPr>
          <w:rFonts w:ascii="Times New Roman;Times;serif" w:hAnsi="Times New Roman;Times;serif"/>
          <w:b w:val="false"/>
          <w:i w:val="false"/>
          <w:caps w:val="false"/>
          <w:smallCaps w:val="false"/>
          <w:color w:val="000000"/>
          <w:spacing w:val="4"/>
          <w:sz w:val="20"/>
        </w:rPr>
        <w:t xml:space="preserve">),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Times;serif" w:hAnsi="Times New Roman;Times;serif"/>
          <w:b w:val="false"/>
          <w:i/>
          <w:caps w:val="false"/>
          <w:smallCaps w:val="false"/>
          <w:color w:val="000000"/>
          <w:spacing w:val="4"/>
          <w:sz w:val="20"/>
        </w:rPr>
        <w:t>Erhebungszeitraum</w:t>
      </w:r>
      <w:r>
        <w:rPr>
          <w:rFonts w:ascii="Times New Roman;Times;serif" w:hAnsi="Times New Roman;Times;serif"/>
          <w:b w:val="false"/>
          <w:i w:val="false"/>
          <w:caps w:val="false"/>
          <w:smallCaps w:val="false"/>
          <w:color w:val="000000"/>
          <w:spacing w:val="4"/>
          <w:sz w:val="20"/>
        </w:rPr>
        <w:t xml:space="preserve">). In such case, the dividends are not subject to trade tax. However, trade tax is levied on the amount considered to be a non-deductible business expense (amounting to 5% of the dividend).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tax depends on the municipal trade tax multiplier applied by the relevant municipal authority. In the case of an indirect participation via a partnership, please refer to the section “— </w:t>
      </w:r>
      <w:r>
        <w:rPr>
          <w:rFonts w:ascii="Times New Roman;Times;serif" w:hAnsi="Times New Roman;Times;serif"/>
          <w:b w:val="false"/>
          <w:i/>
          <w:caps w:val="false"/>
          <w:smallCaps w:val="false"/>
          <w:color w:val="000000"/>
          <w:spacing w:val="4"/>
          <w:sz w:val="20"/>
        </w:rPr>
        <w:t>Partnerships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sole proprietors (individuals) resident in Germany holding Ordinary Shares as business assets, dividends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dividend income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the dividend income will be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partner is a private individual — only possible if the partnership is not a (operative or deemed) commercial partnership, the dividend income will be subject to the flat tax rate (see above “— </w:t>
      </w:r>
      <w:r>
        <w:rPr>
          <w:rFonts w:ascii="Times New Roman;Times;serif" w:hAnsi="Times New Roman;Times;serif"/>
          <w:b w:val="false"/>
          <w:i/>
          <w:caps w:val="false"/>
          <w:smallCaps w:val="false"/>
          <w:color w:val="000000"/>
          <w:spacing w:val="4"/>
          <w:sz w:val="20"/>
        </w:rPr>
        <w:t>Private Individuals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 exempt from trade tax to the extent the partners of the partnership are sole proprietors. Any trade tax levied on the level of the partnership will be eligible for credit against an individual shareholder’s personal income tax liability based on the applicable municipal trade tax rate, depending on the individual tax situation of the shareholder and further circumstances and limited to currently 4.0 times the partial trade tax measurement amount allocable to such individual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  </w:t>
      </w:r>
      <w:r>
        <w:rPr>
          <w:rFonts w:ascii="Times New Roman;Times;serif" w:hAnsi="Times New Roman;Times;serif"/>
          <w:b w:val="false"/>
          <w:i/>
          <w:caps w:val="false"/>
          <w:smallCaps w:val="false"/>
          <w:color w:val="000000"/>
          <w:spacing w:val="4"/>
          <w:sz w:val="20"/>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Capital Gains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Capital gains realized on the disposal of Ordinary Shares are only subject to withholding tax if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a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xml:space="preserve">) (each of 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capital gains realized on the disposal of Ordinary Shares are subject to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German Federal Central Tax Office (details related to the computation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capital gain.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xml:space="preserve">).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capital gains realized on the disposal of such shares depends on whether the respective shareholder is a corporation, a sole proprietor or a partnership: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which may exclude aforementioned tax exemptions, if the Ordinary Shares are held by a Non-Exempt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Ordinary Shares are held by a sole proprietor, capital gains realized on the disposal of the Ordinary Shares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xml:space="preserve">).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capital gains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(individual), the capital gains are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Times;serif" w:hAnsi="Times New Roman;Times;serif"/>
          <w:b w:val="false"/>
          <w:i/>
          <w:caps w:val="false"/>
          <w:smallCaps w:val="false"/>
          <w:color w:val="000000"/>
          <w:spacing w:val="4"/>
          <w:sz w:val="20"/>
        </w:rPr>
        <w:t>Bundesfinanzhof</w:t>
      </w:r>
      <w:r>
        <w:rPr>
          <w:rFonts w:ascii="Times New Roman;Times;serif" w:hAnsi="Times New Roman;Times;serif"/>
          <w:b w:val="false"/>
          <w:i w:val="false"/>
          <w:caps w:val="false"/>
          <w:smallCaps w:val="false"/>
          <w:color w:val="000000"/>
          <w:spacing w:val="4"/>
          <w:sz w:val="20"/>
        </w:rPr>
        <w:t xml:space="preserve">). Additionally,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cases referred to in (i) above, most tax treaties concluded by Germany provide for a full exemption from German taxation except if the Company is considered a German real estate holding entity for treaty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German Taxation of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Warrants are likely to be taxed in particular upon certain forms of the exercise, sale or disposal of Warrants (taxation of capital gains) and the gratuitous transfer of Warrants (inheritance and gift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Not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however, that the German tax authorities have not confirmed the above treatment for the exercise of U.S. warrants, but only for the exercise of convertible bonds (</w:t>
      </w:r>
      <w:r>
        <w:rPr>
          <w:rFonts w:ascii="Times New Roman;Times;serif" w:hAnsi="Times New Roman;Times;serif"/>
          <w:b w:val="false"/>
          <w:i/>
          <w:caps w:val="false"/>
          <w:smallCaps w:val="false"/>
          <w:color w:val="000000"/>
          <w:spacing w:val="4"/>
          <w:sz w:val="20"/>
        </w:rPr>
        <w:t>Wandelschuldverschreibungen, Optionsscheine</w:t>
      </w:r>
      <w:r>
        <w:rPr>
          <w:rFonts w:ascii="Times New Roman;Times;serif" w:hAnsi="Times New Roman;Times;serif"/>
          <w:b w:val="false"/>
          <w:i w:val="false"/>
          <w:caps w:val="false"/>
          <w:smallCaps w:val="false"/>
          <w:color w:val="000000"/>
          <w:spacing w:val="4"/>
          <w:sz w:val="20"/>
        </w:rPr>
        <w:t xml:space="preserve">),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Non-business holders of the Warrants are entitled to an annual saver’s allowance of €1,000 for an individual or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assessed jointly for all investment income received in a given year. Upon the non-business holder of the Warrants filing an exemption certificate (</w:t>
      </w:r>
      <w:r>
        <w:rPr>
          <w:rFonts w:ascii="Times New Roman;Times;serif" w:hAnsi="Times New Roman;Times;serif"/>
          <w:b w:val="false"/>
          <w:i/>
          <w:caps w:val="false"/>
          <w:smallCaps w:val="false"/>
          <w:color w:val="000000"/>
          <w:spacing w:val="4"/>
          <w:sz w:val="20"/>
        </w:rPr>
        <w:t>Freistellungsauftrag</w:t>
      </w:r>
      <w:r>
        <w:rPr>
          <w:rFonts w:ascii="Times New Roman;Times;serif" w:hAnsi="Times New Roman;Times;serif"/>
          <w:b w:val="false"/>
          <w:i w:val="false"/>
          <w:caps w:val="false"/>
          <w:smallCaps w:val="false"/>
          <w:color w:val="000000"/>
          <w:spacing w:val="4"/>
          <w:sz w:val="20"/>
        </w:rPr>
        <w:t xml:space="preserve">) with the Disbursing Agent, the Disbursing Agent will take the allowance into account when computing the amount of tax to be withheld.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withholding tax will be deducted if the holder of the Warrants has submitted to the Disbursing Agent a certificate of non-assessment (</w:t>
      </w:r>
      <w:r>
        <w:rPr>
          <w:rFonts w:ascii="Times New Roman;Times;serif" w:hAnsi="Times New Roman;Times;serif"/>
          <w:b w:val="false"/>
          <w:i/>
          <w:caps w:val="false"/>
          <w:smallCaps w:val="false"/>
          <w:color w:val="000000"/>
          <w:spacing w:val="4"/>
          <w:sz w:val="20"/>
        </w:rPr>
        <w:t>Nichtveranlagungs-Bescheinigung</w:t>
      </w:r>
      <w:r>
        <w:rPr>
          <w:rFonts w:ascii="Times New Roman;Times;serif" w:hAnsi="Times New Roman;Times;serif"/>
          <w:b w:val="false"/>
          <w:i w:val="false"/>
          <w:caps w:val="false"/>
          <w:smallCaps w:val="false"/>
          <w:color w:val="000000"/>
          <w:spacing w:val="4"/>
          <w:sz w:val="20"/>
        </w:rPr>
        <w:t xml:space="preserve">) issued by the competent local tax office. The deduction of expenses related to the investment income (including gains with respect to the Warrants) is generally not possible for private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Individuals as the Holders of the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then will also be taxed at a rate of 25% (plus solidarity surcharge of 5.5% thereon, resulting in an aggregate rate of 26.375%; and church tax,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losses of non-business holders arising from a bad debt loss (</w:t>
      </w:r>
      <w:r>
        <w:rPr>
          <w:rFonts w:ascii="Times New Roman;Times;serif" w:hAnsi="Times New Roman;Times;serif"/>
          <w:b w:val="false"/>
          <w:i/>
          <w:caps w:val="false"/>
          <w:smallCaps w:val="false"/>
          <w:color w:val="000000"/>
          <w:spacing w:val="4"/>
          <w:sz w:val="20"/>
        </w:rPr>
        <w:t>Forderungsausfall</w:t>
      </w:r>
      <w:r>
        <w:rPr>
          <w:rFonts w:ascii="Times New Roman;Times;serif" w:hAnsi="Times New Roman;Times;serif"/>
          <w:b w:val="false"/>
          <w:i w:val="false"/>
          <w:caps w:val="false"/>
          <w:smallCaps w:val="false"/>
          <w:color w:val="000000"/>
          <w:spacing w:val="4"/>
          <w:sz w:val="20"/>
        </w:rPr>
        <w:t>), a waiver of a receivable (</w:t>
      </w:r>
      <w:r>
        <w:rPr>
          <w:rFonts w:ascii="Times New Roman;Times;serif" w:hAnsi="Times New Roman;Times;serif"/>
          <w:b w:val="false"/>
          <w:i/>
          <w:caps w:val="false"/>
          <w:smallCaps w:val="false"/>
          <w:color w:val="000000"/>
          <w:spacing w:val="4"/>
          <w:sz w:val="20"/>
        </w:rPr>
        <w:t>Forderungsverzicht</w:t>
      </w:r>
      <w:r>
        <w:rPr>
          <w:rFonts w:ascii="Times New Roman;Times;serif" w:hAnsi="Times New Roman;Times;serif"/>
          <w:b w:val="false"/>
          <w:i w:val="false"/>
          <w:caps w:val="false"/>
          <w:smallCaps w:val="false"/>
          <w:color w:val="000000"/>
          <w:spacing w:val="4"/>
          <w:sz w:val="20"/>
        </w:rPr>
        <w:t xml:space="preserve">) or a transfer of an impaired receivable to a third party or from any other default can only be offset against other income from capital investments and only up to an amount of €20,000 per year. The same rules may apply if the Warrants expire worthless or lapse.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 Sole Proprietors and 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can be carried forward indefinitely and, within certain limitations, applied against profits from income from capital investments (including but not limited to profits from other warrants) in subsequent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physical settlement of the Warrants, please see the above sections on disposal of Ordinary Shares for German taxation of the disposal or other transaction involving a resulting Ordinary Share.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Solidarity Surcharge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burden for an individual holder is lower than 25%, the holder can apply for his or her capital investment income being assessed at his or her individual tariff-based income tax rate, in which case solidarity surcharge should be refunded.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Inheritance and Gift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Ordinary Shares or Warrants to another person by way of succession or donation is subject to German inheritance and gift tax (Erbschaft-und Schenkungsteuer) if at the time of transfer: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decedent, the donor, the heir, the donee or any other beneficiary has his/her/its residence, domicile, registered office or place of management in Germany, or is a German citizen who has not stayed abroad for more than five consecutive years without having a residence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(irrespective of the personal circumstances) the Ordinary Shares or Warrants are held by the decedent or donor as business assets for which a permanent establishment in Germany is maintained or a permanent representative is appointed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Times;serif" w:hAnsi="Times New Roman;Times;serif"/>
          <w:b w:val="false"/>
          <w:i/>
          <w:caps w:val="false"/>
          <w:smallCaps w:val="false"/>
          <w:color w:val="000000"/>
          <w:spacing w:val="4"/>
          <w:sz w:val="20"/>
        </w:rPr>
        <w:t>Außensteuergesetz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Value Added Tax (VAT)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value added tax (</w:t>
      </w:r>
      <w:r>
        <w:rPr>
          <w:rFonts w:ascii="Times New Roman;Times;serif" w:hAnsi="Times New Roman;Times;serif"/>
          <w:b w:val="false"/>
          <w:i/>
          <w:caps w:val="false"/>
          <w:smallCaps w:val="false"/>
          <w:color w:val="000000"/>
          <w:spacing w:val="4"/>
          <w:sz w:val="20"/>
        </w:rPr>
        <w:t>Umsatzsteuer</w:t>
      </w:r>
      <w:r>
        <w:rPr>
          <w:rFonts w:ascii="Times New Roman;Times;serif" w:hAnsi="Times New Roman;Times;serif"/>
          <w:b w:val="false"/>
          <w:i w:val="false"/>
          <w:caps w:val="false"/>
          <w:smallCaps w:val="false"/>
          <w:color w:val="000000"/>
          <w:spacing w:val="4"/>
          <w:sz w:val="20"/>
        </w:rPr>
        <w:t xml:space="preserve">)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capital transfer tax (</w:t>
      </w:r>
      <w:r>
        <w:rPr>
          <w:rFonts w:ascii="Times New Roman;Times;serif" w:hAnsi="Times New Roman;Times;serif"/>
          <w:b w:val="false"/>
          <w:i/>
          <w:caps w:val="false"/>
          <w:smallCaps w:val="false"/>
          <w:color w:val="000000"/>
          <w:spacing w:val="4"/>
          <w:sz w:val="20"/>
        </w:rPr>
        <w:t>Kapitalverkehrsteuer</w:t>
      </w:r>
      <w:r>
        <w:rPr>
          <w:rFonts w:ascii="Times New Roman;Times;serif" w:hAnsi="Times New Roman;Times;serif"/>
          <w:b w:val="false"/>
          <w:i w:val="false"/>
          <w:caps w:val="false"/>
          <w:smallCaps w:val="false"/>
          <w:color w:val="000000"/>
          <w:spacing w:val="4"/>
          <w:sz w:val="20"/>
        </w:rPr>
        <w:t>) or stamp duty (</w:t>
      </w:r>
      <w:r>
        <w:rPr>
          <w:rFonts w:ascii="Times New Roman;Times;serif" w:hAnsi="Times New Roman;Times;serif"/>
          <w:b w:val="false"/>
          <w:i/>
          <w:caps w:val="false"/>
          <w:smallCaps w:val="false"/>
          <w:color w:val="000000"/>
          <w:spacing w:val="4"/>
          <w:sz w:val="20"/>
        </w:rPr>
        <w:t>Stempelgebühr</w:t>
      </w:r>
      <w:r>
        <w:rPr>
          <w:rFonts w:ascii="Times New Roman;Times;serif" w:hAnsi="Times New Roman;Times;serif"/>
          <w:b w:val="false"/>
          <w:i w:val="false"/>
          <w:caps w:val="false"/>
          <w:smallCaps w:val="false"/>
          <w:color w:val="000000"/>
          <w:spacing w:val="4"/>
          <w:sz w:val="20"/>
        </w:rPr>
        <w:t>) or similar taxes are levied when acquiring, owning or disposing the Ordinary Shares or Warrants. Net wealth tax (</w:t>
      </w:r>
      <w:r>
        <w:rPr>
          <w:rFonts w:ascii="Times New Roman;Times;serif" w:hAnsi="Times New Roman;Times;serif"/>
          <w:b w:val="false"/>
          <w:i/>
          <w:caps w:val="false"/>
          <w:smallCaps w:val="false"/>
          <w:color w:val="000000"/>
          <w:spacing w:val="4"/>
          <w:sz w:val="20"/>
        </w:rPr>
        <w:t>Vermögensteuer</w:t>
      </w:r>
      <w:r>
        <w:rPr>
          <w:rFonts w:ascii="Times New Roman;Times;serif" w:hAnsi="Times New Roman;Times;serif"/>
          <w:b w:val="false"/>
          <w:i w:val="false"/>
          <w:caps w:val="false"/>
          <w:smallCaps w:val="false"/>
          <w:color w:val="000000"/>
          <w:spacing w:val="4"/>
          <w:sz w:val="20"/>
        </w:rPr>
        <w:t>) is currently not levied in Germany. German real estate transfer tax (</w:t>
      </w:r>
      <w:r>
        <w:rPr>
          <w:rFonts w:ascii="Times New Roman;Times;serif" w:hAnsi="Times New Roman;Times;serif"/>
          <w:b w:val="false"/>
          <w:i/>
          <w:caps w:val="false"/>
          <w:smallCaps w:val="false"/>
          <w:color w:val="000000"/>
          <w:spacing w:val="4"/>
          <w:sz w:val="20"/>
        </w:rPr>
        <w:t>Grunderwerbsteuer</w:t>
      </w:r>
      <w:r>
        <w:rPr>
          <w:rFonts w:ascii="Times New Roman;Times;serif" w:hAnsi="Times New Roman;Times;serif"/>
          <w:b w:val="false"/>
          <w:i w:val="false"/>
          <w:caps w:val="false"/>
          <w:smallCaps w:val="false"/>
          <w:color w:val="000000"/>
          <w:spacing w:val="4"/>
          <w:sz w:val="20"/>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Times;serif" w:hAnsi="Times New Roman;Times;serif"/>
          <w:b w:val="false"/>
          <w:i/>
          <w:caps w:val="false"/>
          <w:smallCaps w:val="false"/>
          <w:color w:val="000000"/>
          <w:spacing w:val="4"/>
          <w:sz w:val="20"/>
        </w:rPr>
        <w:t>Grunderwerbsteuergesetz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LO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up to 10,362,693 Ordinary Shares issuable upon conversion of the 2029 Convertible Notes to permit the resale of these Ordinary Shares by the holders of the 2029 Convertible Notes from time to time after the date of this prospectus. We will not receive any of the proceeds from the sale by the selling securityholders of the Ordinary Shares. We will bear all fees and expenses incident to our obligation to register the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national securities exchange or quotation service on which the securities may be listed or quoted at the time of sale;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otherwise than on these exchanges or systems or in the over-the-counter market;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whether such options are listed on an options exchange or otherwise;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made after the date the Registration Statement is declared effective by the SEC;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a selling security holder to sell a specified number of such shares at a stipulated price per share; </w:t>
      </w:r>
      <w:r>
        <mc:AlternateContent>
          <mc:Choice Requires="wps">
            <w:drawing>
              <wp:anchor behindDoc="0" distT="7366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366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366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also sell Ordinary Shares under Rule 144 promulgated under the Securities Act of 1933, as amended, if available, rather than under this prospectus. In addition, the selling securityholders may transfer the Ordinary Shares by 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pledge or grant a security interest in some or all of the 2029 Convertible Notes or Ordinary Shares owned by them and, if they default in the performance of their secured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securityholders also may transfer and donate the Ordinary Shares in other circumstances in which case the transferees, donees, pledgees or other successors in interest will be the selling beneficial owners for purposes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any selling shareholder will sell any or all of the Ordinary Shares registered pursuant to the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pay all expenses of the registration of the Ordinary Shares pursuant to the registration rights agreement, including, without limitation, Securities and Exchange Commission filing fees and expenses of compliance with state securities or “blue sky” laws; provided, however, the selling shareholder will pay all underwriting discounts and selling commissions, if any. We will indemnify the selling securityholders against liabilities, including some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sold under the registration statement, of which this prospectus forms a part, the Ordinary Shares will be freely tradable in the hands of persons other than our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EFF"/>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ELIGIBLE FOR FUTURE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66,637,954 Ordinary Shares authorized,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were funded in two tranches: (i) $15.0 million were funded on January 21, 2026 and (ii) $15.0 million on March 5, 2026.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2028 Convertible Notes, the Company also issued 3,744,150 warrants to the investors to purchase shares of the Company in an amount determined by reference to the principal amount of the 2028 Convertible Notes. The warrants are exercisable until December 15, 2028, at an exercise price equal to $8.0125 per Ordinary Shares, exercisable for cash or, at the Company’s election, on a cashless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€7,500,000 was set to be drawn down early in 2026, but was not utilized due to the Company issuing the 2028 Convertible Notes (see below). 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entered into a service agreement with its CFO, Arthur Schuetz and into a share incentive plan with Helmut Rauch, the COO of the SCHMID Group under which certain amounts of shares are to be issued regularly. None of such shares have been issued to Arthur Schuetz or Helmut Rauch.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SEPA with Yorkville providing SCHMID access to equity financing of up to USD 30.0 million at its discretion. Under the terms of the SEPA, the Group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on July 7, 2026, the Company entered into an investment agreement with an institutional investor, Linden Advisors LP, to sell, and on July 14, 2026 sold the 2029 Convertible Notes in an aggregate principal amount of $20.0 million convertible into ordinary shares of the Company in a private placement to accounts managed by Linden. The 2029 Convertible Notes were issued at 99% of principal amount pursuant an indenture.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additional shares authorized under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Rule 144 of the Securities Act (“</w:t>
      </w: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val="false"/>
          <w:i w:val="false"/>
          <w:caps w:val="false"/>
          <w:smallCaps w:val="false"/>
          <w:color w:val="000000"/>
          <w:spacing w:val="4"/>
          <w:sz w:val="20"/>
        </w:rPr>
        <w:t xml:space="preserve">”),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the Use of Rule 144 by Shell Companies or Former Shell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701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2028 Convertible Notes, the 2029 Convertible Notes and the 2026 Warrants issued to accounts managed by Linden, the Company entered into registration rights agreements to register the underlying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XJ Harbour in November 2025, the Company entered into contractual arrangements requiring the registration of the shares issued to XJ Harbour on January 16, 2026.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the Company signed the SEPA with Yorkville. On May 23, 2026, the Company issued Ordinary Shares to Yorkville in satisfaction of the USD 150,000 commitment fee under the SEPA, thereby making the SEPA available for use by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2029 Convertible Notes issued to accounts managed by Linden in July 2026, the Company entered into a registration rights agreement to register the underlying shares of the 2029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R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itemization of the total expenses which are expected to be incurred by us in connection with the securities being registered hereby and the offer and sale of our Ordinary Shares by the selling securityholders. </w:t>
      </w:r>
    </w:p>
    <w:tbl>
      <w:tblPr>
        <w:tblW w:w="4431" w:type="dxa"/>
        <w:jc w:val="left"/>
        <w:tblInd w:w="1393" w:type="dxa"/>
        <w:tblLayout w:type="fixed"/>
        <w:tblCellMar>
          <w:top w:w="0" w:type="dxa"/>
          <w:left w:w="0" w:type="dxa"/>
          <w:bottom w:w="28" w:type="dxa"/>
          <w:right w:w="0" w:type="dxa"/>
        </w:tblCellMar>
      </w:tblPr>
      <w:tblGrid>
        <w:gridCol w:w="3130"/>
        <w:gridCol w:w="109"/>
        <w:gridCol w:w="109"/>
        <w:gridCol w:w="111"/>
        <w:gridCol w:w="231"/>
        <w:gridCol w:w="476"/>
        <w:gridCol w:w="111"/>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476"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476" w:type="dxa"/>
            <w:tcBorders/>
            <w:tcMar>
              <w:bottom w:w="0" w:type="dxa"/>
            </w:tcMar>
            <w:vAlign w:val="center"/>
          </w:tcPr>
          <w:p>
            <w:pPr>
              <w:pStyle w:val="TableContents"/>
              <w:bidi w:val="0"/>
              <w:spacing w:before="0" w:after="283"/>
              <w:jc w:val="right"/>
              <w:rPr/>
            </w:pPr>
            <w:r>
              <w:rPr/>
              <w:t> </w:t>
            </w:r>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47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476" w:type="dxa"/>
            <w:tcBorders>
              <w:bottom w:val="single" w:sz="2" w:space="0" w:color="000000"/>
            </w:tcBorders>
            <w:tcMar>
              <w:bottom w:w="50" w:type="dxa"/>
            </w:tcMar>
            <w:vAlign w:val="center"/>
          </w:tcPr>
          <w:p>
            <w:pPr>
              <w:pStyle w:val="TableContents"/>
              <w:bidi w:val="0"/>
              <w:spacing w:before="0" w:after="283"/>
              <w:jc w:val="right"/>
              <w:rPr/>
            </w:pPr>
            <w:r>
              <w:rPr/>
              <w:t> </w:t>
            </w:r>
            <w:r>
              <w:rPr/>
              <w:t xml:space="preserve">* </w:t>
            </w:r>
          </w:p>
        </w:tc>
        <w:tc>
          <w:tcPr>
            <w:tcW w:w="111"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7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b w:val="false"/>
              </w:rPr>
              <w:t>*</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LEG"/>
      <w:bookmarkEnd w:id="29"/>
      <w:r>
        <w:rPr>
          <w:rFonts w:ascii="calibri;arial;sans-serif" w:hAnsi="calibri;arial;sans-serif"/>
          <w:b w:val="false"/>
          <w:i w:val="false"/>
          <w:caps w:val="false"/>
          <w:smallCaps w:val="false"/>
          <w:color w:val="000000"/>
          <w:sz w:val="16"/>
        </w:rPr>
        <w:t>​</w:t>
      </w:r>
      <w:bookmarkStart w:id="30" w:name="tEXP"/>
      <w:bookmarkEnd w:id="30"/>
      <w:r>
        <w:rPr>
          <w:rFonts w:ascii="calibri;arial;sans-serif" w:hAnsi="calibri;arial;sans-serif"/>
          <w:b w:val="false"/>
          <w:i w:val="false"/>
          <w:caps w:val="false"/>
          <w:smallCaps w:val="false"/>
          <w:color w:val="000000"/>
          <w:sz w:val="16"/>
        </w:rPr>
        <w:t>​</w:t>
      </w:r>
      <w:bookmarkStart w:id="31" w:name="tENF"/>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WCFM"/>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corporate website at schmid-group.com. Information contained on, or that can be accessed through, our website does not constitute a part of this prospectus. We have included our website address in this prospectus solely for informational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C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Half Year Results and Full Year Results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Index to Unaudited Interim Condensed 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44"/>
        <w:gridCol w:w="109"/>
        <w:gridCol w:w="109"/>
        <w:gridCol w:w="109"/>
        <w:gridCol w:w="109"/>
        <w:gridCol w:w="54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ind w:left="200" w:right="0" w:hanging="200"/>
              <w:jc w:val="left"/>
              <w:rPr/>
            </w:pPr>
            <w:hyperlink w:anchor="bSGNU">
              <w:r>
                <w:rPr>
                  <w:rStyle w:val="InternetLink"/>
                  <w:spacing w:val="4"/>
                </w:rPr>
                <w:t xml:space="preserve">Unaudited Condensed Consolidated Statement of Profit or Loss and Other Comprehensive Income </w:t>
              </w:r>
            </w:hyperlink>
            <w:hyperlink w:anchor="bSGNU">
              <w:r>
                <w:rPr>
                  <w:rStyle w:val="InternetLink"/>
                </w:rPr>
                <w:br/>
              </w:r>
            </w:hyperlink>
            <w:hyperlink w:anchor="bSGNU">
              <w:r>
                <w:rPr>
                  <w:rStyle w:val="InternetLink"/>
                  <w:spacing w:val="4"/>
                </w:rPr>
                <w:t xml:space="preserve">(Loss)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
              <w:r>
                <w:rPr>
                  <w:rStyle w:val="InternetLink"/>
                  <w:spacing w:val="4"/>
                </w:rPr>
                <w:t>F-2</w:t>
              </w:r>
            </w:hyperlink>
            <w:hyperlink w:anchor="bSGN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2">
              <w:r>
                <w:rPr>
                  <w:rStyle w:val="InternetLink"/>
                  <w:spacing w:val="4"/>
                </w:rPr>
                <w:t xml:space="preserve">Unaudited Condensed Consolidated Statement of Financial 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2">
              <w:r>
                <w:rPr>
                  <w:rStyle w:val="InternetLink"/>
                  <w:spacing w:val="4"/>
                </w:rPr>
                <w:t>F-3</w:t>
              </w:r>
            </w:hyperlink>
            <w:hyperlink w:anchor="bSGNU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SGNU3">
              <w:r>
                <w:rPr>
                  <w:rStyle w:val="InternetLink"/>
                  <w:spacing w:val="4"/>
                </w:rPr>
                <w:t xml:space="preserve">Unaudited Condensed Consolidated Statement of Changes in Equity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3">
              <w:r>
                <w:rPr>
                  <w:rStyle w:val="InternetLink"/>
                  <w:spacing w:val="4"/>
                </w:rPr>
                <w:t>F-4</w:t>
              </w:r>
            </w:hyperlink>
            <w:hyperlink w:anchor="bSGNU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4">
              <w:r>
                <w:rPr>
                  <w:rStyle w:val="InternetLink"/>
                  <w:spacing w:val="4"/>
                </w:rPr>
                <w:t xml:space="preserve">Unaudited Condensed Consolidated Statement of Cash Flows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4">
              <w:r>
                <w:rPr>
                  <w:rStyle w:val="InternetLink"/>
                  <w:spacing w:val="4"/>
                </w:rPr>
                <w:t>F-5</w:t>
              </w:r>
            </w:hyperlink>
            <w:hyperlink w:anchor="bSGNU4">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1BOP">
              <w:r>
                <w:rPr>
                  <w:rStyle w:val="InternetLink"/>
                  <w:spacing w:val="4"/>
                </w:rPr>
                <w:t xml:space="preserve">1. Basis of Preparation and Statement of Compliance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1BOP">
              <w:r>
                <w:rPr>
                  <w:rStyle w:val="InternetLink"/>
                  <w:spacing w:val="4"/>
                </w:rPr>
                <w:t>F-6</w:t>
              </w:r>
            </w:hyperlink>
            <w:hyperlink w:anchor="b1B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2EPS">
              <w:r>
                <w:rPr>
                  <w:rStyle w:val="InternetLink"/>
                  <w:spacing w:val="4"/>
                </w:rPr>
                <w:t xml:space="preserve">2. Earnings Per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2EPS">
              <w:r>
                <w:rPr>
                  <w:rStyle w:val="InternetLink"/>
                  <w:spacing w:val="4"/>
                </w:rPr>
                <w:t>F-6</w:t>
              </w:r>
            </w:hyperlink>
            <w:hyperlink w:anchor="b2E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3SI">
              <w:r>
                <w:rPr>
                  <w:rStyle w:val="InternetLink"/>
                  <w:spacing w:val="4"/>
                </w:rPr>
                <w:t xml:space="preserve">3. Segment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3SI">
              <w:r>
                <w:rPr>
                  <w:rStyle w:val="InternetLink"/>
                  <w:spacing w:val="4"/>
                </w:rPr>
                <w:t>F-7</w:t>
              </w:r>
            </w:hyperlink>
            <w:hyperlink w:anchor="b3S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4CLA">
              <w:r>
                <w:rPr>
                  <w:rStyle w:val="InternetLink"/>
                  <w:spacing w:val="4"/>
                </w:rPr>
                <w:t xml:space="preserve">4. Contingent Liabilities and Contingent Assets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4CLA">
              <w:r>
                <w:rPr>
                  <w:rStyle w:val="InternetLink"/>
                  <w:spacing w:val="4"/>
                </w:rPr>
                <w:t>F-7</w:t>
              </w:r>
            </w:hyperlink>
            <w:hyperlink w:anchor="b4CL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5FVM">
              <w:r>
                <w:rPr>
                  <w:rStyle w:val="InternetLink"/>
                  <w:spacing w:val="4"/>
                </w:rPr>
                <w:t xml:space="preserve">5. Fair Value Measurement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5FVM">
              <w:r>
                <w:rPr>
                  <w:rStyle w:val="InternetLink"/>
                  <w:spacing w:val="4"/>
                </w:rPr>
                <w:t>F-7</w:t>
              </w:r>
            </w:hyperlink>
            <w:hyperlink w:anchor="b5FV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6NAC">
              <w:r>
                <w:rPr>
                  <w:rStyle w:val="InternetLink"/>
                  <w:spacing w:val="4"/>
                </w:rPr>
                <w:t xml:space="preserve">6. Non-Current and Current Financial Liabilities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6NAC">
              <w:r>
                <w:rPr>
                  <w:rStyle w:val="InternetLink"/>
                  <w:spacing w:val="4"/>
                </w:rPr>
                <w:t>F-10</w:t>
              </w:r>
            </w:hyperlink>
            <w:hyperlink w:anchor="b6N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7RPT">
              <w:r>
                <w:rPr>
                  <w:rStyle w:val="InternetLink"/>
                  <w:spacing w:val="4"/>
                </w:rPr>
                <w:t xml:space="preserve">7.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7RPT">
              <w:r>
                <w:rPr>
                  <w:rStyle w:val="InternetLink"/>
                  <w:spacing w:val="4"/>
                </w:rPr>
                <w:t>F-10</w:t>
              </w:r>
            </w:hyperlink>
            <w:hyperlink w:anchor="b7RP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8EAT">
              <w:r>
                <w:rPr>
                  <w:rStyle w:val="InternetLink"/>
                  <w:spacing w:val="4"/>
                </w:rPr>
                <w:t xml:space="preserve">8. Events after the Reporting Period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8EAT">
              <w:r>
                <w:rPr>
                  <w:rStyle w:val="InternetLink"/>
                  <w:spacing w:val="4"/>
                </w:rPr>
                <w:t>F-11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bSGNU"/>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Profit or Loss and Other Comprehensive Income (Loss)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792"/>
        <w:gridCol w:w="109"/>
        <w:gridCol w:w="109"/>
        <w:gridCol w:w="585"/>
        <w:gridCol w:w="109"/>
        <w:gridCol w:w="109"/>
        <w:gridCol w:w="119"/>
        <w:gridCol w:w="119"/>
        <w:gridCol w:w="955"/>
        <w:gridCol w:w="119"/>
        <w:gridCol w:w="109"/>
        <w:gridCol w:w="109"/>
        <w:gridCol w:w="119"/>
        <w:gridCol w:w="119"/>
        <w:gridCol w:w="955"/>
        <w:gridCol w:w="119"/>
        <w:gridCol w:w="157"/>
      </w:tblGrid>
      <w:tr>
        <w:trPr/>
        <w:tc>
          <w:tcPr>
            <w:tcW w:w="479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000000"/>
            </w:tcBorders>
            <w:vAlign w:val="center"/>
          </w:tcPr>
          <w:p>
            <w:pPr>
              <w:pStyle w:val="TableContents"/>
              <w:bidi w:val="0"/>
              <w:spacing w:before="0" w:after="0"/>
              <w:jc w:val="center"/>
              <w:rPr/>
            </w:pPr>
            <w:r>
              <w:rPr>
                <w:spacing w:val="-3"/>
              </w:rPr>
              <w:t>Note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45,999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16,892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(5,411)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(5,762)</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(8,532)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(5,472)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(2,357)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(1,563)</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1,304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6,914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(2,735)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(38,726)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(1,978)</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pPr>
            <w:r>
              <w:rPr>
                <w:spacing w:val="-4"/>
              </w:rPr>
              <w:t>Basic and diluted loss per share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0"/>
              <w:jc w:val="center"/>
              <w:rPr>
                <w:b w:val="false"/>
              </w:rPr>
            </w:pPr>
            <w:r>
              <w:rPr>
                <w:b w:val="false"/>
                <w:spacing w:val="4"/>
              </w:rPr>
              <w:t>2</w:t>
            </w:r>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Items that may be reclassified subsequently to profit or loss / other comprehensive income (loss), net of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1,328</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(1,705)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comprehensive income (loss) for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(46,481)</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(11,870)</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Attributable to: owners of the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(46,519)</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(11,825)</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Attributable to: non-controlling interests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38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bSGNU2"/>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Financial 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710" w:type="dxa"/>
        <w:jc w:val="left"/>
        <w:tblInd w:w="1393" w:type="dxa"/>
        <w:tblLayout w:type="fixed"/>
        <w:tblCellMar>
          <w:top w:w="0" w:type="dxa"/>
          <w:left w:w="0" w:type="dxa"/>
          <w:bottom w:w="50" w:type="dxa"/>
          <w:right w:w="0" w:type="dxa"/>
        </w:tblCellMar>
      </w:tblPr>
      <w:tblGrid>
        <w:gridCol w:w="4476"/>
        <w:gridCol w:w="109"/>
        <w:gridCol w:w="109"/>
        <w:gridCol w:w="622"/>
        <w:gridCol w:w="109"/>
        <w:gridCol w:w="109"/>
        <w:gridCol w:w="109"/>
        <w:gridCol w:w="109"/>
        <w:gridCol w:w="1045"/>
        <w:gridCol w:w="109"/>
        <w:gridCol w:w="109"/>
        <w:gridCol w:w="109"/>
        <w:gridCol w:w="114"/>
        <w:gridCol w:w="114"/>
        <w:gridCol w:w="1090"/>
        <w:gridCol w:w="114"/>
        <w:gridCol w:w="154"/>
      </w:tblGrid>
      <w:tr>
        <w:trPr/>
        <w:tc>
          <w:tcPr>
            <w:tcW w:w="44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 31,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5"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17,914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17,262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Property, plant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12,234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14,253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16,203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1,043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2,466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2,317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47,237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49,058</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23,448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18,112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49,551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33,653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4,680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3,918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2,292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1,574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79,970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57,257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127,207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106,315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Subscribed capital and capital reserves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263,264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115,411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Other 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(294,674)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(248,155)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the group</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(31,410)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(132,744)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579</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(30,793)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(132,165)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54,474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71,518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969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254</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1,965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Non-current lease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6,961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7,153</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64,623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81,859</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28,184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87,148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13,555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Trade payables and other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37,846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38,071</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13,373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15,505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1,397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415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531</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93,377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156,622</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127,207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106,315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bSGNU3"/>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Changes in Equity</w:t>
      </w:r>
      <w:r>
        <w:rPr>
          <w:rFonts w:ascii="Times New Roman;Times;serif" w:hAnsi="Times New Roman;Times;serif"/>
          <w:b/>
          <w:i w:val="false"/>
          <w:caps w:val="false"/>
          <w:smallCaps w:val="false"/>
          <w:color w:val="000000"/>
          <w:spacing w:val="4"/>
          <w:sz w:val="20"/>
        </w:rPr>
        <w:t xml:space="preserve"> </w:t>
      </w:r>
    </w:p>
    <w:tbl>
      <w:tblPr>
        <w:tblW w:w="1156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961"/>
        <w:gridCol w:w="109"/>
        <w:gridCol w:w="109"/>
        <w:gridCol w:w="109"/>
        <w:gridCol w:w="109"/>
        <w:gridCol w:w="109"/>
        <w:gridCol w:w="466"/>
        <w:gridCol w:w="109"/>
        <w:gridCol w:w="109"/>
        <w:gridCol w:w="109"/>
        <w:gridCol w:w="109"/>
        <w:gridCol w:w="109"/>
        <w:gridCol w:w="961"/>
        <w:gridCol w:w="109"/>
        <w:gridCol w:w="154"/>
      </w:tblGrid>
      <w:tr>
        <w:trPr/>
        <w:tc>
          <w:tcPr>
            <w:tcW w:w="1140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2026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2026</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114,980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(245,896)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(2,259)</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579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1,321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1,321</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(46,519)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(46,481)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Capital increases (see detail </w:t>
            </w:r>
            <w:r>
              <w:rPr/>
              <w:br/>
            </w:r>
            <w:r>
              <w:rPr>
                <w:spacing w:val="4"/>
              </w:rPr>
              <w:t xml:space="preserve">below)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63" w:type="dxa"/>
            <w:tcBorders>
              <w:bottom w:val="single" w:sz="2" w:space="0" w:color="000000"/>
            </w:tcBorders>
            <w:shd w:fill="CCEEFF" w:val="clear"/>
            <w:tcMar>
              <w:bottom w:w="37" w:type="dxa"/>
            </w:tcMar>
            <w:vAlign w:val="center"/>
          </w:tcPr>
          <w:p>
            <w:pPr>
              <w:pStyle w:val="TableContents"/>
              <w:bidi w:val="0"/>
              <w:spacing w:before="0" w:after="283"/>
              <w:jc w:val="right"/>
              <w:rPr/>
            </w:pPr>
            <w:r>
              <w:rPr/>
              <w:t>226</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147,627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1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Balance at June 30, 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657</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262,607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(293,736)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(938)</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(31,410)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(30,793)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 of H1 2026 capital increases, in € thousand: </w:t>
      </w:r>
    </w:p>
    <w:tbl>
      <w:tblPr>
        <w:tblW w:w="6612" w:type="dxa"/>
        <w:jc w:val="left"/>
        <w:tblInd w:w="1393" w:type="dxa"/>
        <w:tblLayout w:type="fixed"/>
        <w:tblCellMar>
          <w:top w:w="0" w:type="dxa"/>
          <w:left w:w="0" w:type="dxa"/>
          <w:bottom w:w="28" w:type="dxa"/>
          <w:right w:w="0" w:type="dxa"/>
        </w:tblCellMar>
      </w:tblPr>
      <w:tblGrid>
        <w:gridCol w:w="5027"/>
        <w:gridCol w:w="109"/>
        <w:gridCol w:w="109"/>
        <w:gridCol w:w="109"/>
        <w:gridCol w:w="109"/>
        <w:gridCol w:w="886"/>
        <w:gridCol w:w="109"/>
        <w:gridCol w:w="154"/>
      </w:tblGrid>
      <w:tr>
        <w:trPr/>
        <w:tc>
          <w:tcPr>
            <w:tcW w:w="5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SEPA (Yorkville)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XJ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Share-based payments for management and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Debt-equity swaps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27" w:type="dxa"/>
            <w:tcBorders>
              <w:bottom w:val="single" w:sz="2" w:space="0" w:color="FFFFFF"/>
            </w:tcBorders>
            <w:tcMar>
              <w:bottom w:w="50" w:type="dxa"/>
            </w:tcMar>
            <w:vAlign w:val="center"/>
          </w:tcPr>
          <w:p>
            <w:pPr>
              <w:pStyle w:val="TableContents"/>
              <w:bidi w:val="0"/>
              <w:spacing w:before="0" w:after="0"/>
              <w:jc w:val="left"/>
              <w:rPr/>
            </w:pPr>
            <w:r>
              <w:rPr>
                <w:spacing w:val="-4"/>
              </w:rPr>
              <w:t>Total capital increases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147,853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for a discussion of the events driving these capital increases, in particular the debt-to-equity swap, the issuance of the 2028 Convertible Notes, and the settlement of the XJ Harbour liability. </w:t>
      </w:r>
    </w:p>
    <w:tbl>
      <w:tblPr>
        <w:tblW w:w="1135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871"/>
        <w:gridCol w:w="109"/>
        <w:gridCol w:w="109"/>
        <w:gridCol w:w="109"/>
        <w:gridCol w:w="109"/>
        <w:gridCol w:w="109"/>
        <w:gridCol w:w="466"/>
        <w:gridCol w:w="109"/>
        <w:gridCol w:w="109"/>
        <w:gridCol w:w="109"/>
        <w:gridCol w:w="109"/>
        <w:gridCol w:w="109"/>
        <w:gridCol w:w="841"/>
        <w:gridCol w:w="109"/>
        <w:gridCol w:w="154"/>
      </w:tblGrid>
      <w:tr>
        <w:trPr/>
        <w:tc>
          <w:tcPr>
            <w:tcW w:w="1119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2025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(1,138)</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(1,702)</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(1,702)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Total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(10,123)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(1,702)</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71" w:type="dxa"/>
            <w:tcBorders>
              <w:bottom w:val="single" w:sz="2" w:space="0" w:color="000000"/>
            </w:tcBorders>
            <w:vAlign w:val="center"/>
          </w:tcPr>
          <w:p>
            <w:pPr>
              <w:pStyle w:val="TableContents"/>
              <w:bidi w:val="0"/>
              <w:spacing w:before="0" w:after="283"/>
              <w:jc w:val="right"/>
              <w:rPr/>
            </w:pPr>
            <w:r>
              <w:rPr/>
              <w:t>(11,825)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(11,870)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June 30,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(184,976)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(2,840)</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(72,937)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(72,314)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bSGNU4"/>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 xml:space="preserve">SCHMID Group N.V. — Unaudited Condensed Consolidated Statements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color w:val="000000"/>
          <w:spacing w:val="-4"/>
          <w:sz w:val="20"/>
        </w:rPr>
        <w:t>Cash Flows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312"/>
        <w:gridCol w:w="109"/>
        <w:gridCol w:w="109"/>
        <w:gridCol w:w="129"/>
        <w:gridCol w:w="129"/>
        <w:gridCol w:w="1067"/>
        <w:gridCol w:w="129"/>
        <w:gridCol w:w="109"/>
        <w:gridCol w:w="109"/>
        <w:gridCol w:w="129"/>
        <w:gridCol w:w="129"/>
        <w:gridCol w:w="1067"/>
        <w:gridCol w:w="129"/>
        <w:gridCol w:w="156"/>
      </w:tblGrid>
      <w:tr>
        <w:trPr/>
        <w:tc>
          <w:tcPr>
            <w:tcW w:w="531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(47,809)</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(10,165)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1,015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76</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38,834</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2,433</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2,547</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2,267</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(4,382)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(16,660)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942</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(5,336)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(4,226)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(3,482)</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13,951</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1,105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(90)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(1,695)</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118</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(29,328)</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1,056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(2,520)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provided by (used in)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(2,520)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(2,530)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1,306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1,222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(889)</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equity and equity-linked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33,116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(494)</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(794)</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(303)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14</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financing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32,566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139</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Net increase (decrease) in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718</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1,574</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3,791</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2,292</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2,456</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b1BOP"/>
      <w:bookmarkEnd w:id="38"/>
      <w:r>
        <w:rPr>
          <w:rFonts w:ascii="calibri;arial;sans-serif" w:hAnsi="calibri;arial;sans-serif"/>
          <w:b w:val="false"/>
          <w:i w:val="false"/>
          <w:caps w:val="false"/>
          <w:smallCaps w:val="false"/>
          <w:color w:val="000000"/>
          <w:sz w:val="16"/>
        </w:rPr>
        <w:t>​</w:t>
      </w:r>
      <w:bookmarkStart w:id="39" w:name="b2EPS"/>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BASIS OF PREPARATION AND STATEMENT OF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condensed consolidated interim financial statements for the six months ended June 30, 2026 have been prepared in accordance with IAS 34, Interim Financial Reporting, as issued by the IASB. They do not include all the information required for full annual financial statements and should be read in conjunction with the Company’s consolidated financial statements for the year ended December 31, 2025, included elsewhere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applied in these condensed consolidated interim financial statements are consistent with those applied in the Company’s consolidated financial statements for the year ended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59"/>
        <w:gridCol w:w="109"/>
        <w:gridCol w:w="109"/>
        <w:gridCol w:w="109"/>
        <w:gridCol w:w="109"/>
        <w:gridCol w:w="1201"/>
        <w:gridCol w:w="109"/>
        <w:gridCol w:w="109"/>
        <w:gridCol w:w="109"/>
        <w:gridCol w:w="109"/>
        <w:gridCol w:w="109"/>
        <w:gridCol w:w="1201"/>
        <w:gridCol w:w="109"/>
        <w:gridCol w:w="161"/>
      </w:tblGrid>
      <w:tr>
        <w:trPr/>
        <w:tc>
          <w:tcPr>
            <w:tcW w:w="51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Net income (loss) attributable to owners of the group </w:t>
            </w:r>
            <w:r>
              <w:rPr/>
              <w:br/>
            </w:r>
            <w:r>
              <w:rPr>
                <w:spacing w:val="4"/>
              </w:rPr>
              <w:t xml:space="preserve">(€ thousand)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(47,840)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(10,123)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jc w:val="left"/>
              <w:rPr>
                <w:spacing w:val="4"/>
              </w:rPr>
            </w:pPr>
            <w:r>
              <w:rPr>
                <w:spacing w:val="4"/>
              </w:rPr>
              <w:t xml:space="preserve">Weighted average number of ordinary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Basic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outstanding </w:t>
            </w:r>
            <w:r>
              <w:rPr/>
              <w:br/>
            </w: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Diluted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ordinary shares from outstanding convertible notes, warrants, options, and earn-out shares were excluded from diluted EPS in both periods, as their inclusion would be anti-dilutive in a loss position (IAS 33.43).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   </w:t>
      </w:r>
      <w:r>
        <w:rPr>
          <w:rFonts w:ascii="Times New Roman;Times;serif" w:hAnsi="Times New Roman;Times;serif"/>
          <w:b w:val="false"/>
          <w:i w:val="false"/>
          <w:caps w:val="false"/>
          <w:smallCaps w:val="false"/>
          <w:color w:val="000000"/>
          <w:spacing w:val="4"/>
          <w:sz w:val="20"/>
        </w:rPr>
        <w:t xml:space="preserve">The Company has 5,000,000 earn-out shares issued and outstanding, which are subject to vesting conditions based on the trading price of the Company’s ordinary shares. 2,500,000 shares will vest if the ordinary share price equals or exceeds $15.00 for 20 out of 30 consecutive trading days, and a further 2,500,000 shares will vest if the ordinary share price equals or exceeds $18.00 for 20 out of 30 consecutive trading days, in each case by April 30, 2027. As the applicable conditions had not been met as of June 30, 2026, these shares have not been included in the calculation of diluted earnings per share.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t>
      </w:r>
      <w:r>
        <w:rPr>
          <w:rFonts w:ascii="Times New Roman;Times;serif" w:hAnsi="Times New Roman;Times;serif"/>
          <w:b w:val="false"/>
          <w:i w:val="false"/>
          <w:caps w:val="false"/>
          <w:smallCaps w:val="false"/>
          <w:color w:val="000000"/>
          <w:spacing w:val="4"/>
          <w:sz w:val="20"/>
        </w:rPr>
        <w:t xml:space="preserve">In January and March 2026, the Company issued $30.0 million in aggregate principal amount of senior convertible notes. As of June 30, 2026, $12.0 million in principal amount remained outstanding. The notes are convertible into ordinary shares subject to the terms and conditions of the respective note agreements.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Warrants:   </w:t>
      </w: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issued warrants exercisable for an aggregate of 3,744,150 ordinary shares at an exercise price of $8.0125 per share.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Convertible Loan:   </w:t>
      </w:r>
      <w:r>
        <w:rPr>
          <w:rFonts w:ascii="Times New Roman;Times;serif" w:hAnsi="Times New Roman;Times;serif"/>
          <w:b w:val="false"/>
          <w:i w:val="false"/>
          <w:caps w:val="false"/>
          <w:smallCaps w:val="false"/>
          <w:color w:val="000000"/>
          <w:spacing w:val="4"/>
          <w:sz w:val="20"/>
        </w:rPr>
        <w:t xml:space="preserve">The Company has a €2.5 million convertible loan with Black Forest Special Situations I. The loan is convertible into ordinary shares in accordance with its terms.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Options:   </w:t>
      </w:r>
      <w:r>
        <w:rPr>
          <w:rFonts w:ascii="Times New Roman;Times;serif" w:hAnsi="Times New Roman;Times;serif"/>
          <w:b w:val="false"/>
          <w:i w:val="false"/>
          <w:caps w:val="false"/>
          <w:smallCaps w:val="false"/>
          <w:color w:val="000000"/>
          <w:spacing w:val="4"/>
          <w:sz w:val="20"/>
        </w:rPr>
        <w:t xml:space="preserve">Black Forest Special Situations I holds options to acquire 1,250,000 ordinary shares at an exercise price of $4.1956 per share. The potential ordinary shares issuable upon exercise of these options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b3SI"/>
      <w:bookmarkEnd w:id="40"/>
      <w:r>
        <w:rPr>
          <w:rFonts w:ascii="calibri;arial;sans-serif" w:hAnsi="calibri;arial;sans-serif"/>
          <w:b w:val="false"/>
          <w:i w:val="false"/>
          <w:caps w:val="false"/>
          <w:smallCaps w:val="false"/>
          <w:color w:val="000000"/>
          <w:sz w:val="16"/>
        </w:rPr>
        <w:t>​</w:t>
      </w:r>
      <w:bookmarkStart w:id="41" w:name="b4CLA"/>
      <w:bookmarkEnd w:id="41"/>
      <w:r>
        <w:rPr>
          <w:rFonts w:ascii="calibri;arial;sans-serif" w:hAnsi="calibri;arial;sans-serif"/>
          <w:b w:val="false"/>
          <w:i w:val="false"/>
          <w:caps w:val="false"/>
          <w:smallCaps w:val="false"/>
          <w:color w:val="000000"/>
          <w:sz w:val="16"/>
        </w:rPr>
        <w:t>​</w:t>
      </w:r>
      <w:bookmarkStart w:id="42" w:name="b5FVM"/>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and private warrants:   </w:t>
      </w:r>
      <w:r>
        <w:rPr>
          <w:rFonts w:ascii="Times New Roman;Times;serif" w:hAnsi="Times New Roman;Times;serif"/>
          <w:b w:val="false"/>
          <w:i w:val="false"/>
          <w:caps w:val="false"/>
          <w:smallCaps w:val="false"/>
          <w:color w:val="000000"/>
          <w:spacing w:val="4"/>
          <w:sz w:val="20"/>
        </w:rPr>
        <w:t xml:space="preserve">The Company has 21,000,000 public and private warrants outstanding, which are exercisable or may otherwise result in the issuance of ordinary shares subject to the terms of the applicable warrant agreements.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0" distB="0" distL="254000" distR="0" simplePos="0" locked="0" layoutInCell="1" allowOverlap="1" relativeHeight="263">
                <wp:simplePos x="0" y="0"/>
                <wp:positionH relativeFrom="column">
                  <wp:align>left</wp:align>
                </wp:positionH>
                <wp:positionV relativeFrom="line">
                  <wp:posOffset>635</wp:posOffset>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SEGMENT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operating decision maker reviews revenue and result by the following management reporting categories: Technical Equipment and Processes, Spare Parts and Services, and Other.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2026,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97"/>
        <w:gridCol w:w="109"/>
        <w:gridCol w:w="109"/>
        <w:gridCol w:w="180"/>
        <w:gridCol w:w="180"/>
        <w:gridCol w:w="1270"/>
        <w:gridCol w:w="180"/>
        <w:gridCol w:w="109"/>
        <w:gridCol w:w="109"/>
        <w:gridCol w:w="150"/>
        <w:gridCol w:w="150"/>
        <w:gridCol w:w="897"/>
        <w:gridCol w:w="150"/>
        <w:gridCol w:w="109"/>
        <w:gridCol w:w="109"/>
        <w:gridCol w:w="109"/>
        <w:gridCol w:w="109"/>
        <w:gridCol w:w="781"/>
        <w:gridCol w:w="109"/>
        <w:gridCol w:w="109"/>
        <w:gridCol w:w="109"/>
        <w:gridCol w:w="109"/>
        <w:gridCol w:w="109"/>
        <w:gridCol w:w="790"/>
        <w:gridCol w:w="109"/>
        <w:gridCol w:w="161"/>
      </w:tblGrid>
      <w:tr>
        <w:trPr/>
        <w:tc>
          <w:tcPr>
            <w:tcW w:w="23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97"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1270" w:type="dxa"/>
            <w:tcBorders/>
            <w:shd w:fill="CCEEFF" w:val="clear"/>
            <w:tcMar>
              <w:bottom w:w="0" w:type="dxa"/>
            </w:tcMar>
            <w:vAlign w:val="center"/>
          </w:tcPr>
          <w:p>
            <w:pPr>
              <w:pStyle w:val="TableContents"/>
              <w:bidi w:val="0"/>
              <w:spacing w:before="0" w:after="283"/>
              <w:jc w:val="right"/>
              <w:rPr/>
            </w:pPr>
            <w:r>
              <w:rPr/>
              <w:t>40,556</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5,215</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97"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1270" w:type="dxa"/>
            <w:tcBorders/>
            <w:tcMar>
              <w:bottom w:w="0" w:type="dxa"/>
            </w:tcMar>
            <w:vAlign w:val="center"/>
          </w:tcPr>
          <w:p>
            <w:pPr>
              <w:pStyle w:val="TableContents"/>
              <w:bidi w:val="0"/>
              <w:spacing w:before="0" w:after="283"/>
              <w:jc w:val="right"/>
              <w:rPr/>
            </w:pPr>
            <w:r>
              <w:rPr/>
              <w:t>2,142</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2,123</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(9,792)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(5,527)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2025,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473"/>
        <w:gridCol w:w="109"/>
        <w:gridCol w:w="109"/>
        <w:gridCol w:w="179"/>
        <w:gridCol w:w="179"/>
        <w:gridCol w:w="1311"/>
        <w:gridCol w:w="179"/>
        <w:gridCol w:w="109"/>
        <w:gridCol w:w="109"/>
        <w:gridCol w:w="153"/>
        <w:gridCol w:w="153"/>
        <w:gridCol w:w="911"/>
        <w:gridCol w:w="153"/>
        <w:gridCol w:w="109"/>
        <w:gridCol w:w="109"/>
        <w:gridCol w:w="109"/>
        <w:gridCol w:w="109"/>
        <w:gridCol w:w="646"/>
        <w:gridCol w:w="109"/>
        <w:gridCol w:w="109"/>
        <w:gridCol w:w="109"/>
        <w:gridCol w:w="109"/>
        <w:gridCol w:w="109"/>
        <w:gridCol w:w="791"/>
        <w:gridCol w:w="109"/>
        <w:gridCol w:w="158"/>
      </w:tblGrid>
      <w:tr>
        <w:trPr/>
        <w:tc>
          <w:tcPr>
            <w:tcW w:w="24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10,742</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5,903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311" w:type="dxa"/>
            <w:tcBorders/>
            <w:tcMar>
              <w:bottom w:w="0" w:type="dxa"/>
            </w:tcMar>
            <w:vAlign w:val="center"/>
          </w:tcPr>
          <w:p>
            <w:pPr>
              <w:pStyle w:val="TableContents"/>
              <w:bidi w:val="0"/>
              <w:spacing w:before="0" w:after="283"/>
              <w:jc w:val="right"/>
              <w:rPr/>
            </w:pPr>
            <w:r>
              <w:rPr/>
              <w:t>(7,374)</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836</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(5,258)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from total segment adjusted EBITDA to income (loss) for the period according to IFRS</w:t>
      </w:r>
      <w:r>
        <w:rPr>
          <w:rFonts w:ascii="Times New Roman;Times;serif" w:hAnsi="Times New Roman;Times;serif"/>
          <w:b/>
          <w:i w:val="false"/>
          <w:caps w:val="false"/>
          <w:smallCaps w:val="false"/>
          <w:color w:val="000000"/>
          <w:sz w:val="20"/>
        </w:rPr>
        <w:t xml:space="preserve"> </w:t>
      </w:r>
    </w:p>
    <w:tbl>
      <w:tblPr>
        <w:tblW w:w="8015" w:type="dxa"/>
        <w:jc w:val="left"/>
        <w:tblInd w:w="1393" w:type="dxa"/>
        <w:tblLayout w:type="fixed"/>
        <w:tblCellMar>
          <w:top w:w="0" w:type="dxa"/>
          <w:left w:w="0" w:type="dxa"/>
          <w:bottom w:w="43" w:type="dxa"/>
          <w:right w:w="0" w:type="dxa"/>
        </w:tblCellMar>
      </w:tblPr>
      <w:tblGrid>
        <w:gridCol w:w="4347"/>
        <w:gridCol w:w="109"/>
        <w:gridCol w:w="109"/>
        <w:gridCol w:w="135"/>
        <w:gridCol w:w="135"/>
        <w:gridCol w:w="1134"/>
        <w:gridCol w:w="135"/>
        <w:gridCol w:w="109"/>
        <w:gridCol w:w="109"/>
        <w:gridCol w:w="135"/>
        <w:gridCol w:w="135"/>
        <w:gridCol w:w="1134"/>
        <w:gridCol w:w="135"/>
        <w:gridCol w:w="154"/>
      </w:tblGrid>
      <w:tr>
        <w:trPr/>
        <w:tc>
          <w:tcPr>
            <w:tcW w:w="4347" w:type="dxa"/>
            <w:tcBorders>
              <w:bottom w:val="single" w:sz="2" w:space="0" w:color="000000"/>
            </w:tcBorders>
            <w:vAlign w:val="center"/>
          </w:tcPr>
          <w:p>
            <w:pPr>
              <w:pStyle w:val="TableContents"/>
              <w:bidi w:val="0"/>
              <w:spacing w:before="0" w:after="0"/>
              <w:jc w:val="left"/>
              <w:rPr/>
            </w:pPr>
            <w:r>
              <w:rPr>
                <w:spacing w:val="-3"/>
              </w:rPr>
              <w:t>in € thousand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(5,527)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(5,258)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(38,726)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(1,978)</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Depreciation and amortization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(2,433)</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(2,547)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Share of loss from equity method investees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(108)</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(307)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Income tax benefit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(1,015)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(76)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(47,809)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(10,165)</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CONTINGENT LIABILITIES AND CONTINGENT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Company is not aware of any material contingent liabilities or contingent assets requiring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FAIR VALUE MEASUREMENT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€(32,906) thousand ‘FV measurement, net’ component of the financial result for the six months ended June 30, 2026 breaks down by instrument as follows: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Pegasus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(7,082)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Group 14 shares FX valuation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XJ Harbour derivatives – realized (positions derecognized in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XJ Harbour derivatives – unrealized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the XJ Liability (through Jan 16, 2026, pre-conversion)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(25,114)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2028 Convertible Notes – Warrants,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1,908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Conversion option, FV re-measurement (unrealized)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2025 Convertible Loan – warrants and conversion option,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2025 Convertible Loan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Debt-to-equity swap – 20% discount Christine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pPr>
            <w:r>
              <w:rPr>
                <w:spacing w:val="-4"/>
              </w:rPr>
              <w:t>Total FV measurement,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(32,906)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H1 2025 the only change in fair value measurement was that of Pegasus Warrants resulting in a loss of € 322 thousand.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Warrants are publicly traded on Nasdaq (ticker: SHMDW) and are classified as Level 1 in the fair value hierarchy, being valued at quoted market price with no valuation model involved. Fair value was €33,175 thousand as of June 30, 2026 (December 31, 2025: €26,094 thousand), based on a quoted price of $1.80 per warrant (December 31, 2025: $1.46) and 21,000,000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Liability is an obligation to deliver a fixed number of the Company’s own common shares (Nasdaq: SHMD) to XJ Harbour under a subscription and payoff agreement dated November 12, 2025. It is measured at fair value as the number of shares to be delivered multiplied by the quoted closing price of the Company’s common stock, translated to EUR at the ECB reference rate, and is classified as Level 2 in the fair value hierarchy. Fair value was €89,382 thousand as of January 16, 2026 (the settlement date, based on a share price of $8.28 and 12,548,539 shares), up from €64,267 thousand as of December 31, 2025 (share price $6.195). The liability was settled in full through delivery of shares on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Loan warrants (expiring in December 2030), the 2025 Convertible Loan embedded conversion option (expiring in March 2027), the XJ Share Price Protection (a protective put, expiring in November 2027), and the 2028 Convertible Notes warrants and embedded conversion option (expiring in January 2028 and December 2028, respectively) are all classified as Level 3, as their valuations depend on significant unobservable inputs — implied volatility of the Company’s own thinly traded shares, a calibrated discount/interest rate, and a Company-specific credit spread. Key inputs as of June 30, 2026: </w:t>
      </w:r>
    </w:p>
    <w:tbl>
      <w:tblPr>
        <w:tblW w:w="8812" w:type="dxa"/>
        <w:jc w:val="left"/>
        <w:tblInd w:w="1393" w:type="dxa"/>
        <w:tblLayout w:type="fixed"/>
        <w:tblCellMar>
          <w:top w:w="0" w:type="dxa"/>
          <w:left w:w="0" w:type="dxa"/>
          <w:bottom w:w="43" w:type="dxa"/>
          <w:right w:w="0" w:type="dxa"/>
        </w:tblCellMar>
      </w:tblPr>
      <w:tblGrid>
        <w:gridCol w:w="3756"/>
        <w:gridCol w:w="109"/>
        <w:gridCol w:w="109"/>
        <w:gridCol w:w="3219"/>
        <w:gridCol w:w="109"/>
        <w:gridCol w:w="109"/>
        <w:gridCol w:w="124"/>
        <w:gridCol w:w="124"/>
        <w:gridCol w:w="873"/>
        <w:gridCol w:w="125"/>
        <w:gridCol w:w="155"/>
      </w:tblGrid>
      <w:tr>
        <w:trPr/>
        <w:tc>
          <w:tcPr>
            <w:tcW w:w="3756" w:type="dxa"/>
            <w:tcBorders>
              <w:bottom w:val="single" w:sz="2" w:space="0" w:color="000000"/>
            </w:tcBorders>
            <w:vAlign w:val="center"/>
          </w:tcPr>
          <w:p>
            <w:pPr>
              <w:pStyle w:val="TableContents"/>
              <w:bidi w:val="0"/>
              <w:spacing w:before="0" w:after="0"/>
              <w:jc w:val="left"/>
              <w:rPr>
                <w:spacing w:val="-3"/>
              </w:rPr>
            </w:pPr>
            <w:r>
              <w:rPr>
                <w:spacing w:val="-3"/>
              </w:rPr>
              <w:t xml:space="preserve">Level 3 instrument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19" w:type="dxa"/>
            <w:tcBorders>
              <w:bottom w:val="single" w:sz="2" w:space="0" w:color="000000"/>
            </w:tcBorders>
            <w:vAlign w:val="center"/>
          </w:tcPr>
          <w:p>
            <w:pPr>
              <w:pStyle w:val="TableContents"/>
              <w:bidi w:val="0"/>
              <w:spacing w:before="0" w:after="0"/>
              <w:jc w:val="center"/>
              <w:rPr>
                <w:spacing w:val="-3"/>
              </w:rPr>
            </w:pPr>
            <w:r>
              <w:rPr>
                <w:spacing w:val="-3"/>
              </w:rPr>
              <w:t xml:space="preserve">Key inputs (Jun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gridSpan w:val="4"/>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 thousand)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2025 Convertible Loan Warrants (1,250,000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$4.1956; volatility 91.2%; </w:t>
            </w:r>
            <w:r>
              <w:rPr/>
              <w:br/>
            </w:r>
            <w:r>
              <w:rPr>
                <w:spacing w:val="4"/>
              </w:rPr>
              <w:t xml:space="preserve">risk-free rate 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5,335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ind w:left="200" w:right="0" w:hanging="200"/>
              <w:jc w:val="left"/>
              <w:rPr>
                <w:spacing w:val="4"/>
              </w:rPr>
            </w:pPr>
            <w:r>
              <w:rPr>
                <w:spacing w:val="4"/>
              </w:rPr>
              <w:t xml:space="preserve">2025 Convertible Loan Conversion Option ($2.5 million nominal)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Conversion price $2.15; calibrated rate 79.7%; </w:t>
            </w:r>
            <w:r>
              <w:rPr/>
              <w:br/>
            </w:r>
            <w:r>
              <w:rPr>
                <w:spacing w:val="4"/>
              </w:rPr>
              <w:t xml:space="preserve">CDS spread 14.8%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3,350</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XJ Share Price Protection (10,162,575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$0.215; volatility 91.2%; </w:t>
            </w:r>
            <w:r>
              <w:rPr/>
              <w:br/>
            </w:r>
            <w:r>
              <w:rPr>
                <w:spacing w:val="4"/>
              </w:rPr>
              <w:t xml:space="preserve">risk-free rate 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1,313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jc w:val="left"/>
              <w:rPr>
                <w:spacing w:val="4"/>
              </w:rPr>
            </w:pPr>
            <w:r>
              <w:rPr>
                <w:spacing w:val="4"/>
              </w:rPr>
              <w:t xml:space="preserve">2028 Convertible Notes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Share price $6.26; strike $8.01; volatility 111.7%; </w:t>
            </w:r>
            <w:r>
              <w:rPr/>
              <w:br/>
            </w:r>
            <w:r>
              <w:rPr>
                <w:spacing w:val="4"/>
              </w:rPr>
              <w:t xml:space="preserve">risk-free rate 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12,195</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2028 Convertible Notes Option (combined tranches)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Conversion price $8.0125/VWAP; calibrated rate 68.5%; </w:t>
            </w:r>
            <w:r>
              <w:rPr/>
              <w:br/>
            </w:r>
            <w:r>
              <w:rPr>
                <w:spacing w:val="4"/>
              </w:rPr>
              <w:t xml:space="preserve">CDS spread 24.8%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6,307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investment in Group 14 shares is classified as Level 3, as the shares are unlisted and not traded in an active market. The investment was valued in 2025 based on the price of a recent capital increase (a recent-transaction-price approach). No capital increase or other transaction event occurred in H1 2026, so the shares were not revalued in the period; the €265 thousand movement in the table above reflects foreign currency translation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reconciles the opening (December 31, 2025) to closing (June 30, 2026) carrying amounts for all recurring fair value measurements categorized within Level 3 (no Level 3 instruments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assets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997"/>
        <w:gridCol w:w="109"/>
        <w:gridCol w:w="109"/>
        <w:gridCol w:w="157"/>
        <w:gridCol w:w="157"/>
        <w:gridCol w:w="934"/>
        <w:gridCol w:w="157"/>
        <w:gridCol w:w="109"/>
        <w:gridCol w:w="109"/>
        <w:gridCol w:w="147"/>
        <w:gridCol w:w="147"/>
        <w:gridCol w:w="1046"/>
        <w:gridCol w:w="147"/>
        <w:gridCol w:w="109"/>
        <w:gridCol w:w="109"/>
        <w:gridCol w:w="109"/>
        <w:gridCol w:w="109"/>
        <w:gridCol w:w="784"/>
        <w:gridCol w:w="109"/>
        <w:gridCol w:w="158"/>
      </w:tblGrid>
      <w:tr>
        <w:trPr/>
        <w:tc>
          <w:tcPr>
            <w:tcW w:w="399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 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7" w:type="dxa"/>
            <w:gridSpan w:val="4"/>
            <w:tcBorders>
              <w:bottom w:val="single" w:sz="2" w:space="0" w:color="000000"/>
            </w:tcBorders>
            <w:vAlign w:val="center"/>
          </w:tcPr>
          <w:p>
            <w:pPr>
              <w:pStyle w:val="TableContents"/>
              <w:bidi w:val="0"/>
              <w:spacing w:before="0" w:after="0"/>
              <w:jc w:val="center"/>
              <w:rPr/>
            </w:pPr>
            <w:r>
              <w:rPr>
                <w:spacing w:val="-3"/>
              </w:rPr>
              <w:t xml:space="preserve">XJ Harbour price </w:t>
            </w:r>
            <w:r>
              <w:rPr/>
              <w:br/>
            </w:r>
            <w:r>
              <w:rPr>
                <w:spacing w:val="-3"/>
              </w:rPr>
              <w:t xml:space="preserve">protection cap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8,478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7,713</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16,191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997" w:type="dxa"/>
            <w:tcBorders/>
            <w:tcMar>
              <w:bottom w:w="0" w:type="dxa"/>
            </w:tcMar>
            <w:vAlign w:val="center"/>
          </w:tcPr>
          <w:p>
            <w:pPr>
              <w:pStyle w:val="TableContents"/>
              <w:bidi w:val="0"/>
              <w:spacing w:before="0" w:after="0"/>
              <w:jc w:val="left"/>
              <w:rPr>
                <w:spacing w:val="4"/>
              </w:rPr>
            </w:pPr>
            <w:r>
              <w:rPr>
                <w:spacing w:val="4"/>
              </w:rPr>
              <w:t xml:space="preserve">Settlements and changes from fair value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265</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(2,215)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(1,950)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8,743</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5,498</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14,241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liabilities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947"/>
        <w:gridCol w:w="109"/>
        <w:gridCol w:w="109"/>
        <w:gridCol w:w="117"/>
        <w:gridCol w:w="117"/>
        <w:gridCol w:w="696"/>
        <w:gridCol w:w="117"/>
        <w:gridCol w:w="109"/>
        <w:gridCol w:w="109"/>
        <w:gridCol w:w="132"/>
        <w:gridCol w:w="132"/>
        <w:gridCol w:w="783"/>
        <w:gridCol w:w="132"/>
        <w:gridCol w:w="109"/>
        <w:gridCol w:w="109"/>
        <w:gridCol w:w="109"/>
        <w:gridCol w:w="109"/>
        <w:gridCol w:w="772"/>
        <w:gridCol w:w="109"/>
        <w:gridCol w:w="109"/>
        <w:gridCol w:w="109"/>
        <w:gridCol w:w="115"/>
        <w:gridCol w:w="115"/>
        <w:gridCol w:w="819"/>
        <w:gridCol w:w="115"/>
        <w:gridCol w:w="109"/>
        <w:gridCol w:w="109"/>
        <w:gridCol w:w="115"/>
        <w:gridCol w:w="115"/>
        <w:gridCol w:w="781"/>
        <w:gridCol w:w="115"/>
        <w:gridCol w:w="160"/>
      </w:tblGrid>
      <w:tr>
        <w:trPr/>
        <w:tc>
          <w:tcPr>
            <w:tcW w:w="19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7"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9" w:type="dxa"/>
            <w:gridSpan w:val="4"/>
            <w:tcBorders>
              <w:bottom w:val="single" w:sz="2" w:space="0" w:color="000000"/>
            </w:tcBorders>
            <w:vAlign w:val="center"/>
          </w:tcPr>
          <w:p>
            <w:pPr>
              <w:pStyle w:val="TableContents"/>
              <w:bidi w:val="0"/>
              <w:spacing w:before="0" w:after="0"/>
              <w:jc w:val="center"/>
              <w:rPr/>
            </w:pPr>
            <w:r>
              <w:rPr>
                <w:spacing w:val="-3"/>
              </w:rPr>
              <w:t>Black Forest Conv.</w:t>
            </w:r>
            <w:r>
              <w:rPr/>
              <w:t xml:space="preserve"> </w:t>
              <w:br/>
            </w:r>
            <w:r>
              <w:rPr>
                <w:spacing w:val="-3"/>
              </w:rPr>
              <w:t xml:space="preserve">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4"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Conv. 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XJ Protection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5,193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3,491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13,837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13,880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Settlements and changes from fair value </w:t>
            </w:r>
            <w:r>
              <w:rPr/>
              <w:br/>
            </w:r>
            <w:r>
              <w:rPr>
                <w:spacing w:val="4"/>
              </w:rPr>
              <w:t xml:space="preserve">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142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(141)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(1,908)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(7,710)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(2,646)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5,335</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3,350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11,929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6,170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6,813</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liabilities total €18,143 thousand at January 1, 2026 and €33,597 thousand at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H1 2026, XJ Harbour sold 2,377,964 shares covered by the share price protection at prices above $2.15 per share. The protection attaching to those shares lapsed without any obligation to issue compensation shares, and the related derivative positions were derecognized. Of the total gain of €431 thousand recognized in respect of the XJ Harbour derivatives, €299 thousand relates to positions derecognized during the period and €132 thousand is unrealized.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of €8,249 thousand shown for the 2028 Convertible Notes embedded conversion option relates to the exercise of that option to convert $18.0 million of principal into SCHMID’s ordinary shares during the period, across nine separate conversions between March and June 2026. All other fair value changes recognized in the period relate to instruments held as of June 30, 2026, and are unrealized. All fair value changes are recognized in financial result.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Day-1 deferral items relating to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separate consideration was allocated to the Black Forest 2025 Warrants (issued December 18, 2025) or the 2028 Convertible Notes Warrants (issued January 21, 2026), as they formed part of broader financing arrangements and were not negotiated separately. The differences between their fair values at initial recognition and the transaction price of nil were deferred (Day-1 deferral items) rather than recognized immediately in profit or loss, and are amortized in finance expense on a straight-line basis over the contractual term of the respective warrants. </w:t>
      </w:r>
    </w:p>
    <w:tbl>
      <w:tblPr>
        <w:tblW w:w="8812" w:type="dxa"/>
        <w:jc w:val="left"/>
        <w:tblInd w:w="1393" w:type="dxa"/>
        <w:tblLayout w:type="fixed"/>
        <w:tblCellMar>
          <w:top w:w="0" w:type="dxa"/>
          <w:left w:w="0" w:type="dxa"/>
          <w:bottom w:w="43" w:type="dxa"/>
          <w:right w:w="0" w:type="dxa"/>
        </w:tblCellMar>
      </w:tblPr>
      <w:tblGrid>
        <w:gridCol w:w="5068"/>
        <w:gridCol w:w="109"/>
        <w:gridCol w:w="109"/>
        <w:gridCol w:w="162"/>
        <w:gridCol w:w="162"/>
        <w:gridCol w:w="967"/>
        <w:gridCol w:w="162"/>
        <w:gridCol w:w="109"/>
        <w:gridCol w:w="109"/>
        <w:gridCol w:w="168"/>
        <w:gridCol w:w="168"/>
        <w:gridCol w:w="1190"/>
        <w:gridCol w:w="170"/>
        <w:gridCol w:w="159"/>
      </w:tblGrid>
      <w:tr>
        <w:trPr/>
        <w:tc>
          <w:tcPr>
            <w:tcW w:w="506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2025 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6" w:type="dxa"/>
            <w:gridSpan w:val="4"/>
            <w:tcBorders>
              <w:bottom w:val="single" w:sz="2" w:space="0" w:color="000000"/>
            </w:tcBorders>
            <w:vAlign w:val="center"/>
          </w:tcPr>
          <w:p>
            <w:pPr>
              <w:pStyle w:val="TableContents"/>
              <w:bidi w:val="0"/>
              <w:spacing w:before="0" w:after="0"/>
              <w:jc w:val="center"/>
              <w:rPr/>
            </w:pPr>
            <w:r>
              <w:rPr>
                <w:spacing w:val="-3"/>
              </w:rPr>
              <w:t>2028 Convertible</w:t>
            </w:r>
            <w:r>
              <w:rPr/>
              <w:t xml:space="preserve"> </w:t>
              <w:br/>
            </w:r>
            <w:r>
              <w:rPr>
                <w:spacing w:val="-3"/>
              </w:rPr>
              <w:t xml:space="preserve">Notes Warrants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3,394</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0"/>
              <w:jc w:val="left"/>
              <w:rPr>
                <w:spacing w:val="4"/>
              </w:rPr>
            </w:pPr>
            <w:r>
              <w:rPr>
                <w:spacing w:val="4"/>
              </w:rPr>
              <w:t xml:space="preserve">Initial recognition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13,837</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0"/>
              <w:jc w:val="left"/>
              <w:rPr>
                <w:spacing w:val="4"/>
              </w:rPr>
            </w:pPr>
            <w:r>
              <w:rPr>
                <w:spacing w:val="4"/>
              </w:rPr>
              <w:t xml:space="preserve">Amortized in finance expense due to the passage of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(1,835)</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3,055</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12,002</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these deferral items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b6NAC"/>
      <w:bookmarkEnd w:id="43"/>
      <w:r>
        <w:rPr>
          <w:rFonts w:ascii="calibri;arial;sans-serif" w:hAnsi="calibri;arial;sans-serif"/>
          <w:b w:val="false"/>
          <w:i w:val="false"/>
          <w:caps w:val="false"/>
          <w:smallCaps w:val="false"/>
          <w:color w:val="000000"/>
          <w:sz w:val="16"/>
        </w:rPr>
        <w:t>​</w:t>
      </w:r>
      <w:bookmarkStart w:id="44" w:name="b7RPT"/>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Company’s financial liabilities as of June 30, 2026 and December 31, 2025: </w:t>
      </w:r>
    </w:p>
    <w:tbl>
      <w:tblPr>
        <w:tblW w:w="8812" w:type="dxa"/>
        <w:jc w:val="left"/>
        <w:tblInd w:w="1393" w:type="dxa"/>
        <w:tblLayout w:type="fixed"/>
        <w:tblCellMar>
          <w:top w:w="0" w:type="dxa"/>
          <w:left w:w="0" w:type="dxa"/>
          <w:bottom w:w="43" w:type="dxa"/>
          <w:right w:w="0" w:type="dxa"/>
        </w:tblCellMar>
      </w:tblPr>
      <w:tblGrid>
        <w:gridCol w:w="2872"/>
        <w:gridCol w:w="109"/>
        <w:gridCol w:w="109"/>
        <w:gridCol w:w="125"/>
        <w:gridCol w:w="125"/>
        <w:gridCol w:w="889"/>
        <w:gridCol w:w="128"/>
        <w:gridCol w:w="109"/>
        <w:gridCol w:w="109"/>
        <w:gridCol w:w="116"/>
        <w:gridCol w:w="116"/>
        <w:gridCol w:w="820"/>
        <w:gridCol w:w="116"/>
        <w:gridCol w:w="109"/>
        <w:gridCol w:w="109"/>
        <w:gridCol w:w="127"/>
        <w:gridCol w:w="127"/>
        <w:gridCol w:w="901"/>
        <w:gridCol w:w="130"/>
        <w:gridCol w:w="109"/>
        <w:gridCol w:w="109"/>
        <w:gridCol w:w="118"/>
        <w:gridCol w:w="118"/>
        <w:gridCol w:w="831"/>
        <w:gridCol w:w="118"/>
        <w:gridCol w:w="163"/>
      </w:tblGrid>
      <w:tr>
        <w:trPr/>
        <w:tc>
          <w:tcPr>
            <w:tcW w:w="287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7"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Current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Loans from banks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2,483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404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1,191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1,232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200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2,938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3,114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3,988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4,611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7,416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11,000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8,634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Black forest term loan facility (Host loan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6,758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574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5,290</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ind w:left="200" w:right="0" w:hanging="200"/>
              <w:jc w:val="left"/>
              <w:rPr>
                <w:spacing w:val="4"/>
              </w:rPr>
            </w:pPr>
            <w:r>
              <w:rPr>
                <w:spacing w:val="4"/>
              </w:rPr>
              <w:t xml:space="preserve">XJ Harbour set-off agreement (Host loan and Share Price Protection)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6,813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9,459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64,267</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ind w:left="200" w:right="0" w:hanging="200"/>
              <w:jc w:val="left"/>
              <w:rPr/>
            </w:pPr>
            <w:r>
              <w:rPr>
                <w:spacing w:val="-4"/>
              </w:rPr>
              <w:t>Linden Convertible Notes (Host loan, warrants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5,803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6,679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pPr>
            <w:r>
              <w:rPr>
                <w:spacing w:val="-4"/>
              </w:rPr>
              <w:t>Pegasus Warrants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33,175</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26,094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Total financial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54,474</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28,184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71,518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87,148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liabilities and the equity of the Company both changed materially during H1 2026, driven substantially 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on May 23, 2026, the Company converted €30.75 million of liabilities owed to members of the Schmid family shareholder group into equity as a debt-to-equity swap. This is the principal driver behind the reduction in ‘Loans from banks, other third parties, shareholders and other related parties’ from €35,391k (non-current) and €17,591k (current) at December 31, 2025 to just €233k (non-current) and €23,197k (current) at June 30, 2026, and is reflected as a €31,350k capital increase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Company issued the 2028 Convertible Notes in two tranches during the period — Tranche 1 on January 21, 2026 and Tranche 2 on March 6, 2026 — introducing new balance sheet items that did not exist at December 31, 2025: the host debt contract, unpaid transaction costs, the warrants, the embedded conversion option, and a Day-1 loss deferral contra-item for the warrants. All four items are classified as non-current, consistent with the notes maturing in 2028. The conversion of these notes also contributed €16,349k to the capital increases shown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the XJ Harbour settlement liability (set-off agreement), which stood at €64,267k (current) at December 31, 2025, was extinguished in full on January 16, 2026 through the issuance of shares to XJ Harbour — see Note 5 for the fair value detail on this settlement — and is the single largest capital increase in the equity statement, at €89,382k. The separate XJ Harbour share price protection derivative, which was not part of that settlement, remains outstanding and decreased from €9,459k to €6,813k over the period as its fair value moved with the Company’s share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two capital increases shown in the Statement of Changes in Equity — €7,903k from drawdowns under the SEPA (Yorkville) equity facility, and €2,869k from share-based payments to management and the Board (see Note 7) — did not involve a corresponding change in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Note warrants have a five-year term and are accordingly non-current, while the embedded conversion option matures with the term loan facility in March 2027 — within 12 months of June 30, 2026 — and is accordingly current.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major shareholders of the Company, are holders of private warrants. During the period, the Company undertook certain financing measures to manage liquidity, some of which were agreed with parties related to the Company or to its majority shareholders, including: XJ Harbour and its majority shareholders; the lender Black Forest Special Situations I; a Schmid family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b8EAT"/>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 entity controlled by the majority shareholders. On May 23, 2026, the Company converted €30.75 million of liabilities owed to members of the Schmid family shareholder group into equity. As of June 30, 2026, €17.5 million of the Company’s outstanding debt was owed to shareholders and related parties. In addition, €2.5 million of the 2025 Convertible Loan, which accrues interest at 15% per annum payable at maturity and is convertible at $2.15 per share since June 18, 2026, was outstanding to a related party as of June 30,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Key Management Personnel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for key management personnel was approximately €1.4 million for the six months ended June 30, 2026. Starting in 2026 Mr. Rauch and Mr Schuetz are each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agreements foresee an update to their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14, 2026, the Company closed a new $20.0 million 2029 Convertible Note. On September 17, 2026, a further $2.0 million of the 2028 Convertible Notes was converted, leaving $9.0 million of the 2028 Convertible Notes outstanding. As of August 21, 2026, order intake for the year to date was €96.6 million and order backlog was €95.0 million, compared to €44.3 million and €54.8 million, respectively,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3"/>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4" w:type="dxa"/>
          <w:right w:w="0" w:type="dxa"/>
        </w:tblCellMar>
      </w:tblPr>
      <w:tblGrid>
        <w:gridCol w:w="7543"/>
        <w:gridCol w:w="109"/>
        <w:gridCol w:w="109"/>
        <w:gridCol w:w="109"/>
        <w:gridCol w:w="109"/>
        <w:gridCol w:w="569"/>
        <w:gridCol w:w="109"/>
        <w:gridCol w:w="155"/>
      </w:tblGrid>
      <w:tr>
        <w:trPr/>
        <w:tc>
          <w:tcPr>
            <w:tcW w:w="7543" w:type="dxa"/>
            <w:tcBorders>
              <w:bottom w:val="single" w:sz="2" w:space="0" w:color="000000"/>
            </w:tcBorders>
            <w:vAlign w:val="center"/>
          </w:tcPr>
          <w:p>
            <w:pPr>
              <w:pStyle w:val="TableContents"/>
              <w:bidi w:val="0"/>
              <w:spacing w:before="0" w:after="0"/>
              <w:jc w:val="left"/>
              <w:rPr>
                <w:spacing w:val="-3"/>
              </w:rPr>
            </w:pPr>
            <w:r>
              <w:rPr>
                <w:spacing w:val="-3"/>
              </w:rPr>
              <w:t xml:space="preserve">CONTENT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ROIR">
              <w:r>
                <w:rPr>
                  <w:rStyle w:val="InternetLink"/>
                  <w:b/>
                  <w:spacing w:val="-4"/>
                </w:rPr>
                <w:t>Report of Independent Registered Public Accounting Firm (PCAOB ID: 1021)</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ROIR">
              <w:r>
                <w:rPr>
                  <w:rStyle w:val="InternetLink"/>
                  <w:spacing w:val="4"/>
                </w:rPr>
                <w:t>F-13</w:t>
              </w:r>
            </w:hyperlink>
            <w:hyperlink w:anchor="tRO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
              <w:r>
                <w:rPr>
                  <w:rStyle w:val="InternetLink"/>
                  <w:b/>
                  <w:spacing w:val="-4"/>
                </w:rPr>
                <w:t>Consolidated Statements of Profit or Loss and Other Comprehensive Income (Loss)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
              <w:r>
                <w:rPr>
                  <w:rStyle w:val="InternetLink"/>
                  <w:spacing w:val="4"/>
                </w:rPr>
                <w:t>F-14</w:t>
              </w:r>
            </w:hyperlink>
            <w:hyperlink w:anchor="tS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1">
              <w:r>
                <w:rPr>
                  <w:rStyle w:val="InternetLink"/>
                  <w:b/>
                  <w:spacing w:val="-4"/>
                </w:rPr>
                <w:t>Consolidated Statements of Financial Position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1">
              <w:r>
                <w:rPr>
                  <w:rStyle w:val="InternetLink"/>
                  <w:spacing w:val="4"/>
                </w:rPr>
                <w:t>F-15</w:t>
              </w:r>
            </w:hyperlink>
            <w:hyperlink w:anchor="tS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2">
              <w:r>
                <w:rPr>
                  <w:rStyle w:val="InternetLink"/>
                  <w:b/>
                  <w:spacing w:val="-4"/>
                </w:rPr>
                <w:t>Consolidated Statements of Changes in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2">
              <w:r>
                <w:rPr>
                  <w:rStyle w:val="InternetLink"/>
                  <w:spacing w:val="4"/>
                </w:rPr>
                <w:t>F-16</w:t>
              </w:r>
            </w:hyperlink>
            <w:hyperlink w:anchor="tS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3">
              <w:r>
                <w:rPr>
                  <w:rStyle w:val="InternetLink"/>
                  <w:b/>
                  <w:spacing w:val="-4"/>
                </w:rPr>
                <w:t>Consolidated Statements of Cash Flows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3">
              <w:r>
                <w:rPr>
                  <w:rStyle w:val="InternetLink"/>
                  <w:spacing w:val="4"/>
                </w:rPr>
                <w:t>F-17</w:t>
              </w:r>
            </w:hyperlink>
            <w:hyperlink w:anchor="tSCSO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BDE">
              <w:r>
                <w:rPr>
                  <w:rStyle w:val="InternetLink"/>
                  <w:b/>
                  <w:spacing w:val="-4"/>
                </w:rPr>
                <w:t>1. BUSINESS DESCRIPTION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BDE">
              <w:r>
                <w:rPr>
                  <w:rStyle w:val="InternetLink"/>
                  <w:spacing w:val="4"/>
                </w:rPr>
                <w:t>F-18</w:t>
              </w:r>
            </w:hyperlink>
            <w:hyperlink w:anchor="t1B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OP">
              <w:r>
                <w:rPr>
                  <w:rStyle w:val="InternetLink"/>
                  <w:b/>
                  <w:spacing w:val="-4"/>
                </w:rPr>
                <w:t>2. BASIS OF PRESENTATION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OP">
              <w:r>
                <w:rPr>
                  <w:rStyle w:val="InternetLink"/>
                  <w:spacing w:val="4"/>
                </w:rPr>
                <w:t>F-18</w:t>
              </w:r>
            </w:hyperlink>
            <w:hyperlink w:anchor="t2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DE">
              <w:r>
                <w:rPr>
                  <w:rStyle w:val="InternetLink"/>
                  <w:b/>
                  <w:spacing w:val="-4"/>
                </w:rPr>
                <w:t>3. DE-SPAC</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DE">
              <w:r>
                <w:rPr>
                  <w:rStyle w:val="InternetLink"/>
                  <w:spacing w:val="4"/>
                </w:rPr>
                <w:t>F-20</w:t>
              </w:r>
            </w:hyperlink>
            <w:hyperlink w:anchor="t3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4AP">
              <w:r>
                <w:rPr>
                  <w:rStyle w:val="InternetLink"/>
                  <w:b/>
                  <w:spacing w:val="-4"/>
                </w:rPr>
                <w:t>4. MATERIAL ACCOUNTING POLICIES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4AP">
              <w:r>
                <w:rPr>
                  <w:rStyle w:val="InternetLink"/>
                  <w:spacing w:val="4"/>
                </w:rPr>
                <w:t>F-21</w:t>
              </w:r>
            </w:hyperlink>
            <w:hyperlink w:anchor="t4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5AJE">
              <w:r>
                <w:rPr>
                  <w:rStyle w:val="InternetLink"/>
                  <w:b/>
                  <w:spacing w:val="-4"/>
                </w:rPr>
                <w:t>5. SIGNIFICANT ACCOUNTING JUDGMENTS, ESTIMATES AND ASSUMPTIONS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5AJE">
              <w:r>
                <w:rPr>
                  <w:rStyle w:val="InternetLink"/>
                  <w:spacing w:val="4"/>
                </w:rPr>
                <w:t>F-30</w:t>
              </w:r>
            </w:hyperlink>
            <w:hyperlink w:anchor="t5AJ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6AGI">
              <w:r>
                <w:rPr>
                  <w:rStyle w:val="InternetLink"/>
                  <w:b/>
                  <w:spacing w:val="-4"/>
                </w:rPr>
                <w:t>6. SEGMENT AND GEOGRAPHIC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6AGI">
              <w:r>
                <w:rPr>
                  <w:rStyle w:val="InternetLink"/>
                  <w:spacing w:val="4"/>
                </w:rPr>
                <w:t>F-31</w:t>
              </w:r>
            </w:hyperlink>
            <w:hyperlink w:anchor="t6AG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7FCW">
              <w:r>
                <w:rPr>
                  <w:rStyle w:val="InternetLink"/>
                  <w:b/>
                  <w:spacing w:val="-4"/>
                </w:rPr>
                <w:t>7. REVENUE FROM CONTRACTS WITH CUSTOMERS AND COST OF SALES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7FCW">
              <w:r>
                <w:rPr>
                  <w:rStyle w:val="InternetLink"/>
                  <w:spacing w:val="4"/>
                </w:rPr>
                <w:t>F-33</w:t>
              </w:r>
            </w:hyperlink>
            <w:hyperlink w:anchor="t7F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8SEX">
              <w:r>
                <w:rPr>
                  <w:rStyle w:val="InternetLink"/>
                  <w:b/>
                  <w:spacing w:val="-4"/>
                </w:rPr>
                <w:t>8. SELLING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8SEX">
              <w:r>
                <w:rPr>
                  <w:rStyle w:val="InternetLink"/>
                  <w:spacing w:val="4"/>
                </w:rPr>
                <w:t>F-34</w:t>
              </w:r>
            </w:hyperlink>
            <w:hyperlink w:anchor="t8S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9AE">
              <w:r>
                <w:rPr>
                  <w:rStyle w:val="InternetLink"/>
                  <w:b/>
                  <w:spacing w:val="-4"/>
                </w:rPr>
                <w:t>9. GENERAL ADMINISTRATION EXPENSES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9AE">
              <w:r>
                <w:rPr>
                  <w:rStyle w:val="InternetLink"/>
                  <w:spacing w:val="4"/>
                </w:rPr>
                <w:t>F-34</w:t>
              </w:r>
            </w:hyperlink>
            <w:hyperlink w:anchor="t9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ADE">
              <w:r>
                <w:rPr>
                  <w:rStyle w:val="InternetLink"/>
                  <w:b/>
                  <w:spacing w:val="-4"/>
                </w:rPr>
                <w:t>10. RESEARCH AND DEVELOPMENT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ADE">
              <w:r>
                <w:rPr>
                  <w:rStyle w:val="InternetLink"/>
                  <w:spacing w:val="4"/>
                </w:rPr>
                <w:t>F-35</w:t>
              </w:r>
            </w:hyperlink>
            <w:hyperlink w:anchor="t1A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1IN">
              <w:r>
                <w:rPr>
                  <w:rStyle w:val="InternetLink"/>
                  <w:b/>
                  <w:spacing w:val="-4"/>
                </w:rPr>
                <w:t>11. OTHER INCOME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1IN">
              <w:r>
                <w:rPr>
                  <w:rStyle w:val="InternetLink"/>
                  <w:spacing w:val="4"/>
                </w:rPr>
                <w:t>F-35</w:t>
              </w:r>
            </w:hyperlink>
            <w:hyperlink w:anchor="t1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2EX">
              <w:r>
                <w:rPr>
                  <w:rStyle w:val="InternetLink"/>
                  <w:b/>
                  <w:spacing w:val="-4"/>
                </w:rPr>
                <w:t>12. OTHER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2EX">
              <w:r>
                <w:rPr>
                  <w:rStyle w:val="InternetLink"/>
                  <w:spacing w:val="4"/>
                </w:rPr>
                <w:t>F-36</w:t>
              </w:r>
            </w:hyperlink>
            <w:hyperlink w:anchor="t12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LE">
              <w:r>
                <w:rPr>
                  <w:rStyle w:val="InternetLink"/>
                  <w:b/>
                  <w:spacing w:val="-4"/>
                </w:rPr>
                <w:t>13. SHARE LISTING EXPENSE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LE">
              <w:r>
                <w:rPr>
                  <w:rStyle w:val="InternetLink"/>
                  <w:spacing w:val="4"/>
                </w:rPr>
                <w:t>F-36</w:t>
              </w:r>
            </w:hyperlink>
            <w:hyperlink w:anchor="t1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ROF">
              <w:r>
                <w:rPr>
                  <w:rStyle w:val="InternetLink"/>
                  <w:b/>
                  <w:spacing w:val="-4"/>
                </w:rPr>
                <w:t>14. IMPAIRMENT REVERSAL OF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ROF">
              <w:r>
                <w:rPr>
                  <w:rStyle w:val="InternetLink"/>
                  <w:spacing w:val="4"/>
                </w:rPr>
                <w:t>F-37</w:t>
              </w:r>
            </w:hyperlink>
            <w:hyperlink w:anchor="t1R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5RE">
              <w:r>
                <w:rPr>
                  <w:rStyle w:val="InternetLink"/>
                  <w:b/>
                  <w:spacing w:val="-4"/>
                </w:rPr>
                <w:t>15. FINANCIAL RESULT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5RE">
              <w:r>
                <w:rPr>
                  <w:rStyle w:val="InternetLink"/>
                  <w:spacing w:val="4"/>
                </w:rPr>
                <w:t>F-37</w:t>
              </w:r>
            </w:hyperlink>
            <w:hyperlink w:anchor="t15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LIE">
              <w:r>
                <w:rPr>
                  <w:rStyle w:val="InternetLink"/>
                  <w:b/>
                  <w:spacing w:val="-4"/>
                </w:rPr>
                <w:t>16. PROFIT (LOSS) IN EQUITY METHOD INVESTMENTS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LIE">
              <w:r>
                <w:rPr>
                  <w:rStyle w:val="InternetLink"/>
                  <w:spacing w:val="4"/>
                </w:rPr>
                <w:t>F-38</w:t>
              </w:r>
            </w:hyperlink>
            <w:hyperlink w:anchor="t1L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7TA">
              <w:r>
                <w:rPr>
                  <w:rStyle w:val="InternetLink"/>
                  <w:b/>
                  <w:spacing w:val="-4"/>
                </w:rPr>
                <w:t>17. INCOME TAXES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7TA">
              <w:r>
                <w:rPr>
                  <w:rStyle w:val="InternetLink"/>
                  <w:spacing w:val="4"/>
                </w:rPr>
                <w:t>F-38</w:t>
              </w:r>
            </w:hyperlink>
            <w:hyperlink w:anchor="t17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PS">
              <w:r>
                <w:rPr>
                  <w:rStyle w:val="InternetLink"/>
                  <w:b/>
                  <w:spacing w:val="-4"/>
                </w:rPr>
                <w:t>18. EARNINGS PER SHARE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PS">
              <w:r>
                <w:rPr>
                  <w:rStyle w:val="InternetLink"/>
                  <w:spacing w:val="4"/>
                </w:rPr>
                <w:t>F-41</w:t>
              </w:r>
            </w:hyperlink>
            <w:hyperlink w:anchor="t1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9AS">
              <w:r>
                <w:rPr>
                  <w:rStyle w:val="InternetLink"/>
                  <w:b/>
                  <w:spacing w:val="-4"/>
                </w:rPr>
                <w:t>19. INTANGIBLE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9AS">
              <w:r>
                <w:rPr>
                  <w:rStyle w:val="InternetLink"/>
                  <w:spacing w:val="4"/>
                </w:rPr>
                <w:t>F-42</w:t>
              </w:r>
            </w:hyperlink>
            <w:hyperlink w:anchor="t19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PAE">
              <w:r>
                <w:rPr>
                  <w:rStyle w:val="InternetLink"/>
                  <w:b/>
                  <w:spacing w:val="-4"/>
                </w:rPr>
                <w:t>20. PROPERTY, PLANT AND EQUIPMENT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PAE">
              <w:r>
                <w:rPr>
                  <w:rStyle w:val="InternetLink"/>
                  <w:spacing w:val="4"/>
                </w:rPr>
                <w:t>F-43</w:t>
              </w:r>
            </w:hyperlink>
            <w:hyperlink w:anchor="t2P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1L">
              <w:r>
                <w:rPr>
                  <w:rStyle w:val="InternetLink"/>
                  <w:b/>
                  <w:spacing w:val="-4"/>
                </w:rPr>
                <w:t>21. LEASES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1L">
              <w:r>
                <w:rPr>
                  <w:rStyle w:val="InternetLink"/>
                  <w:spacing w:val="4"/>
                </w:rPr>
                <w:t>F-44</w:t>
              </w:r>
            </w:hyperlink>
            <w:hyperlink w:anchor="t21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2AS">
              <w:r>
                <w:rPr>
                  <w:rStyle w:val="InternetLink"/>
                  <w:b/>
                  <w:spacing w:val="-4"/>
                </w:rPr>
                <w:t>22.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2AS">
              <w:r>
                <w:rPr>
                  <w:rStyle w:val="InternetLink"/>
                  <w:spacing w:val="4"/>
                </w:rPr>
                <w:t>F-46</w:t>
              </w:r>
            </w:hyperlink>
            <w:hyperlink w:anchor="t22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3I">
              <w:r>
                <w:rPr>
                  <w:rStyle w:val="InternetLink"/>
                  <w:b/>
                  <w:spacing w:val="-4"/>
                </w:rPr>
                <w:t>23. INVENTORIES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3I">
              <w:r>
                <w:rPr>
                  <w:rStyle w:val="InternetLink"/>
                  <w:spacing w:val="4"/>
                </w:rPr>
                <w:t>F-46</w:t>
              </w:r>
            </w:hyperlink>
            <w:hyperlink w:anchor="t23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RAO">
              <w:r>
                <w:rPr>
                  <w:rStyle w:val="InternetLink"/>
                  <w:b/>
                  <w:spacing w:val="-4"/>
                </w:rPr>
                <w:t>24. TRADE RECEIVABLES AND OTHER RECEIVABLES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RAO">
              <w:r>
                <w:rPr>
                  <w:rStyle w:val="InternetLink"/>
                  <w:spacing w:val="4"/>
                </w:rPr>
                <w:t>F-46</w:t>
              </w:r>
            </w:hyperlink>
            <w:hyperlink w:anchor="t2R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CA">
              <w:r>
                <w:rPr>
                  <w:rStyle w:val="InternetLink"/>
                  <w:b/>
                  <w:spacing w:val="-4"/>
                </w:rPr>
                <w:t>25. OTHER CURRENT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CA">
              <w:r>
                <w:rPr>
                  <w:rStyle w:val="InternetLink"/>
                  <w:spacing w:val="4"/>
                </w:rPr>
                <w:t>F-47</w:t>
              </w:r>
            </w:hyperlink>
            <w:hyperlink w:anchor="t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CE">
              <w:r>
                <w:rPr>
                  <w:rStyle w:val="InternetLink"/>
                  <w:b/>
                  <w:spacing w:val="-4"/>
                </w:rPr>
                <w:t>26. CASH &amp; CASH EQUIVALENTS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CE">
              <w:r>
                <w:rPr>
                  <w:rStyle w:val="InternetLink"/>
                  <w:spacing w:val="4"/>
                </w:rPr>
                <w:t>F-47</w:t>
              </w:r>
            </w:hyperlink>
            <w:hyperlink w:anchor="t2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7E">
              <w:r>
                <w:rPr>
                  <w:rStyle w:val="InternetLink"/>
                  <w:b/>
                  <w:spacing w:val="-4"/>
                </w:rPr>
                <w:t>27.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7E">
              <w:r>
                <w:rPr>
                  <w:rStyle w:val="InternetLink"/>
                  <w:spacing w:val="4"/>
                </w:rPr>
                <w:t>F-47</w:t>
              </w:r>
            </w:hyperlink>
            <w:hyperlink w:anchor="t27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8IN">
              <w:r>
                <w:rPr>
                  <w:rStyle w:val="InternetLink"/>
                  <w:b/>
                  <w:spacing w:val="-4"/>
                </w:rPr>
                <w:t>28. NON-CONTROLLING INTEREST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8IN">
              <w:r>
                <w:rPr>
                  <w:rStyle w:val="InternetLink"/>
                  <w:spacing w:val="4"/>
                </w:rPr>
                <w:t>F-47</w:t>
              </w:r>
            </w:hyperlink>
            <w:hyperlink w:anchor="t28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ACF">
              <w:r>
                <w:rPr>
                  <w:rStyle w:val="InternetLink"/>
                  <w:b/>
                  <w:spacing w:val="-4"/>
                </w:rPr>
                <w:t>29. NON-CURRENT AND CURRENT FINANCIAL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ACF">
              <w:r>
                <w:rPr>
                  <w:rStyle w:val="InternetLink"/>
                  <w:spacing w:val="4"/>
                </w:rPr>
                <w:t>F-48</w:t>
              </w:r>
            </w:hyperlink>
            <w:hyperlink w:anchor="t2A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0PR">
              <w:r>
                <w:rPr>
                  <w:rStyle w:val="InternetLink"/>
                  <w:b/>
                  <w:spacing w:val="-4"/>
                </w:rPr>
                <w:t>30. OTHER PROVISIONS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0PR">
              <w:r>
                <w:rPr>
                  <w:rStyle w:val="InternetLink"/>
                  <w:spacing w:val="4"/>
                </w:rPr>
                <w:t>F-50</w:t>
              </w:r>
            </w:hyperlink>
            <w:hyperlink w:anchor="t30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1BE">
              <w:r>
                <w:rPr>
                  <w:rStyle w:val="InternetLink"/>
                  <w:b/>
                  <w:spacing w:val="-4"/>
                </w:rPr>
                <w:t>31. POST-EMPLOYMENT BENEFITS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1BE">
              <w:r>
                <w:rPr>
                  <w:rStyle w:val="InternetLink"/>
                  <w:spacing w:val="4"/>
                </w:rPr>
                <w:t>F-51</w:t>
              </w:r>
            </w:hyperlink>
            <w:hyperlink w:anchor="t31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RP">
              <w:r>
                <w:rPr>
                  <w:rStyle w:val="InternetLink"/>
                  <w:b/>
                  <w:spacing w:val="-4"/>
                </w:rPr>
                <w:t>32. TRADE AND RELATED PARTY PAYABLES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RP">
              <w:r>
                <w:rPr>
                  <w:rStyle w:val="InternetLink"/>
                  <w:spacing w:val="4"/>
                </w:rPr>
                <w:t>F-52</w:t>
              </w:r>
            </w:hyperlink>
            <w:hyperlink w:anchor="t3AR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CL">
              <w:r>
                <w:rPr>
                  <w:rStyle w:val="InternetLink"/>
                  <w:b/>
                  <w:spacing w:val="-4"/>
                </w:rPr>
                <w:t>33. OTHER CURRENT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CL">
              <w:r>
                <w:rPr>
                  <w:rStyle w:val="InternetLink"/>
                  <w:spacing w:val="4"/>
                </w:rPr>
                <w:t>F-52</w:t>
              </w:r>
            </w:hyperlink>
            <w:hyperlink w:anchor="t3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IAF">
              <w:r>
                <w:rPr>
                  <w:rStyle w:val="InternetLink"/>
                  <w:b/>
                  <w:spacing w:val="-4"/>
                </w:rPr>
                <w:t>34. FINANCIAL INSTRUMENTS AND FINANCIAL RISK MANAGEMENT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IAF">
              <w:r>
                <w:rPr>
                  <w:rStyle w:val="InternetLink"/>
                  <w:spacing w:val="4"/>
                </w:rPr>
                <w:t>F-52</w:t>
              </w:r>
            </w:hyperlink>
            <w:hyperlink w:anchor="t3I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MI">
              <w:r>
                <w:rPr>
                  <w:rStyle w:val="InternetLink"/>
                  <w:b/>
                  <w:spacing w:val="-4"/>
                </w:rPr>
                <w:t>35. EQUITY METHOD INVESTMENTS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MI">
              <w:r>
                <w:rPr>
                  <w:rStyle w:val="InternetLink"/>
                  <w:spacing w:val="4"/>
                </w:rPr>
                <w:t>F-60</w:t>
              </w:r>
            </w:hyperlink>
            <w:hyperlink w:anchor="t3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C">
              <w:r>
                <w:rPr>
                  <w:rStyle w:val="InternetLink"/>
                  <w:b/>
                  <w:spacing w:val="-4"/>
                </w:rPr>
                <w:t>36. COMMITMENTS AND CONTINGENCIES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C">
              <w:r>
                <w:rPr>
                  <w:rStyle w:val="InternetLink"/>
                  <w:spacing w:val="4"/>
                </w:rPr>
                <w:t>F-61</w:t>
              </w:r>
            </w:hyperlink>
            <w:hyperlink w:anchor="t3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PD">
              <w:r>
                <w:rPr>
                  <w:rStyle w:val="InternetLink"/>
                  <w:b/>
                  <w:spacing w:val="-4"/>
                </w:rPr>
                <w:t>37. RELATED PARTY DISCLOSURES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PD">
              <w:r>
                <w:rPr>
                  <w:rStyle w:val="InternetLink"/>
                  <w:spacing w:val="4"/>
                </w:rPr>
                <w:t>F-61</w:t>
              </w:r>
            </w:hyperlink>
            <w:hyperlink w:anchor="t3P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TR">
              <w:r>
                <w:rPr>
                  <w:rStyle w:val="InternetLink"/>
                  <w:b/>
                  <w:spacing w:val="-4"/>
                </w:rPr>
                <w:t>38. EVENTS AFTER THE REPORTING PERIOD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TR">
              <w:r>
                <w:rPr>
                  <w:rStyle w:val="InternetLink"/>
                  <w:spacing w:val="4"/>
                </w:rPr>
                <w:t>F-63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ROIR"/>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Shareholders and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SCHMID Group N.V.: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Opinion on the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Basis for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KPMG AG Wirtschaftsprüfungsgesellschaft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Stuttgart, Germany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15,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SCS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Profit or Loss and Other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Comprehensive Income (Loss)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665"/>
        <w:gridCol w:w="109"/>
        <w:gridCol w:w="109"/>
        <w:gridCol w:w="573"/>
        <w:gridCol w:w="109"/>
        <w:gridCol w:w="109"/>
        <w:gridCol w:w="109"/>
        <w:gridCol w:w="109"/>
        <w:gridCol w:w="855"/>
        <w:gridCol w:w="109"/>
        <w:gridCol w:w="109"/>
        <w:gridCol w:w="109"/>
        <w:gridCol w:w="109"/>
        <w:gridCol w:w="109"/>
        <w:gridCol w:w="855"/>
        <w:gridCol w:w="109"/>
        <w:gridCol w:w="109"/>
        <w:gridCol w:w="109"/>
        <w:gridCol w:w="109"/>
        <w:gridCol w:w="109"/>
        <w:gridCol w:w="855"/>
        <w:gridCol w:w="109"/>
        <w:gridCol w:w="156"/>
      </w:tblGrid>
      <w:tr>
        <w:trPr/>
        <w:tc>
          <w:tcPr>
            <w:tcW w:w="3665"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14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pPr>
            <w:r>
              <w:rPr>
                <w:spacing w:val="-4"/>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Other comprehensive income (loss) that may be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differences on translation of foreign business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(1,625)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283"/>
              <w:jc w:val="left"/>
              <w:rPr>
                <w:spacing w:val="4"/>
              </w:rPr>
            </w:pPr>
            <w:r>
              <w:rPr>
                <w:spacing w:val="4"/>
              </w:rPr>
              <w:t xml:space="preserve">Items that will not be subsequently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Remeasurement of defined pension benefit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tax on remeasurement of defined pension benefit obligation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pPr>
            <w:r>
              <w:rPr>
                <w:spacing w:val="-4"/>
              </w:rPr>
              <w:t>Total items that will not be subsequently reclassified to profit or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Other comprehensive income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(1,152)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Total consolidated comprehensive income (loss) for the reporting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(72,252)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(83,746)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36,346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283"/>
              <w:jc w:val="left"/>
              <w:rPr/>
            </w:pPr>
            <w:r>
              <w:rPr>
                <w:spacing w:val="-4"/>
              </w:rPr>
              <w:t>Net income (loss) attributable to</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(84,111)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283"/>
              <w:jc w:val="left"/>
              <w:rPr/>
            </w:pPr>
            <w:r>
              <w:rPr>
                <w:spacing w:val="-4"/>
              </w:rPr>
              <w:t>Total consolidated comprehensive income (loss) attributable 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Owners of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(72,162)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35,669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Earnings per share for profit / (loss) from continuing operations attributable to the ordinary equity holders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Basic and 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SCSO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Financial Position as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717"/>
        <w:gridCol w:w="109"/>
        <w:gridCol w:w="109"/>
        <w:gridCol w:w="604"/>
        <w:gridCol w:w="109"/>
        <w:gridCol w:w="109"/>
        <w:gridCol w:w="109"/>
        <w:gridCol w:w="109"/>
        <w:gridCol w:w="1014"/>
        <w:gridCol w:w="109"/>
        <w:gridCol w:w="109"/>
        <w:gridCol w:w="109"/>
        <w:gridCol w:w="109"/>
        <w:gridCol w:w="109"/>
        <w:gridCol w:w="1014"/>
        <w:gridCol w:w="109"/>
        <w:gridCol w:w="155"/>
      </w:tblGrid>
      <w:tr>
        <w:trPr/>
        <w:tc>
          <w:tcPr>
            <w:tcW w:w="4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17,262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14,941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Property, plant and equipment including right-of-use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12,234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16,203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2,317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2,684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49,058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32,300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18,112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15,734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33,653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38,221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3,054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57,257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60,800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106,315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93,100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Subscribed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Capital reserves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114,448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Accumulated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(245,896)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(174,853)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(2,259)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(1,138)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SCHMID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pPr>
            <w:r>
              <w:rPr>
                <w:spacing w:val="-4"/>
              </w:rPr>
              <w:t>27</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71,518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42,053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Post-employment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Non-current 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7,153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8,233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81,859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53,127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87,148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38,071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28,179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1,461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156,622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100,417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106,315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93,100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SCSO2"/>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Changes in Equity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tbl>
      <w:tblPr>
        <w:tblW w:w="13421" w:type="dxa"/>
        <w:jc w:val="left"/>
        <w:tblInd w:w="543" w:type="dxa"/>
        <w:tblLayout w:type="fixed"/>
        <w:tblCellMar>
          <w:top w:w="0" w:type="dxa"/>
          <w:left w:w="0" w:type="dxa"/>
          <w:bottom w:w="43" w:type="dxa"/>
          <w:right w:w="0" w:type="dxa"/>
        </w:tblCellMar>
      </w:tblPr>
      <w:tblGrid>
        <w:gridCol w:w="1594"/>
        <w:gridCol w:w="109"/>
        <w:gridCol w:w="109"/>
        <w:gridCol w:w="562"/>
        <w:gridCol w:w="109"/>
        <w:gridCol w:w="109"/>
        <w:gridCol w:w="109"/>
        <w:gridCol w:w="109"/>
        <w:gridCol w:w="841"/>
        <w:gridCol w:w="109"/>
        <w:gridCol w:w="109"/>
        <w:gridCol w:w="109"/>
        <w:gridCol w:w="109"/>
        <w:gridCol w:w="109"/>
        <w:gridCol w:w="886"/>
        <w:gridCol w:w="109"/>
        <w:gridCol w:w="109"/>
        <w:gridCol w:w="109"/>
        <w:gridCol w:w="109"/>
        <w:gridCol w:w="109"/>
        <w:gridCol w:w="1009"/>
        <w:gridCol w:w="109"/>
        <w:gridCol w:w="109"/>
        <w:gridCol w:w="109"/>
        <w:gridCol w:w="155"/>
        <w:gridCol w:w="155"/>
        <w:gridCol w:w="1028"/>
        <w:gridCol w:w="157"/>
        <w:gridCol w:w="109"/>
        <w:gridCol w:w="109"/>
        <w:gridCol w:w="109"/>
        <w:gridCol w:w="109"/>
        <w:gridCol w:w="961"/>
        <w:gridCol w:w="109"/>
        <w:gridCol w:w="109"/>
        <w:gridCol w:w="109"/>
        <w:gridCol w:w="164"/>
        <w:gridCol w:w="164"/>
        <w:gridCol w:w="1086"/>
        <w:gridCol w:w="165"/>
        <w:gridCol w:w="109"/>
        <w:gridCol w:w="109"/>
        <w:gridCol w:w="109"/>
        <w:gridCol w:w="109"/>
        <w:gridCol w:w="961"/>
        <w:gridCol w:w="109"/>
        <w:gridCol w:w="154"/>
      </w:tblGrid>
      <w:tr>
        <w:trPr/>
        <w:tc>
          <w:tcPr>
            <w:tcW w:w="159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Capital</w:t>
            </w:r>
            <w:r>
              <w:rPr/>
              <w:t xml:space="preserve"> </w:t>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Equity</w:t>
            </w:r>
            <w:r>
              <w:rPr/>
              <w:t xml:space="preserve"> </w:t>
              <w:br/>
            </w:r>
            <w:r>
              <w:rPr>
                <w:spacing w:val="-3"/>
              </w:rPr>
              <w:t>attributable to</w:t>
            </w:r>
            <w:r>
              <w:rPr/>
              <w:t xml:space="preserve"> </w:t>
              <w:br/>
            </w:r>
            <w:r>
              <w:rPr>
                <w:spacing w:val="-3"/>
              </w:rPr>
              <w:t>owners of</w:t>
            </w:r>
            <w:r>
              <w:rPr/>
              <w:t xml:space="preserve"> </w:t>
              <w:br/>
            </w:r>
            <w:r>
              <w:rPr>
                <w:spacing w:val="-3"/>
              </w:rPr>
              <w:t xml:space="preserve">SCHMID N.V.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9" w:type="dxa"/>
            <w:gridSpan w:val="4"/>
            <w:tcBorders>
              <w:bottom w:val="single" w:sz="2" w:space="0" w:color="000000"/>
            </w:tcBorders>
            <w:vAlign w:val="center"/>
          </w:tcPr>
          <w:p>
            <w:pPr>
              <w:pStyle w:val="TableContents"/>
              <w:bidi w:val="0"/>
              <w:spacing w:before="0" w:after="0"/>
              <w:jc w:val="center"/>
              <w:rPr/>
            </w:pPr>
            <w:r>
              <w:rPr>
                <w:spacing w:val="-3"/>
              </w:rPr>
              <w:t>Non-controlling</w:t>
            </w:r>
            <w:r>
              <w:rPr/>
              <w:t xml:space="preserve"> </w:t>
              <w:br/>
            </w: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1/1/2023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23,004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47,475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(131,235)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(239)</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(60,996)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6,681</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(54,315)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0"/>
              <w:jc w:val="right"/>
              <w:rPr/>
            </w:pPr>
            <w:r>
              <w:rPr/>
              <w:t>​</w:t>
            </w:r>
          </w:p>
        </w:tc>
        <w:tc>
          <w:tcPr>
            <w:tcW w:w="1028" w:type="dxa"/>
            <w:tcBorders/>
            <w:tcMar>
              <w:bottom w:w="0" w:type="dxa"/>
            </w:tcMar>
            <w:vAlign w:val="center"/>
          </w:tcPr>
          <w:p>
            <w:pPr>
              <w:pStyle w:val="TableContents"/>
              <w:bidi w:val="0"/>
              <w:spacing w:before="0" w:after="0"/>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1,086</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37,954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4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09"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(1,199)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(409)</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(1,199)</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677</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23,004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47,603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(94,367)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(1,438)</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(25,198)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7,358</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(17,841)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7</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300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300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65</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Minority interest reduction – SCHMID Technology (Guangdong) Co., Ltd. (STG)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(6,755)</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(6,755)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Reorganization – Share based payment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spacing w:val="4"/>
              </w:rPr>
            </w:pPr>
            <w:r>
              <w:rPr>
                <w:spacing w:val="4"/>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(22,573)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431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(1,138)</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(61,113)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(1,121)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(31)</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(1,121)</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(90)</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(72,252)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3" w:type="dxa"/>
            </w:tcMar>
            <w:vAlign w:val="center"/>
          </w:tcPr>
          <w:p>
            <w:pPr>
              <w:pStyle w:val="TableContents"/>
              <w:bidi w:val="0"/>
              <w:spacing w:before="0" w:after="0"/>
              <w:jc w:val="center"/>
              <w:rPr>
                <w:spacing w:val="4"/>
              </w:rPr>
            </w:pPr>
            <w:r>
              <w:rPr>
                <w:spacing w:val="4"/>
              </w:rPr>
              <w:t xml:space="preserve">22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431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114,980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(245,896)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(2,259)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579</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SCSO3"/>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Cash Flows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377"/>
        <w:gridCol w:w="109"/>
        <w:gridCol w:w="109"/>
        <w:gridCol w:w="109"/>
        <w:gridCol w:w="109"/>
        <w:gridCol w:w="881"/>
        <w:gridCol w:w="109"/>
        <w:gridCol w:w="109"/>
        <w:gridCol w:w="109"/>
        <w:gridCol w:w="109"/>
        <w:gridCol w:w="109"/>
        <w:gridCol w:w="881"/>
        <w:gridCol w:w="109"/>
        <w:gridCol w:w="109"/>
        <w:gridCol w:w="109"/>
        <w:gridCol w:w="109"/>
        <w:gridCol w:w="109"/>
        <w:gridCol w:w="881"/>
        <w:gridCol w:w="109"/>
        <w:gridCol w:w="157"/>
      </w:tblGrid>
      <w:tr>
        <w:trPr/>
        <w:tc>
          <w:tcPr>
            <w:tcW w:w="437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37,954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Adjustments to reconcile consolidated net income (loss) to net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(8,537)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Net loss (gain) from the disposal of intangibles and PP&amp;E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impairments of financial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(22,696)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Other non-cash (income)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equity method investments (non-cash)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non-current financial assets (non-cash)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283"/>
              <w:jc w:val="left"/>
              <w:rPr>
                <w:spacing w:val="4"/>
              </w:rPr>
            </w:pPr>
            <w:r>
              <w:rPr>
                <w:spacing w:val="4"/>
              </w:rPr>
              <w:t xml:space="preserve">Working capital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(6,729)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(6,823)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(1,161)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1,250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(2,578)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9,897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(6,907)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Receipts from sale and leaseback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sale (purchases) of financial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Payment for loan to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disposal of a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61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(6,227)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(4,054)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72,019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(81,871)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business combination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(715)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(10,939)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financing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2,923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3,959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(83,714)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spacing w:val="4"/>
              </w:rPr>
            </w:pPr>
            <w:r>
              <w:rPr>
                <w:spacing w:val="4"/>
              </w:rPr>
              <w:t xml:space="preserve">Effect of foreign exchange rate changes on cash and cash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5,710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8,332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5,710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1BDE"/>
      <w:bookmarkEnd w:id="52"/>
      <w:r>
        <w:rPr>
          <w:rFonts w:ascii="calibri;arial;sans-serif" w:hAnsi="calibri;arial;sans-serif"/>
          <w:b w:val="false"/>
          <w:i w:val="false"/>
          <w:caps w:val="false"/>
          <w:smallCaps w:val="false"/>
          <w:color w:val="000000"/>
          <w:sz w:val="16"/>
        </w:rPr>
        <w:t>​</w:t>
      </w:r>
      <w:bookmarkStart w:id="53" w:name="t2OP"/>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BUSINESS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 crucial factor for SCHMID’s business success. The majority of research work and the development of SCHMID technologies are conducted in Freudenstadt.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as of and for the years ended December 31, 2025 and 2024 have been prepared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in conformity with International Financial Reporting Standards (“IFRS Accounting Standards”), as issued by the International Accounting Standards Board (“IASB”).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entities which comprise the consolidated financial statements and its investments in joint ventures accounted for using the equity method are as follows: </w:t>
      </w:r>
    </w:p>
    <w:tbl>
      <w:tblPr>
        <w:tblW w:w="8812" w:type="dxa"/>
        <w:jc w:val="left"/>
        <w:tblInd w:w="1393" w:type="dxa"/>
        <w:tblLayout w:type="fixed"/>
        <w:tblCellMar>
          <w:top w:w="0" w:type="dxa"/>
          <w:left w:w="0" w:type="dxa"/>
          <w:bottom w:w="43" w:type="dxa"/>
          <w:right w:w="0" w:type="dxa"/>
        </w:tblCellMar>
      </w:tblPr>
      <w:tblGrid>
        <w:gridCol w:w="4051"/>
        <w:gridCol w:w="109"/>
        <w:gridCol w:w="109"/>
        <w:gridCol w:w="1653"/>
        <w:gridCol w:w="109"/>
        <w:gridCol w:w="109"/>
        <w:gridCol w:w="130"/>
        <w:gridCol w:w="130"/>
        <w:gridCol w:w="758"/>
        <w:gridCol w:w="130"/>
        <w:gridCol w:w="109"/>
        <w:gridCol w:w="109"/>
        <w:gridCol w:w="130"/>
        <w:gridCol w:w="130"/>
        <w:gridCol w:w="758"/>
        <w:gridCol w:w="130"/>
        <w:gridCol w:w="158"/>
      </w:tblGrid>
      <w:tr>
        <w:trPr/>
        <w:tc>
          <w:tcPr>
            <w:tcW w:w="40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3"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Group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USA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Singapore Pte.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Singapore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Korea Co.,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Technology Guangdong Co., Ltd.</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China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Shenzhen Ltd.</w:t>
            </w:r>
            <w:r>
              <w:rPr>
                <w:spacing w:val="3"/>
                <w:sz w:val="13"/>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(Kunshan)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Taiwan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Taiwan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Automation (Zhuhai)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Solar (Shenzhen) Ltd. 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Trading (Zhongshan)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Pegasus Digital Mobility Acquisition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0"/>
              <w:jc w:val="left"/>
              <w:rPr>
                <w:spacing w:val="4"/>
              </w:rPr>
            </w:pPr>
            <w:r>
              <w:rPr>
                <w:spacing w:val="4"/>
              </w:rPr>
              <w:t xml:space="preserve">Cayman Islands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Pacific Sdn. Bhd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Malaysia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4150"/>
        <w:gridCol w:w="109"/>
        <w:gridCol w:w="109"/>
        <w:gridCol w:w="1397"/>
        <w:gridCol w:w="109"/>
        <w:gridCol w:w="109"/>
        <w:gridCol w:w="153"/>
        <w:gridCol w:w="153"/>
        <w:gridCol w:w="766"/>
        <w:gridCol w:w="153"/>
        <w:gridCol w:w="109"/>
        <w:gridCol w:w="109"/>
        <w:gridCol w:w="153"/>
        <w:gridCol w:w="153"/>
        <w:gridCol w:w="766"/>
        <w:gridCol w:w="153"/>
        <w:gridCol w:w="161"/>
      </w:tblGrid>
      <w:tr>
        <w:trPr/>
        <w:tc>
          <w:tcPr>
            <w:tcW w:w="41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7"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283"/>
              <w:jc w:val="left"/>
              <w:rPr/>
            </w:pPr>
            <w:r>
              <w:rPr>
                <w:spacing w:val="-4"/>
              </w:rPr>
              <w:t>Equity method investees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150"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Avaco Korea,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7" w:type="dxa"/>
            <w:tcBorders/>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Energy Systems GmbH (SES)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transfer of the remaining minority shares not yet executed as of December 31, 2025. </w:t>
      </w:r>
      <w:r>
        <mc:AlternateContent>
          <mc:Choice Requires="wps">
            <w:drawing>
              <wp:anchor behindDoc="0" distT="8382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Shenzhen Ltd. was liquidated in September 2025 and SCHMID Solar (Shenzhen) Ltd. in January 2026 </w:t>
      </w:r>
      <w:r>
        <mc:AlternateContent>
          <mc:Choice Requires="wps">
            <w:drawing>
              <wp:anchor behindDoc="0" distT="3302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were authorized for issuance by the Board on May 12, 2026.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Intra-reporting entity transactions and balances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Going Concern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preparation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and 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3DE"/>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as of December 31, 2025, the Group had a significant working capital deficiency, reflecting the impact of continued operating losses and constrained access to financing during the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Measures implemented after the reporting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to December 31, 2025, the Group implemented several measures to strengthen liquidity and reduce near-term obligations, including: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debt-for-equity set-off with XJ Harbour, effective in 2025 based on irrevocable contracts signed in November 2025, with the issuance of 12,540,539 shares being completed on January 16, 2026, eliminating the related payment obligation; </w:t>
      </w:r>
      <w:r>
        <mc:AlternateContent>
          <mc:Choice Requires="wps">
            <w:drawing>
              <wp:anchor behindDoc="0" distT="9906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an Investment Agreement in January 2026 for the issuance of USD 30.0 million senior convertible notes structured in two tranches of USD 15.0 million each and additional warrants. The first tranche was received on January 21, 2026 and the second tranche was received on March 5, 2026; and </w:t>
      </w:r>
      <w:r>
        <mc:AlternateContent>
          <mc:Choice Requires="wps">
            <w:drawing>
              <wp:anchor behindDoc="0" distT="9906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 </w:t>
      </w:r>
      <w:r>
        <mc:AlternateContent>
          <mc:Choice Requires="wps">
            <w:drawing>
              <wp:anchor behindDoc="0" distT="9906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plans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has prepared detailed cash flow forecasts covering at least twelve months from the date of authorization of these consolidated financial statements. These forecasts reflect: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conversion of the €51 million order backlog as of December 31, 2025 into revenues,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order intake during the forecast period,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implementation of planned cost reduction measures, including a €4 million annual cost-savings program in Germany; and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external financing, including the SEPA facility if needed.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DE-SPAC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4AP"/>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with Merger Sub as the surviving company, SCHMID GmbH N.V. would be the ultimate parent company of SCHMID GmbH (altogether: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was incorporated for the purpose of holding Merger Sub and SCHMID GmbH following the consummation of the Business Combination which occurred on April 30, 2024. Ordinary shares and warrants issued by SCHMID Group N.V. are listed on the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Pegasus constituted a transaction by SCHMID Group N.V., which is accounted for within the scope of IFRS 2 as a “reverse recapitalization”.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MATERIAL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Research and development (R&amp;D) costs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costs for the development of a technology until the time that development of such technology is completed. The capitalized development costs are amortized on a straight-line basis over the economic useful life of 4 – 10 years based on the expected useful life of such technology. Amortization of capitalized development costs commences upon completion of the development project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Patents and licenses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acquired separately are measured on initial recognition at cost. Following initial recognition, intangible assets are carried at cost less any accumulated straight-line amortization and accumulated impairment losses. The useful life for patents and licenses is 5 – 8 years.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expenditures on assets are capitalized only when it is probable that future economic benefits associated with the expenditure will flow to SCHMID. Repairs and maintenance are expensed in profit or loss in the period the costs are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items of property, plant and equipment are sold or disposed of, the gain or loss arising from the disposal is recognized as other operating income or expense in the consolidated statement of profit or loss and other comprehensive income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is calculated on a straight-line basis based on the following useful lives: </w:t>
      </w:r>
    </w:p>
    <w:tbl>
      <w:tblPr>
        <w:tblW w:w="5663" w:type="dxa"/>
        <w:jc w:val="left"/>
        <w:tblInd w:w="1393" w:type="dxa"/>
        <w:tblLayout w:type="fixed"/>
        <w:tblCellMar>
          <w:top w:w="0" w:type="dxa"/>
          <w:left w:w="0" w:type="dxa"/>
          <w:bottom w:w="28" w:type="dxa"/>
          <w:right w:w="0" w:type="dxa"/>
        </w:tblCellMar>
      </w:tblPr>
      <w:tblGrid>
        <w:gridCol w:w="3848"/>
        <w:gridCol w:w="109"/>
        <w:gridCol w:w="109"/>
        <w:gridCol w:w="1443"/>
        <w:gridCol w:w="154"/>
      </w:tblGrid>
      <w:tr>
        <w:trPr/>
        <w:tc>
          <w:tcPr>
            <w:tcW w:w="38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Useful life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Buildings and building improvements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10 – 50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8" w:type="dxa"/>
            <w:tcBorders/>
            <w:tcMar>
              <w:bottom w:w="0" w:type="dxa"/>
            </w:tcMar>
            <w:vAlign w:val="center"/>
          </w:tcPr>
          <w:p>
            <w:pPr>
              <w:pStyle w:val="TableContents"/>
              <w:bidi w:val="0"/>
              <w:spacing w:before="0" w:after="0"/>
              <w:jc w:val="left"/>
              <w:rPr>
                <w:spacing w:val="4"/>
              </w:rPr>
            </w:pPr>
            <w:r>
              <w:rPr>
                <w:spacing w:val="4"/>
              </w:rPr>
              <w:t xml:space="preserve">Technical equipment and machinery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3" w:type="dxa"/>
            <w:tcBorders/>
            <w:tcMar>
              <w:bottom w:w="0" w:type="dxa"/>
            </w:tcMar>
            <w:vAlign w:val="center"/>
          </w:tcPr>
          <w:p>
            <w:pPr>
              <w:pStyle w:val="TableContents"/>
              <w:bidi w:val="0"/>
              <w:spacing w:before="0" w:after="0"/>
              <w:jc w:val="right"/>
              <w:rPr/>
            </w:pPr>
            <w:r>
              <w:rPr>
                <w:spacing w:val="4"/>
              </w:rPr>
              <w:t>2 – 21 years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Office and other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3 – 13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residual values, useful lives and methods of depreciation of property, plant and equipment are reviewed at each financial year end and adjusted prospectively, if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 – 10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lessee, at the inception of a contract, SCHMID assesses whether the contract is, or contains, a lease. A contract is, or contains, a lease if the contract conveys the right to control the use of an identified asset for a period in exchange for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arising from a lease are initially measured at present value of lease payments discounted using interest rate implicit in the lease or incremental borrowing rate in case interest rate implicit in the lease is not readily determinable.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 components of the lease payments included in the measurement of the lease liability comprise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lease payments; </w:t>
      </w:r>
      <w:r>
        <mc:AlternateContent>
          <mc:Choice Requires="wps">
            <w:drawing>
              <wp:anchor behindDoc="0" distT="7493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variable lease payments that depend on an index or rate, initially measured using the index or rate as at the commencement date;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in an optional renewal period if SCHMID is reasonably certain to exercise an extension option; </w:t>
      </w:r>
      <w:r>
        <mc:AlternateContent>
          <mc:Choice Requires="wps">
            <w:drawing>
              <wp:anchor behindDoc="0" distT="7493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non-lease components are not separated from lease components but accounted for as single lease components.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related to retirement obligations for leased buildings are included in the cost of right of use assets for the respective underlying building lease.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Sale and Leaseback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market rates, the excess amount will be considered as additional financing provided by the buyer-lessor to the seller-lessee (IFRS 16.101).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Cash and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assets include cash and cash equivalents, trade and other receivables as well as other financial assets. Other financial assets consist of a loan to one shareholder and other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initially measured at fair value plus, in the case of a financial asset not measured at fair value through profit or loss, transaction costs. As an exception to this general rule, trade receivables are measured at their transaction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asset is derecognized (i.e., removed from SCHMID’s consolidated statement of financial position) when the rights to receive cash flows from the financial asset have expired or have been transferred and SCHMID has transferred substantially all risks and rewards of ownership.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of financial assets — expected credit losses (“ECLs”)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Current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periodically evaluates positions taken in the tax returns with respect to situations in which applicable tax regulations are subject to interpretation and establishes provisions where appropriate.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Deferred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liabilities are measured at the tax rates that are expected to apply in the year in which the asset is realized, or the liability is settled, based on tax rates (and tax laws) that have been enacted or substantively enacted at the reporting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deferred tax liabilities are not discounted and are always classified as non-current asset or liabilities in the consolidated statement of financial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Fair Values of Assets and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contains the use of unadjusted quoted prices in active markets for identical assets or liabilities </w:t>
      </w:r>
      <w:r>
        <mc:AlternateContent>
          <mc:Choice Requires="wps">
            <w:drawing>
              <wp:anchor behindDoc="0" distT="762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are other than quoted prices included within Level 1 that are observable for the asset or liability either directly or indirectly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inputs are based on unobservable market data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transfers between levels of the fair value hierarchy at the end of the reporting period during which the change has occurred.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granted a defined benefit pension to Christian Schmid. The cost of providing benefits under the defined benefit plan is determined using the projected unit credit method.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interest is calculated by applying the discount rate to the net defined benefit liability. SCHMID recognizes the changes in the net defined benefit obligation under OCI.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Revenue Recognition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these long-term development contracts, revenue is recognized over time as these contracts meet the criteria of IFRS 15.35. Revenue resulting from fixed payments that the Company receives —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Inventories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Government Grants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grants related to costs incurred by SCHMID are recognized in profit or loss as other operating income in the period in which the Company recognizes as expenses the related costs to be compensated by the grants.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Interests in equity-accounted investees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Group’s interests in equity-accounted investees comprise interests in associates. Associates are those entities in which the Group has significant influence, but not control or joint control, over the financial and operating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and amended standards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applied the following standards and amendments for the first time for its annual reporting period commencing January 1, 2025: Amendment to IAS 21 — Lack of Exchangeability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5AJE"/>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listed above did not have any material impact on the amounts recognized in prior periods and is not expected to significantly affect the current or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Standards and Interpretations not yet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 </w:t>
      </w:r>
    </w:p>
    <w:tbl>
      <w:tblPr>
        <w:tblW w:w="8812" w:type="dxa"/>
        <w:jc w:val="left"/>
        <w:tblInd w:w="1393" w:type="dxa"/>
        <w:tblLayout w:type="fixed"/>
        <w:tblCellMar>
          <w:top w:w="0" w:type="dxa"/>
          <w:left w:w="0" w:type="dxa"/>
          <w:bottom w:w="50" w:type="dxa"/>
          <w:right w:w="0" w:type="dxa"/>
        </w:tblCellMar>
      </w:tblPr>
      <w:tblGrid>
        <w:gridCol w:w="7130"/>
        <w:gridCol w:w="109"/>
        <w:gridCol w:w="109"/>
        <w:gridCol w:w="119"/>
        <w:gridCol w:w="119"/>
        <w:gridCol w:w="950"/>
        <w:gridCol w:w="119"/>
        <w:gridCol w:w="157"/>
      </w:tblGrid>
      <w:tr>
        <w:trPr/>
        <w:tc>
          <w:tcPr>
            <w:tcW w:w="7130" w:type="dxa"/>
            <w:tcBorders>
              <w:bottom w:val="single" w:sz="2" w:space="0" w:color="000000"/>
            </w:tcBorders>
            <w:vAlign w:val="center"/>
          </w:tcPr>
          <w:p>
            <w:pPr>
              <w:pStyle w:val="TableContents"/>
              <w:bidi w:val="0"/>
              <w:spacing w:before="0" w:after="0"/>
              <w:jc w:val="left"/>
              <w:rPr>
                <w:spacing w:val="-3"/>
              </w:rPr>
            </w:pPr>
            <w:r>
              <w:rPr>
                <w:spacing w:val="-3"/>
              </w:rPr>
              <w:t xml:space="preserve">Standard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Effective date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Contracts Referencing Nature-dependent Electricity – Amendments to IFRS 9 and IFRS 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Annual Improvements Volume 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1/1/2026</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Amendments to the Classification and Measurement of Financial Instruments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IFRS 18 – Presentation and Disclosure in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1/1/2027</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IFRS 18 Presentation and Disclosure in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currently working to identify all impacts the amendments will have on the primary financial statements and notes to the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SIGNIFICANT ACCOUNTING JUDGMENTS, ESTIMATES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the financial period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Judgments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Debt to equity swap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6AGI"/>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test on R&amp;D costs capitalized on assets that are not yet ready for use is performed at each reporting date. For detailed information on key assumptions underlying recoverable amounts please see note 19. Intangible Assets.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 in Group14 shares, a private company whose share are not publicly traded, require significant estimates to determine the fair value of the Group14 shares. For further detail refer to note 22.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SEGMENT AND GEOGRAPHIC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CODM examines the Company’s performance from a product perspective and has therefore identified two operating segments: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Technical equipment and processes includes mainly the sale of machines including installation and extended warranties. </w:t>
      </w:r>
      <w:r>
        <mc:AlternateContent>
          <mc:Choice Requires="wps">
            <w:drawing>
              <wp:anchor behindDoc="0" distT="11684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Spare parts and services includes the sale of spare parts as well as services including repairs, modifications of machines and inspections. </w:t>
      </w:r>
      <w:r>
        <mc:AlternateContent>
          <mc:Choice Requires="wps">
            <w:drawing>
              <wp:anchor behindDoc="0" distT="11684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segments are also the reporting segments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are neither allocated to the operating segments nor regularly provided to the CODM.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key financial metrics by segment are as follows: </w:t>
      </w:r>
    </w:p>
    <w:tbl>
      <w:tblPr>
        <w:tblW w:w="8765" w:type="dxa"/>
        <w:jc w:val="left"/>
        <w:tblInd w:w="1393" w:type="dxa"/>
        <w:tblLayout w:type="fixed"/>
        <w:tblCellMar>
          <w:top w:w="0" w:type="dxa"/>
          <w:left w:w="0" w:type="dxa"/>
          <w:bottom w:w="28" w:type="dxa"/>
          <w:right w:w="0" w:type="dxa"/>
        </w:tblCellMar>
      </w:tblPr>
      <w:tblGrid>
        <w:gridCol w:w="2878"/>
        <w:gridCol w:w="109"/>
        <w:gridCol w:w="109"/>
        <w:gridCol w:w="143"/>
        <w:gridCol w:w="143"/>
        <w:gridCol w:w="1009"/>
        <w:gridCol w:w="143"/>
        <w:gridCol w:w="109"/>
        <w:gridCol w:w="109"/>
        <w:gridCol w:w="129"/>
        <w:gridCol w:w="129"/>
        <w:gridCol w:w="906"/>
        <w:gridCol w:w="129"/>
        <w:gridCol w:w="109"/>
        <w:gridCol w:w="109"/>
        <w:gridCol w:w="109"/>
        <w:gridCol w:w="109"/>
        <w:gridCol w:w="466"/>
        <w:gridCol w:w="109"/>
        <w:gridCol w:w="109"/>
        <w:gridCol w:w="109"/>
        <w:gridCol w:w="132"/>
        <w:gridCol w:w="132"/>
        <w:gridCol w:w="938"/>
        <w:gridCol w:w="135"/>
        <w:gridCol w:w="154"/>
      </w:tblGrid>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15"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54,446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11,885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66,945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3,415</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2,261</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6,267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585"/>
        <w:gridCol w:w="109"/>
        <w:gridCol w:w="109"/>
        <w:gridCol w:w="137"/>
        <w:gridCol w:w="137"/>
        <w:gridCol w:w="969"/>
        <w:gridCol w:w="137"/>
        <w:gridCol w:w="109"/>
        <w:gridCol w:w="109"/>
        <w:gridCol w:w="125"/>
        <w:gridCol w:w="125"/>
        <w:gridCol w:w="883"/>
        <w:gridCol w:w="125"/>
        <w:gridCol w:w="109"/>
        <w:gridCol w:w="109"/>
        <w:gridCol w:w="109"/>
        <w:gridCol w:w="109"/>
        <w:gridCol w:w="903"/>
        <w:gridCol w:w="109"/>
        <w:gridCol w:w="109"/>
        <w:gridCol w:w="109"/>
        <w:gridCol w:w="123"/>
        <w:gridCol w:w="123"/>
        <w:gridCol w:w="956"/>
        <w:gridCol w:w="125"/>
        <w:gridCol w:w="160"/>
      </w:tblGrid>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4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49,593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11,192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60,836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611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2,459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(77,527)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(74,457)</w:t>
            </w:r>
          </w:p>
        </w:tc>
        <w:tc>
          <w:tcPr>
            <w:tcW w:w="12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689"/>
        <w:gridCol w:w="109"/>
        <w:gridCol w:w="109"/>
        <w:gridCol w:w="139"/>
        <w:gridCol w:w="139"/>
        <w:gridCol w:w="982"/>
        <w:gridCol w:w="139"/>
        <w:gridCol w:w="109"/>
        <w:gridCol w:w="109"/>
        <w:gridCol w:w="126"/>
        <w:gridCol w:w="126"/>
        <w:gridCol w:w="890"/>
        <w:gridCol w:w="126"/>
        <w:gridCol w:w="109"/>
        <w:gridCol w:w="109"/>
        <w:gridCol w:w="109"/>
        <w:gridCol w:w="109"/>
        <w:gridCol w:w="766"/>
        <w:gridCol w:w="109"/>
        <w:gridCol w:w="109"/>
        <w:gridCol w:w="109"/>
        <w:gridCol w:w="131"/>
        <w:gridCol w:w="131"/>
        <w:gridCol w:w="933"/>
        <w:gridCol w:w="134"/>
        <w:gridCol w:w="162"/>
      </w:tblGrid>
      <w:tr>
        <w:trPr/>
        <w:tc>
          <w:tcPr>
            <w:tcW w:w="26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3"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78,743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11,503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33" w:type="dxa"/>
            <w:tcBorders/>
            <w:shd w:fill="CCEEFF" w:val="clear"/>
            <w:tcMar>
              <w:bottom w:w="0" w:type="dxa"/>
            </w:tcMar>
            <w:vAlign w:val="center"/>
          </w:tcPr>
          <w:p>
            <w:pPr>
              <w:pStyle w:val="TableContents"/>
              <w:bidi w:val="0"/>
              <w:spacing w:before="0" w:after="283"/>
              <w:jc w:val="right"/>
              <w:rPr/>
            </w:pPr>
            <w:r>
              <w:rPr/>
              <w:t>90,246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89"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12,872</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3,787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33" w:type="dxa"/>
            <w:tcBorders/>
            <w:tcMar>
              <w:bottom w:w="0" w:type="dxa"/>
            </w:tcMar>
            <w:vAlign w:val="center"/>
          </w:tcPr>
          <w:p>
            <w:pPr>
              <w:pStyle w:val="TableContents"/>
              <w:bidi w:val="0"/>
              <w:spacing w:before="0" w:after="283"/>
              <w:jc w:val="right"/>
              <w:rPr/>
            </w:pPr>
            <w:r>
              <w:rPr/>
              <w:t>39,099</w:t>
            </w:r>
          </w:p>
        </w:tc>
        <w:tc>
          <w:tcPr>
            <w:tcW w:w="13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column “Other” includes costs related to head office and group services as well as certain effects not directly attributable to the operating segments.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expense in “Other” is mainly due to the share listing expense amounting to €71,631 thousand as well as other cost associated with the listing (€ 1,765 thousand), legal and consulting (€3,607 thousand) as well as general and administration costs (€3,250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from total Segment Adjusted EBITDA to income (loss) for the period according to IFRS: </w:t>
      </w:r>
    </w:p>
    <w:tbl>
      <w:tblPr>
        <w:tblW w:w="8764" w:type="dxa"/>
        <w:jc w:val="left"/>
        <w:tblInd w:w="1393" w:type="dxa"/>
        <w:tblLayout w:type="fixed"/>
        <w:tblCellMar>
          <w:top w:w="0" w:type="dxa"/>
          <w:left w:w="0" w:type="dxa"/>
          <w:bottom w:w="50" w:type="dxa"/>
          <w:right w:w="0" w:type="dxa"/>
        </w:tblCellMar>
      </w:tblPr>
      <w:tblGrid>
        <w:gridCol w:w="4347"/>
        <w:gridCol w:w="109"/>
        <w:gridCol w:w="109"/>
        <w:gridCol w:w="109"/>
        <w:gridCol w:w="109"/>
        <w:gridCol w:w="916"/>
        <w:gridCol w:w="109"/>
        <w:gridCol w:w="109"/>
        <w:gridCol w:w="109"/>
        <w:gridCol w:w="109"/>
        <w:gridCol w:w="109"/>
        <w:gridCol w:w="916"/>
        <w:gridCol w:w="109"/>
        <w:gridCol w:w="109"/>
        <w:gridCol w:w="109"/>
        <w:gridCol w:w="109"/>
        <w:gridCol w:w="109"/>
        <w:gridCol w:w="796"/>
        <w:gridCol w:w="109"/>
        <w:gridCol w:w="154"/>
      </w:tblGrid>
      <w:tr>
        <w:trPr/>
        <w:tc>
          <w:tcPr>
            <w:tcW w:w="43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(74,457)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7"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37,953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can be split into the following geographical areas: </w:t>
      </w:r>
    </w:p>
    <w:tbl>
      <w:tblPr>
        <w:tblW w:w="6532"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EMEA w/o 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revenues are presented based on the location of the customer receiving the service or goods. In 2025, no customer had a revenue share of more 10% individually of the total revenues.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customers in 2024 with a revenue share of more than 10% individually of the total revenues. The revenue with the first customer amounts to €7,866 thousand (2023: €17,649 thousand), €6,500 thousand for the second customer (2023: €16,361 thousand) and €6,232 thousand for the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7FCW"/>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(2023: €12,280 thousand). Revenue for these three customers is recognized within both the “Technical equipment and processes” and “Spare parts and services” operating segments.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Non-current assets are distributed among geographical areas as follows: </w:t>
      </w:r>
    </w:p>
    <w:tbl>
      <w:tblPr>
        <w:tblW w:w="4472" w:type="dxa"/>
        <w:jc w:val="left"/>
        <w:tblInd w:w="1393" w:type="dxa"/>
        <w:tblLayout w:type="fixed"/>
        <w:tblCellMar>
          <w:top w:w="0" w:type="dxa"/>
          <w:left w:w="0" w:type="dxa"/>
          <w:bottom w:w="50" w:type="dxa"/>
          <w:right w:w="0" w:type="dxa"/>
        </w:tblCellMar>
      </w:tblPr>
      <w:tblGrid>
        <w:gridCol w:w="1426"/>
        <w:gridCol w:w="109"/>
        <w:gridCol w:w="109"/>
        <w:gridCol w:w="122"/>
        <w:gridCol w:w="122"/>
        <w:gridCol w:w="862"/>
        <w:gridCol w:w="122"/>
        <w:gridCol w:w="109"/>
        <w:gridCol w:w="109"/>
        <w:gridCol w:w="122"/>
        <w:gridCol w:w="122"/>
        <w:gridCol w:w="862"/>
        <w:gridCol w:w="122"/>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25,833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966</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1,741</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460</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29,495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28,034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non-current assets include property, plant and equipment as well as intangible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REVENUE FROM CONTRACTS WITH CUSTOMERS AND COST OF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split of SCHMID revenues according to types of sales categories is as follows: </w:t>
      </w:r>
    </w:p>
    <w:tbl>
      <w:tblPr>
        <w:tblW w:w="7882" w:type="dxa"/>
        <w:jc w:val="left"/>
        <w:tblInd w:w="1393" w:type="dxa"/>
        <w:tblLayout w:type="fixed"/>
        <w:tblCellMar>
          <w:top w:w="0" w:type="dxa"/>
          <w:left w:w="0" w:type="dxa"/>
          <w:bottom w:w="50" w:type="dxa"/>
          <w:right w:w="0" w:type="dxa"/>
        </w:tblCellMar>
      </w:tblPr>
      <w:tblGrid>
        <w:gridCol w:w="379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379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0"/>
              <w:jc w:val="left"/>
              <w:rPr/>
            </w:pPr>
            <w:r>
              <w:rPr>
                <w:spacing w:val="4"/>
              </w:rPr>
              <w:t>Technical equipment and processes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tcMar>
              <w:bottom w:w="0" w:type="dxa"/>
            </w:tcMar>
            <w:vAlign w:val="center"/>
          </w:tcPr>
          <w:p>
            <w:pPr>
              <w:pStyle w:val="TableContents"/>
              <w:bidi w:val="0"/>
              <w:spacing w:before="0" w:after="0"/>
              <w:jc w:val="left"/>
              <w:rPr>
                <w:spacing w:val="4"/>
              </w:rPr>
            </w:pPr>
            <w:r>
              <w:rPr>
                <w:spacing w:val="4"/>
              </w:rPr>
              <w:t xml:space="preserve">Spare Parts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283"/>
              <w:jc w:val="left"/>
              <w:rPr/>
            </w:pPr>
            <w:r>
              <w:rPr>
                <w:spacing w:val="4"/>
              </w:rPr>
              <w:t>Service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bottom w:val="single" w:sz="2" w:space="0" w:color="FFFFFF"/>
            </w:tcBorders>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615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1,189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“Technical equipment and processes” category is revenue from the sale and installation of machines, long-term development and extended warranties. </w:t>
      </w:r>
      <w:r>
        <mc:AlternateContent>
          <mc:Choice Requires="wps">
            <w:drawing>
              <wp:anchor behindDoc="0" distT="102870" distB="0" distL="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“Services” category is revenue from repair services, installations of modifications and inspections. </w:t>
      </w:r>
      <w:r>
        <mc:AlternateContent>
          <mc:Choice Requires="wps">
            <w:drawing>
              <wp:anchor behindDoc="0" distT="52070" distB="0" distL="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contract liabilities for years ended December 31, 2025 and 2024 are as follows: </w:t>
      </w:r>
    </w:p>
    <w:tbl>
      <w:tblPr>
        <w:tblW w:w="8812" w:type="dxa"/>
        <w:jc w:val="left"/>
        <w:tblInd w:w="1393" w:type="dxa"/>
        <w:tblLayout w:type="fixed"/>
        <w:tblCellMar>
          <w:top w:w="0" w:type="dxa"/>
          <w:left w:w="0" w:type="dxa"/>
          <w:bottom w:w="50" w:type="dxa"/>
          <w:right w:w="0" w:type="dxa"/>
        </w:tblCellMar>
      </w:tblPr>
      <w:tblGrid>
        <w:gridCol w:w="5782"/>
        <w:gridCol w:w="109"/>
        <w:gridCol w:w="109"/>
        <w:gridCol w:w="109"/>
        <w:gridCol w:w="109"/>
        <w:gridCol w:w="892"/>
        <w:gridCol w:w="109"/>
        <w:gridCol w:w="109"/>
        <w:gridCol w:w="109"/>
        <w:gridCol w:w="109"/>
        <w:gridCol w:w="109"/>
        <w:gridCol w:w="892"/>
        <w:gridCol w:w="109"/>
        <w:gridCol w:w="156"/>
      </w:tblGrid>
      <w:tr>
        <w:trPr/>
        <w:tc>
          <w:tcPr>
            <w:tcW w:w="578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82" w:type="dxa"/>
            <w:tcBorders/>
            <w:shd w:fill="CCEEFF" w:val="clear"/>
            <w:tcMar>
              <w:bottom w:w="0" w:type="dxa"/>
            </w:tcMar>
            <w:vAlign w:val="center"/>
          </w:tcPr>
          <w:p>
            <w:pPr>
              <w:pStyle w:val="TableContents"/>
              <w:bidi w:val="0"/>
              <w:spacing w:before="0" w:after="0"/>
              <w:jc w:val="left"/>
              <w:rPr/>
            </w:pPr>
            <w:r>
              <w:rPr>
                <w:spacing w:val="-4"/>
              </w:rPr>
              <w:t>Balance at January 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17,931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2" w:type="dxa"/>
            <w:tcBorders/>
            <w:tcMar>
              <w:bottom w:w="0" w:type="dxa"/>
            </w:tcMar>
            <w:vAlign w:val="center"/>
          </w:tcPr>
          <w:p>
            <w:pPr>
              <w:pStyle w:val="TableContents"/>
              <w:bidi w:val="0"/>
              <w:spacing w:before="0" w:after="0"/>
              <w:jc w:val="left"/>
              <w:rPr>
                <w:spacing w:val="4"/>
              </w:rPr>
            </w:pPr>
            <w:r>
              <w:rPr>
                <w:spacing w:val="4"/>
              </w:rPr>
              <w:t xml:space="preserve">Sales revenues included in contractual liabilities at the beginning of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(11,153)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(17,769)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Increase due to customer payments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13,425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11,121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82" w:type="dxa"/>
            <w:tcBorders>
              <w:bottom w:val="single" w:sz="2" w:space="0" w:color="FFFFFF"/>
            </w:tcBorders>
            <w:vAlign w:val="center"/>
          </w:tcPr>
          <w:p>
            <w:pPr>
              <w:pStyle w:val="TableContents"/>
              <w:bidi w:val="0"/>
              <w:spacing w:before="0" w:after="0"/>
              <w:jc w:val="left"/>
              <w:rPr/>
            </w:pPr>
            <w:r>
              <w:rPr>
                <w:spacing w:val="-4"/>
              </w:rPr>
              <w:t>Balance at December 31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13,555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11,284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the Order Backlog for the machine sales amounts to €50,886 thousand (December 31, 2024: €27,713 thousand,December 31, 2023: €48,651 thousand). All order backlog is expected to be realized within 12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8SEX"/>
      <w:bookmarkEnd w:id="59"/>
      <w:r>
        <w:rPr>
          <w:rFonts w:ascii="calibri;arial;sans-serif" w:hAnsi="calibri;arial;sans-serif"/>
          <w:b w:val="false"/>
          <w:i w:val="false"/>
          <w:caps w:val="false"/>
          <w:smallCaps w:val="false"/>
          <w:color w:val="000000"/>
          <w:sz w:val="16"/>
        </w:rPr>
        <w:t>​</w:t>
      </w:r>
      <w:bookmarkStart w:id="60" w:name="t9AE"/>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9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Order Backlog represents the goods or services contractually committed by customers but not delivered/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provided as of the date of the statement of financial position.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cost of sales include the following cost types: </w:t>
      </w:r>
    </w:p>
    <w:tbl>
      <w:tblPr>
        <w:tblW w:w="7251" w:type="dxa"/>
        <w:jc w:val="left"/>
        <w:tblInd w:w="1393" w:type="dxa"/>
        <w:tblLayout w:type="fixed"/>
        <w:tblCellMar>
          <w:top w:w="0" w:type="dxa"/>
          <w:left w:w="0" w:type="dxa"/>
          <w:bottom w:w="50" w:type="dxa"/>
          <w:right w:w="0" w:type="dxa"/>
        </w:tblCellMar>
      </w:tblPr>
      <w:tblGrid>
        <w:gridCol w:w="2714"/>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271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(17,983)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Material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(24,911)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(21,821)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(35,767)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(4,217)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(6,488)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jc w:val="left"/>
              <w:rPr/>
            </w:pPr>
            <w:r>
              <w:rPr>
                <w:spacing w:val="-4"/>
              </w:rPr>
              <w:t>Total cost of sales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(50,928)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(48,791)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(63,849)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a variety of positions such as cost for outward freight, production-related short-term leases and facility costs.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SELLING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consist of the following: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Sales Commission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Distribution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(1,537)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Advertisement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(1,021)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selling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(11,999)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(12,895)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(12,577)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Distribution-related external administration comprises costs including utilities, insurance, travel expenses or expenses for short-term leases. Other expenses include mainly depreciation.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Commission expenses in 2024 include €900 thousand compensation from a settlement agreement with a former sales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GENERAL ADMINISTRATION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administrative expenses consist of the following: </w:t>
      </w:r>
    </w:p>
    <w:tbl>
      <w:tblPr>
        <w:tblW w:w="7916" w:type="dxa"/>
        <w:jc w:val="left"/>
        <w:tblInd w:w="1393" w:type="dxa"/>
        <w:tblLayout w:type="fixed"/>
        <w:tblCellMar>
          <w:top w:w="0" w:type="dxa"/>
          <w:left w:w="0" w:type="dxa"/>
          <w:bottom w:w="50" w:type="dxa"/>
          <w:right w:w="0" w:type="dxa"/>
        </w:tblCellMar>
      </w:tblPr>
      <w:tblGrid>
        <w:gridCol w:w="337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337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(4,401)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External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bottom w:val="single" w:sz="2" w:space="0" w:color="FFFFFF"/>
            </w:tcBorders>
            <w:vAlign w:val="center"/>
          </w:tcPr>
          <w:p>
            <w:pPr>
              <w:pStyle w:val="TableContents"/>
              <w:bidi w:val="0"/>
              <w:spacing w:before="0" w:after="0"/>
              <w:jc w:val="left"/>
              <w:rPr>
                <w:spacing w:val="4"/>
              </w:rPr>
            </w:pPr>
            <w:r>
              <w:rPr>
                <w:spacing w:val="4"/>
              </w:rPr>
              <w:t xml:space="preserve">Other administrative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(1,229)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bottom w:val="single" w:sz="2" w:space="0" w:color="CCEEFF"/>
            </w:tcBorders>
            <w:shd w:fill="CCEEFF" w:val="clear"/>
            <w:vAlign w:val="center"/>
          </w:tcPr>
          <w:p>
            <w:pPr>
              <w:pStyle w:val="TableContents"/>
              <w:bidi w:val="0"/>
              <w:spacing w:before="0" w:after="0"/>
              <w:jc w:val="left"/>
              <w:rPr/>
            </w:pPr>
            <w:r>
              <w:rPr>
                <w:spacing w:val="-4"/>
              </w:rPr>
              <w:t>Total administrative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(11,404)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(11,792)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(12,538)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1ADE"/>
      <w:bookmarkEnd w:id="61"/>
      <w:r>
        <w:rPr>
          <w:rFonts w:ascii="calibri;arial;sans-serif" w:hAnsi="calibri;arial;sans-serif"/>
          <w:b w:val="false"/>
          <w:i w:val="false"/>
          <w:caps w:val="false"/>
          <w:smallCaps w:val="false"/>
          <w:color w:val="000000"/>
          <w:sz w:val="16"/>
        </w:rPr>
        <w:t>​</w:t>
      </w:r>
      <w:bookmarkStart w:id="62" w:name="t11IN"/>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RESEARCH AND DEVELOPMENT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expenses that do not fulfill the recognition criteria according to IAS 38 consist of the following: </w:t>
      </w:r>
    </w:p>
    <w:tbl>
      <w:tblPr>
        <w:tblW w:w="8453" w:type="dxa"/>
        <w:jc w:val="left"/>
        <w:tblInd w:w="1393" w:type="dxa"/>
        <w:tblLayout w:type="fixed"/>
        <w:tblCellMar>
          <w:top w:w="0" w:type="dxa"/>
          <w:left w:w="0" w:type="dxa"/>
          <w:bottom w:w="50" w:type="dxa"/>
          <w:right w:w="0" w:type="dxa"/>
        </w:tblCellMar>
      </w:tblPr>
      <w:tblGrid>
        <w:gridCol w:w="4276"/>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42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R&amp;D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research and development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76" w:type="dxa"/>
            <w:tcBorders>
              <w:bottom w:val="single" w:sz="2" w:space="0" w:color="FFFFFF"/>
            </w:tcBorders>
            <w:vAlign w:val="center"/>
          </w:tcPr>
          <w:p>
            <w:pPr>
              <w:pStyle w:val="TableContents"/>
              <w:bidi w:val="0"/>
              <w:spacing w:before="0" w:after="0"/>
              <w:jc w:val="left"/>
              <w:rPr/>
            </w:pPr>
            <w:r>
              <w:rPr>
                <w:spacing w:val="-4"/>
              </w:rPr>
              <w:t>Total research and development expenses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(2,781)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(3,974)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(5,148)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related external administration comprises allocated costs such as utilities, insurance, travel expenses or expenses for short-term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OTHER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consists of the following: </w:t>
      </w:r>
    </w:p>
    <w:tbl>
      <w:tblPr>
        <w:tblW w:w="7003" w:type="dxa"/>
        <w:jc w:val="left"/>
        <w:tblInd w:w="1393" w:type="dxa"/>
        <w:tblLayout w:type="fixed"/>
        <w:tblCellMar>
          <w:top w:w="0" w:type="dxa"/>
          <w:left w:w="0" w:type="dxa"/>
          <w:bottom w:w="50" w:type="dxa"/>
          <w:right w:w="0" w:type="dxa"/>
        </w:tblCellMar>
      </w:tblPr>
      <w:tblGrid>
        <w:gridCol w:w="3036"/>
        <w:gridCol w:w="109"/>
        <w:gridCol w:w="109"/>
        <w:gridCol w:w="109"/>
        <w:gridCol w:w="109"/>
        <w:gridCol w:w="766"/>
        <w:gridCol w:w="109"/>
        <w:gridCol w:w="109"/>
        <w:gridCol w:w="109"/>
        <w:gridCol w:w="109"/>
        <w:gridCol w:w="109"/>
        <w:gridCol w:w="646"/>
        <w:gridCol w:w="109"/>
        <w:gridCol w:w="109"/>
        <w:gridCol w:w="109"/>
        <w:gridCol w:w="109"/>
        <w:gridCol w:w="109"/>
        <w:gridCol w:w="766"/>
        <w:gridCol w:w="109"/>
        <w:gridCol w:w="154"/>
      </w:tblGrid>
      <w:tr>
        <w:trPr/>
        <w:tc>
          <w:tcPr>
            <w:tcW w:w="30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Income from SES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Other miscellaneous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gains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bottom w:val="single" w:sz="2" w:space="0" w:color="FFFFFF"/>
            </w:tcBorders>
            <w:vAlign w:val="center"/>
          </w:tcPr>
          <w:p>
            <w:pPr>
              <w:pStyle w:val="TableContents"/>
              <w:bidi w:val="0"/>
              <w:spacing w:before="0" w:after="0"/>
              <w:jc w:val="left"/>
              <w:rPr>
                <w:spacing w:val="4"/>
              </w:rPr>
            </w:pPr>
            <w:r>
              <w:rPr>
                <w:spacing w:val="4"/>
              </w:rPr>
              <w:t xml:space="preserve">Bonus payments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9,200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vAlign w:val="center"/>
          </w:tcPr>
          <w:p>
            <w:pPr>
              <w:pStyle w:val="TableContents"/>
              <w:bidi w:val="0"/>
              <w:spacing w:before="0" w:after="0"/>
              <w:jc w:val="left"/>
              <w:rPr/>
            </w:pPr>
            <w:r>
              <w:rPr>
                <w:spacing w:val="-4"/>
              </w:rPr>
              <w:t>Total other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12,217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9,018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15,985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currency gains for the financial year ended December 31, 2025 are mainly related to USD denominated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2024, SCHMID acquired the remaining shares in the former at-equity participation SES. The majority of the shares have been transferred to a third-party investor in 2024 resulting in a gain of €3,703 thousand. For further detail refer to note 35. Equity method investments.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Silicon Group was a related party of SCHMID and controlled by Christian Schmid (hereinafter referred to as “CS”), one of the owners of SCHMID. The proceeds from the sale of the Silicon Group were, among other things, used to repay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12EX"/>
      <w:bookmarkEnd w:id="63"/>
      <w:r>
        <w:rPr>
          <w:rFonts w:ascii="calibri;arial;sans-serif" w:hAnsi="calibri;arial;sans-serif"/>
          <w:b w:val="false"/>
          <w:i w:val="false"/>
          <w:caps w:val="false"/>
          <w:smallCaps w:val="false"/>
          <w:color w:val="000000"/>
          <w:sz w:val="16"/>
        </w:rPr>
        <w:t>​</w:t>
      </w:r>
      <w:bookmarkStart w:id="64" w:name="t1LE"/>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 loan between CS and SCHMID. The proceeds from the shareholder loan were used to repay certain borrowings of SCHMID.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receivables from the Silicon Group which had been impaired in 2017 by SCHMID became recoverable as a result of the SPA resulting in an impairment reversal of €21,375 thousand.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part of the SPA, certain liabilities of the Silicon Group due to SCHMID were settled with the transfer of shares of Group14 to SCHMID valued at €17,664 thousand.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CS repaid the shareholder loan to SCHMID with a total cash amount of €70,000 thousand.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credit loss of €1,418 thousand was therefore reversed.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OTHER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consist of the following: </w:t>
      </w:r>
    </w:p>
    <w:tbl>
      <w:tblPr>
        <w:tblW w:w="6703" w:type="dxa"/>
        <w:jc w:val="left"/>
        <w:tblInd w:w="1393" w:type="dxa"/>
        <w:tblLayout w:type="fixed"/>
        <w:tblCellMar>
          <w:top w:w="0" w:type="dxa"/>
          <w:left w:w="0" w:type="dxa"/>
          <w:bottom w:w="50" w:type="dxa"/>
          <w:right w:w="0" w:type="dxa"/>
        </w:tblCellMar>
      </w:tblPr>
      <w:tblGrid>
        <w:gridCol w:w="2706"/>
        <w:gridCol w:w="109"/>
        <w:gridCol w:w="109"/>
        <w:gridCol w:w="109"/>
        <w:gridCol w:w="109"/>
        <w:gridCol w:w="616"/>
        <w:gridCol w:w="109"/>
        <w:gridCol w:w="109"/>
        <w:gridCol w:w="109"/>
        <w:gridCol w:w="109"/>
        <w:gridCol w:w="109"/>
        <w:gridCol w:w="796"/>
        <w:gridCol w:w="109"/>
        <w:gridCol w:w="109"/>
        <w:gridCol w:w="109"/>
        <w:gridCol w:w="109"/>
        <w:gridCol w:w="109"/>
        <w:gridCol w:w="796"/>
        <w:gridCol w:w="109"/>
        <w:gridCol w:w="154"/>
      </w:tblGrid>
      <w:tr>
        <w:trPr/>
        <w:tc>
          <w:tcPr>
            <w:tcW w:w="270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tcMar>
              <w:bottom w:w="0" w:type="dxa"/>
            </w:tcMar>
            <w:vAlign w:val="center"/>
          </w:tcPr>
          <w:p>
            <w:pPr>
              <w:pStyle w:val="TableContents"/>
              <w:bidi w:val="0"/>
              <w:spacing w:before="0" w:after="0"/>
              <w:jc w:val="left"/>
              <w:rPr>
                <w:spacing w:val="4"/>
              </w:rPr>
            </w:pPr>
            <w:r>
              <w:rPr>
                <w:spacing w:val="4"/>
              </w:rPr>
              <w:t xml:space="preserve">Other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Loss on disposal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0"/>
              <w:jc w:val="left"/>
              <w:rPr>
                <w:spacing w:val="4"/>
              </w:rPr>
            </w:pPr>
            <w:r>
              <w:rPr>
                <w:spacing w:val="4"/>
              </w:rPr>
              <w:t xml:space="preserve">Miscellaneous other items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1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(87)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bottom w:val="single" w:sz="2" w:space="0" w:color="CCEEFF"/>
            </w:tcBorders>
            <w:shd w:fill="CCEEFF" w:val="clear"/>
            <w:vAlign w:val="center"/>
          </w:tcPr>
          <w:p>
            <w:pPr>
              <w:pStyle w:val="TableContents"/>
              <w:bidi w:val="0"/>
              <w:spacing w:before="0" w:after="0"/>
              <w:jc w:val="left"/>
              <w:rPr/>
            </w:pPr>
            <w:r>
              <w:rPr>
                <w:spacing w:val="-4"/>
              </w:rPr>
              <w:t>Total other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16" w:type="dxa"/>
            <w:tcBorders>
              <w:bottom w:val="single" w:sz="2" w:space="0" w:color="000000"/>
            </w:tcBorders>
            <w:shd w:fill="CCEEFF" w:val="clear"/>
            <w:vAlign w:val="center"/>
          </w:tcPr>
          <w:p>
            <w:pPr>
              <w:pStyle w:val="TableContents"/>
              <w:bidi w:val="0"/>
              <w:spacing w:before="0" w:after="283"/>
              <w:jc w:val="right"/>
              <w:rPr/>
            </w:pPr>
            <w:r>
              <w:rPr/>
              <w:t>(607)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(2,564)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(2,620)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SHARE LISTING EXPENSE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1ROF"/>
      <w:bookmarkEnd w:id="65"/>
      <w:r>
        <w:rPr>
          <w:rFonts w:ascii="calibri;arial;sans-serif" w:hAnsi="calibri;arial;sans-serif"/>
          <w:b w:val="false"/>
          <w:i w:val="false"/>
          <w:caps w:val="false"/>
          <w:smallCaps w:val="false"/>
          <w:color w:val="000000"/>
          <w:sz w:val="16"/>
        </w:rPr>
        <w:t>​</w:t>
      </w:r>
      <w:bookmarkStart w:id="66" w:name="t15RE"/>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contributed, represents a non-cash expense in accordance with IFRS 2. This one-time expense as a result of the Pegasus Merger, in the amount of €71.6 million, is recognized as Share listing expense within the Consolidated Statement of Profit or Loss. Details of the calculation of the Share listing expense are as follows: </w:t>
      </w:r>
    </w:p>
    <w:tbl>
      <w:tblPr>
        <w:tblW w:w="8812" w:type="dxa"/>
        <w:jc w:val="left"/>
        <w:tblInd w:w="1393" w:type="dxa"/>
        <w:tblLayout w:type="fixed"/>
        <w:tblCellMar>
          <w:top w:w="0" w:type="dxa"/>
          <w:left w:w="0" w:type="dxa"/>
          <w:bottom w:w="50" w:type="dxa"/>
          <w:right w:w="0" w:type="dxa"/>
        </w:tblCellMar>
      </w:tblPr>
      <w:tblGrid>
        <w:gridCol w:w="6754"/>
        <w:gridCol w:w="109"/>
        <w:gridCol w:w="109"/>
        <w:gridCol w:w="344"/>
        <w:gridCol w:w="109"/>
        <w:gridCol w:w="109"/>
        <w:gridCol w:w="109"/>
        <w:gridCol w:w="109"/>
        <w:gridCol w:w="795"/>
        <w:gridCol w:w="109"/>
        <w:gridCol w:w="156"/>
      </w:tblGrid>
      <w:tr>
        <w:trPr/>
        <w:tc>
          <w:tcPr>
            <w:tcW w:w="675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Shares to be issued by TopCo to Pegasus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tcMar>
              <w:bottom w:w="0" w:type="dxa"/>
            </w:tcMar>
            <w:vAlign w:val="center"/>
          </w:tcPr>
          <w:p>
            <w:pPr>
              <w:pStyle w:val="TableContents"/>
              <w:bidi w:val="0"/>
              <w:spacing w:before="0" w:after="0"/>
              <w:jc w:val="left"/>
              <w:rPr>
                <w:spacing w:val="4"/>
              </w:rPr>
            </w:pPr>
            <w:r>
              <w:rPr>
                <w:spacing w:val="4"/>
              </w:rPr>
              <w:t xml:space="preserve">Pegasus closing price as of April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r>
              <w:rPr/>
              <w:t>9.61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Fair value of shares deemed issued (AxB)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68.106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bottom w:val="single" w:sz="2" w:space="0" w:color="FFFFFF"/>
            </w:tcBorders>
            <w:vAlign w:val="center"/>
          </w:tcPr>
          <w:p>
            <w:pPr>
              <w:pStyle w:val="TableContents"/>
              <w:bidi w:val="0"/>
              <w:spacing w:before="0" w:after="0"/>
              <w:jc w:val="left"/>
              <w:rPr>
                <w:spacing w:val="4"/>
              </w:rPr>
            </w:pPr>
            <w:r>
              <w:rPr>
                <w:spacing w:val="4"/>
              </w:rPr>
              <w:t xml:space="preserve">Pegasus net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vAlign w:val="center"/>
          </w:tcPr>
          <w:p>
            <w:pPr>
              <w:pStyle w:val="TableContents"/>
              <w:bidi w:val="0"/>
              <w:spacing w:before="0" w:after="0"/>
              <w:jc w:val="center"/>
              <w:rPr>
                <w:spacing w:val="4"/>
              </w:rPr>
            </w:pPr>
            <w:r>
              <w:rPr>
                <w:spacing w:val="4"/>
              </w:rPr>
              <w:t xml:space="preserv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5" w:type="dxa"/>
            <w:tcBorders>
              <w:bottom w:val="single" w:sz="2" w:space="0" w:color="000000"/>
            </w:tcBorders>
            <w:vAlign w:val="center"/>
          </w:tcPr>
          <w:p>
            <w:pPr>
              <w:pStyle w:val="TableContents"/>
              <w:bidi w:val="0"/>
              <w:spacing w:before="0" w:after="283"/>
              <w:jc w:val="right"/>
              <w:rPr/>
            </w:pPr>
            <w:r>
              <w:rPr/>
              <w:t>(3,529)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bottom w:val="single" w:sz="2" w:space="0" w:color="CCEEFF"/>
            </w:tcBorders>
            <w:shd w:fill="CCEEFF" w:val="clear"/>
            <w:vAlign w:val="center"/>
          </w:tcPr>
          <w:p>
            <w:pPr>
              <w:pStyle w:val="TableContents"/>
              <w:bidi w:val="0"/>
              <w:spacing w:before="0" w:after="0"/>
              <w:jc w:val="left"/>
              <w:rPr/>
            </w:pPr>
            <w:r>
              <w:rPr>
                <w:spacing w:val="-4"/>
              </w:rPr>
              <w:t>Excess of Fair value of shares over Pegasus’s net assets acquired (C – 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71,630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IMPAIRMENT REVERSAL OF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Reversals of impairments of financial assets includes the following amounts: </w:t>
      </w:r>
    </w:p>
    <w:tbl>
      <w:tblPr>
        <w:tblW w:w="8812" w:type="dxa"/>
        <w:jc w:val="left"/>
        <w:tblInd w:w="1393" w:type="dxa"/>
        <w:tblLayout w:type="fixed"/>
        <w:tblCellMar>
          <w:top w:w="0" w:type="dxa"/>
          <w:left w:w="0" w:type="dxa"/>
          <w:bottom w:w="50" w:type="dxa"/>
          <w:right w:w="0" w:type="dxa"/>
        </w:tblCellMar>
      </w:tblPr>
      <w:tblGrid>
        <w:gridCol w:w="5565"/>
        <w:gridCol w:w="109"/>
        <w:gridCol w:w="109"/>
        <w:gridCol w:w="109"/>
        <w:gridCol w:w="109"/>
        <w:gridCol w:w="346"/>
        <w:gridCol w:w="109"/>
        <w:gridCol w:w="109"/>
        <w:gridCol w:w="109"/>
        <w:gridCol w:w="109"/>
        <w:gridCol w:w="109"/>
        <w:gridCol w:w="346"/>
        <w:gridCol w:w="109"/>
        <w:gridCol w:w="109"/>
        <w:gridCol w:w="109"/>
        <w:gridCol w:w="109"/>
        <w:gridCol w:w="109"/>
        <w:gridCol w:w="766"/>
        <w:gridCol w:w="109"/>
        <w:gridCol w:w="154"/>
      </w:tblGrid>
      <w:tr>
        <w:trPr/>
        <w:tc>
          <w:tcPr>
            <w:tcW w:w="556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565"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receivables from the Silicon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65" w:type="dxa"/>
            <w:tcBorders/>
            <w:tcMar>
              <w:bottom w:w="0" w:type="dxa"/>
            </w:tcMar>
            <w:vAlign w:val="center"/>
          </w:tcPr>
          <w:p>
            <w:pPr>
              <w:pStyle w:val="TableContents"/>
              <w:bidi w:val="0"/>
              <w:spacing w:before="0" w:after="0"/>
              <w:ind w:left="200" w:right="0" w:hanging="200"/>
              <w:jc w:val="left"/>
              <w:rPr>
                <w:spacing w:val="4"/>
              </w:rPr>
            </w:pPr>
            <w:r>
              <w:rPr>
                <w:spacing w:val="4"/>
              </w:rPr>
              <w:t xml:space="preserve">Reversal of impairment of shareholder loan (included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565"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FINANCIAL RESULT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result includes the following: </w:t>
      </w:r>
    </w:p>
    <w:tbl>
      <w:tblPr>
        <w:tblW w:w="8812" w:type="dxa"/>
        <w:jc w:val="left"/>
        <w:tblInd w:w="1393" w:type="dxa"/>
        <w:tblLayout w:type="fixed"/>
        <w:tblCellMar>
          <w:top w:w="0" w:type="dxa"/>
          <w:left w:w="0" w:type="dxa"/>
          <w:bottom w:w="50" w:type="dxa"/>
          <w:right w:w="0" w:type="dxa"/>
        </w:tblCellMar>
      </w:tblPr>
      <w:tblGrid>
        <w:gridCol w:w="4459"/>
        <w:gridCol w:w="109"/>
        <w:gridCol w:w="109"/>
        <w:gridCol w:w="109"/>
        <w:gridCol w:w="109"/>
        <w:gridCol w:w="894"/>
        <w:gridCol w:w="109"/>
        <w:gridCol w:w="109"/>
        <w:gridCol w:w="109"/>
        <w:gridCol w:w="109"/>
        <w:gridCol w:w="109"/>
        <w:gridCol w:w="774"/>
        <w:gridCol w:w="109"/>
        <w:gridCol w:w="109"/>
        <w:gridCol w:w="109"/>
        <w:gridCol w:w="109"/>
        <w:gridCol w:w="109"/>
        <w:gridCol w:w="894"/>
        <w:gridCol w:w="109"/>
        <w:gridCol w:w="156"/>
      </w:tblGrid>
      <w:tr>
        <w:trPr/>
        <w:tc>
          <w:tcPr>
            <w:tcW w:w="445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Finance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1,888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19,685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1,028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income and similar proceeds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gain from loan extinguishment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15,802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jc w:val="left"/>
              <w:rPr/>
            </w:pPr>
            <w:r>
              <w:rPr>
                <w:spacing w:val="-4"/>
              </w:rPr>
              <w:t>Finance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(72,244)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(5,712)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and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7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9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modification loss 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(34,337)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9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change in estimate XJ host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(8,451)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portion of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interest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(2,951)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(5,071)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(9,988)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(72,178)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(3,824)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9,594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1LIE"/>
      <w:bookmarkEnd w:id="67"/>
      <w:r>
        <w:rPr>
          <w:rFonts w:ascii="calibri;arial;sans-serif" w:hAnsi="calibri;arial;sans-serif"/>
          <w:b w:val="false"/>
          <w:i w:val="false"/>
          <w:caps w:val="false"/>
          <w:smallCaps w:val="false"/>
          <w:color w:val="000000"/>
          <w:sz w:val="16"/>
        </w:rPr>
        <w:t>​</w:t>
      </w:r>
      <w:bookmarkStart w:id="68" w:name="t17TA"/>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modification loss XJ Harbour Set-off agreement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includes in 2023 the interest received on loans, mainly the shareholder loan. For further information on the extinguishment,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expenses are mainly resulting from financial liabilities and are recognized based on the effective interest method and the additional payment for the debt fund during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PROFIT (LOSS) IN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2025 result from the share of loss from the equity method investee located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taxes recognized in the Consolidated Statement of Profit or Loss and Other Comprehensive Income are as follows: </w:t>
      </w:r>
    </w:p>
    <w:tbl>
      <w:tblPr>
        <w:tblW w:w="7872" w:type="dxa"/>
        <w:jc w:val="left"/>
        <w:tblInd w:w="1393" w:type="dxa"/>
        <w:tblLayout w:type="fixed"/>
        <w:tblCellMar>
          <w:top w:w="0" w:type="dxa"/>
          <w:left w:w="0" w:type="dxa"/>
          <w:bottom w:w="50" w:type="dxa"/>
          <w:right w:w="0" w:type="dxa"/>
        </w:tblCellMar>
      </w:tblPr>
      <w:tblGrid>
        <w:gridCol w:w="3845"/>
        <w:gridCol w:w="109"/>
        <w:gridCol w:w="109"/>
        <w:gridCol w:w="109"/>
        <w:gridCol w:w="109"/>
        <w:gridCol w:w="796"/>
        <w:gridCol w:w="109"/>
        <w:gridCol w:w="109"/>
        <w:gridCol w:w="109"/>
        <w:gridCol w:w="109"/>
        <w:gridCol w:w="109"/>
        <w:gridCol w:w="646"/>
        <w:gridCol w:w="109"/>
        <w:gridCol w:w="109"/>
        <w:gridCol w:w="109"/>
        <w:gridCol w:w="109"/>
        <w:gridCol w:w="109"/>
        <w:gridCol w:w="796"/>
        <w:gridCol w:w="109"/>
        <w:gridCol w:w="154"/>
      </w:tblGrid>
      <w:tr>
        <w:trPr/>
        <w:tc>
          <w:tcPr>
            <w:tcW w:w="38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Current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prior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Deferred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from temporary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thereof from tax loss carryforwards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3,144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45" w:type="dxa"/>
            <w:tcBorders>
              <w:bottom w:val="single" w:sz="2" w:space="0" w:color="FFFFFF"/>
            </w:tcBorders>
            <w:vAlign w:val="center"/>
          </w:tcPr>
          <w:p>
            <w:pPr>
              <w:pStyle w:val="TableContents"/>
              <w:bidi w:val="0"/>
              <w:spacing w:before="0" w:after="0"/>
              <w:jc w:val="left"/>
              <w:rPr/>
            </w:pPr>
            <w:r>
              <w:rPr>
                <w:spacing w:val="-4"/>
              </w:rPr>
              <w:t>Total income tax (expense) /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reconciliation of expected income taxes and reported effective income taxes. Expected income taxes were determined by multiplying consolidated profit before tax by SCHMID’s applicable income tax rate: </w:t>
      </w:r>
    </w:p>
    <w:tbl>
      <w:tblPr>
        <w:tblW w:w="8812" w:type="dxa"/>
        <w:jc w:val="left"/>
        <w:tblInd w:w="1393" w:type="dxa"/>
        <w:tblLayout w:type="fixed"/>
        <w:tblCellMar>
          <w:top w:w="0" w:type="dxa"/>
          <w:left w:w="0" w:type="dxa"/>
          <w:bottom w:w="50" w:type="dxa"/>
          <w:right w:w="0" w:type="dxa"/>
        </w:tblCellMar>
      </w:tblPr>
      <w:tblGrid>
        <w:gridCol w:w="4317"/>
        <w:gridCol w:w="109"/>
        <w:gridCol w:w="109"/>
        <w:gridCol w:w="109"/>
        <w:gridCol w:w="109"/>
        <w:gridCol w:w="901"/>
        <w:gridCol w:w="109"/>
        <w:gridCol w:w="109"/>
        <w:gridCol w:w="109"/>
        <w:gridCol w:w="109"/>
        <w:gridCol w:w="109"/>
        <w:gridCol w:w="901"/>
        <w:gridCol w:w="109"/>
        <w:gridCol w:w="109"/>
        <w:gridCol w:w="109"/>
        <w:gridCol w:w="109"/>
        <w:gridCol w:w="109"/>
        <w:gridCol w:w="901"/>
        <w:gridCol w:w="109"/>
        <w:gridCol w:w="157"/>
      </w:tblGrid>
      <w:tr>
        <w:trPr/>
        <w:tc>
          <w:tcPr>
            <w:tcW w:w="43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Income (loss) before income taxes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(72,994)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(85,596)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40,732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Applicable income tax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Expected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24,930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Foreign tax rate differential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891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spacing w:val="4"/>
              </w:rPr>
            </w:pPr>
            <w:r>
              <w:rPr>
                <w:spacing w:val="4"/>
              </w:rPr>
              <w:t xml:space="preserve">Non-deductible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(14,173)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(19,503)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Tax-free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1,263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Change in valuation allowance from temporary differences and tax </w:t>
            </w:r>
            <w:r>
              <w:rPr/>
              <w:br/>
            </w:r>
            <w:r>
              <w:rPr>
                <w:spacing w:val="4"/>
              </w:rPr>
              <w:t xml:space="preserve">loss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Non-recognition or utilization of unrecognized 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34" w:type="dxa"/>
        <w:jc w:val="left"/>
        <w:tblInd w:w="1393" w:type="dxa"/>
        <w:tblLayout w:type="fixed"/>
        <w:tblCellMar>
          <w:top w:w="0" w:type="dxa"/>
          <w:left w:w="0" w:type="dxa"/>
          <w:bottom w:w="50" w:type="dxa"/>
          <w:right w:w="0" w:type="dxa"/>
        </w:tblCellMar>
      </w:tblPr>
      <w:tblGrid>
        <w:gridCol w:w="3807"/>
        <w:gridCol w:w="109"/>
        <w:gridCol w:w="109"/>
        <w:gridCol w:w="109"/>
        <w:gridCol w:w="109"/>
        <w:gridCol w:w="721"/>
        <w:gridCol w:w="109"/>
        <w:gridCol w:w="109"/>
        <w:gridCol w:w="109"/>
        <w:gridCol w:w="109"/>
        <w:gridCol w:w="109"/>
        <w:gridCol w:w="721"/>
        <w:gridCol w:w="109"/>
        <w:gridCol w:w="109"/>
        <w:gridCol w:w="109"/>
        <w:gridCol w:w="109"/>
        <w:gridCol w:w="109"/>
        <w:gridCol w:w="796"/>
        <w:gridCol w:w="109"/>
        <w:gridCol w:w="154"/>
      </w:tblGrid>
      <w:tr>
        <w:trPr/>
        <w:tc>
          <w:tcPr>
            <w:tcW w:w="380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reconciling items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(460)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07" w:type="dxa"/>
            <w:tcBorders>
              <w:bottom w:val="single" w:sz="2" w:space="0" w:color="FFFFFF"/>
            </w:tcBorders>
            <w:vAlign w:val="center"/>
          </w:tcPr>
          <w:p>
            <w:pPr>
              <w:pStyle w:val="TableContents"/>
              <w:bidi w:val="0"/>
              <w:spacing w:before="0" w:after="0"/>
              <w:jc w:val="left"/>
              <w:rPr/>
            </w:pPr>
            <w:r>
              <w:rPr>
                <w:spacing w:val="-4"/>
              </w:rPr>
              <w:t>Effective income tax (expense) / benefit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Effective tax rate in %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0.06%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1.74%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7834"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resulting from the tax rate change is related to the corporate income tax rate reduction in Germany.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deferred tax assets (“DTA”) and deferred tax liabilities (“DTL”) relate to the following line items of the Consolidated Statement of Financial Position are summarized below: </w:t>
      </w:r>
    </w:p>
    <w:tbl>
      <w:tblPr>
        <w:tblW w:w="8812" w:type="dxa"/>
        <w:jc w:val="left"/>
        <w:tblInd w:w="1393" w:type="dxa"/>
        <w:tblLayout w:type="fixed"/>
        <w:tblCellMar>
          <w:top w:w="0" w:type="dxa"/>
          <w:left w:w="0" w:type="dxa"/>
          <w:bottom w:w="28" w:type="dxa"/>
          <w:right w:w="0" w:type="dxa"/>
        </w:tblCellMar>
      </w:tblPr>
      <w:tblGrid>
        <w:gridCol w:w="3096"/>
        <w:gridCol w:w="109"/>
        <w:gridCol w:w="109"/>
        <w:gridCol w:w="109"/>
        <w:gridCol w:w="109"/>
        <w:gridCol w:w="776"/>
        <w:gridCol w:w="109"/>
        <w:gridCol w:w="109"/>
        <w:gridCol w:w="109"/>
        <w:gridCol w:w="109"/>
        <w:gridCol w:w="109"/>
        <w:gridCol w:w="868"/>
        <w:gridCol w:w="109"/>
        <w:gridCol w:w="109"/>
        <w:gridCol w:w="109"/>
        <w:gridCol w:w="109"/>
        <w:gridCol w:w="109"/>
        <w:gridCol w:w="868"/>
        <w:gridCol w:w="109"/>
        <w:gridCol w:w="109"/>
        <w:gridCol w:w="109"/>
        <w:gridCol w:w="109"/>
        <w:gridCol w:w="109"/>
        <w:gridCol w:w="868"/>
        <w:gridCol w:w="109"/>
        <w:gridCol w:w="156"/>
      </w:tblGrid>
      <w:tr>
        <w:trPr/>
        <w:tc>
          <w:tcPr>
            <w:tcW w:w="3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Property, plant and equipment including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1,558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(7,045)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1,893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(6,477)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current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2,129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2,660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Non-current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(129)</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1,947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2,411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provisions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(839)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(1,909)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2,977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(3,919)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2,836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(4,224)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Tax loss carryforwards (Other income tax)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Deferred taxes (before offsetting)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12,262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(11,910)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12,828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(11,662)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Offsetting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pPr>
            <w:r>
              <w:rPr>
                <w:spacing w:val="-4"/>
              </w:rPr>
              <w:t>Deferred taxes (after offsetting)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deferred taxes: </w:t>
      </w:r>
    </w:p>
    <w:tbl>
      <w:tblPr>
        <w:tblW w:w="6279" w:type="dxa"/>
        <w:jc w:val="left"/>
        <w:tblInd w:w="1393" w:type="dxa"/>
        <w:tblLayout w:type="fixed"/>
        <w:tblCellMar>
          <w:top w:w="0" w:type="dxa"/>
          <w:left w:w="0" w:type="dxa"/>
          <w:bottom w:w="50" w:type="dxa"/>
          <w:right w:w="0" w:type="dxa"/>
        </w:tblCellMar>
      </w:tblPr>
      <w:tblGrid>
        <w:gridCol w:w="4784"/>
        <w:gridCol w:w="109"/>
        <w:gridCol w:w="109"/>
        <w:gridCol w:w="109"/>
        <w:gridCol w:w="109"/>
        <w:gridCol w:w="796"/>
        <w:gridCol w:w="109"/>
        <w:gridCol w:w="154"/>
      </w:tblGrid>
      <w:tr>
        <w:trPr/>
        <w:tc>
          <w:tcPr>
            <w:tcW w:w="478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pPr>
            <w:r>
              <w:rPr>
                <w:spacing w:val="-4"/>
              </w:rPr>
              <w:t>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OCI movement of deferred taxes is entirely attributed to “Provisions for pensions” and the equity movement is mainly attributed to transaction costs (IAS 32.35).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deferred tax assets were recognized for the following tax attributes (gross): </w:t>
      </w:r>
    </w:p>
    <w:tbl>
      <w:tblPr>
        <w:tblW w:w="7893" w:type="dxa"/>
        <w:jc w:val="left"/>
        <w:tblInd w:w="1393" w:type="dxa"/>
        <w:tblLayout w:type="fixed"/>
        <w:tblCellMar>
          <w:top w:w="0" w:type="dxa"/>
          <w:left w:w="0" w:type="dxa"/>
          <w:bottom w:w="28" w:type="dxa"/>
          <w:right w:w="0" w:type="dxa"/>
        </w:tblCellMar>
      </w:tblPr>
      <w:tblGrid>
        <w:gridCol w:w="3566"/>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54"/>
      </w:tblGrid>
      <w:tr>
        <w:trPr/>
        <w:tc>
          <w:tcPr>
            <w:tcW w:w="35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Deductible temporary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91,405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maturities of the tax loss carryforwards for which no deferred tax assets were recognized are as follows: </w:t>
      </w:r>
    </w:p>
    <w:tbl>
      <w:tblPr>
        <w:tblW w:w="6051" w:type="dxa"/>
        <w:jc w:val="left"/>
        <w:tblInd w:w="1393" w:type="dxa"/>
        <w:tblLayout w:type="fixed"/>
        <w:tblCellMar>
          <w:top w:w="0" w:type="dxa"/>
          <w:left w:w="0" w:type="dxa"/>
          <w:bottom w:w="28" w:type="dxa"/>
          <w:right w:w="0" w:type="dxa"/>
        </w:tblCellMar>
      </w:tblPr>
      <w:tblGrid>
        <w:gridCol w:w="1604"/>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16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Up to 10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15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Unlimited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239,160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131,586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Taxable temporary differences associated with investments in entities, branches and associates and interests in joint arrangements in the amount of €615 thousand as of December 31, 2025 (December 31, 2024: €483 thousand, December 31, 2023: €935 thousand) have not been recognized.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exceeding deferred tax liabilities in the amount of €2,317 thousand as of December 31, 2025 (December 31, 2024: €2,684 thousand, December 31, 2023: €522 thousand) for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1PS"/>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generated a loss in the current or previous period were recognized as these are considered to be recoverable based on the positive profit for financial year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EARNINGS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earnings per share is calculated by dividing the profit or loss for the period attributable to equity holders of the Company by the weighted average number of ordinary shares in issue during the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earnings per share is calculated by adjusting the profit or loss attributable to ordinary equity holders of the Company and the weighted average number of shares in issue during the year for the effects of all dilutive potential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net income (loss) and share data used in the basic and diluted EPS calculations: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Basic and diluted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18"/>
        <w:gridCol w:w="109"/>
        <w:gridCol w:w="109"/>
        <w:gridCol w:w="109"/>
        <w:gridCol w:w="109"/>
        <w:gridCol w:w="639"/>
        <w:gridCol w:w="109"/>
        <w:gridCol w:w="109"/>
        <w:gridCol w:w="109"/>
        <w:gridCol w:w="109"/>
        <w:gridCol w:w="109"/>
        <w:gridCol w:w="639"/>
        <w:gridCol w:w="109"/>
        <w:gridCol w:w="109"/>
        <w:gridCol w:w="109"/>
        <w:gridCol w:w="109"/>
        <w:gridCol w:w="109"/>
        <w:gridCol w:w="526"/>
        <w:gridCol w:w="109"/>
        <w:gridCol w:w="155"/>
      </w:tblGrid>
      <w:tr>
        <w:trPr/>
        <w:tc>
          <w:tcPr>
            <w:tcW w:w="52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55" w:type="dxa"/>
            <w:tcBorders/>
            <w:tcMar>
              <w:bottom w:w="0" w:type="dxa"/>
            </w:tcMar>
            <w:vAlign w:val="center"/>
          </w:tcPr>
          <w:p>
            <w:pPr>
              <w:pStyle w:val="TableContents"/>
              <w:bidi w:val="0"/>
              <w:spacing w:before="0" w:after="283"/>
              <w:jc w:val="left"/>
              <w:rPr/>
            </w:pPr>
            <w:r>
              <w:rPr/>
              <w:t>​</w:t>
            </w:r>
          </w:p>
        </w:tc>
      </w:tr>
      <w:tr>
        <w:trPr/>
        <w:tc>
          <w:tcPr>
            <w:tcW w:w="521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Total basic and diluted earnings per share attributable to the ordinary equity holders of the company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(1.87)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(2.41)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Reconciliations of earnings used in calculating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508"/>
        <w:gridCol w:w="109"/>
        <w:gridCol w:w="109"/>
        <w:gridCol w:w="109"/>
        <w:gridCol w:w="109"/>
        <w:gridCol w:w="874"/>
        <w:gridCol w:w="109"/>
        <w:gridCol w:w="109"/>
        <w:gridCol w:w="109"/>
        <w:gridCol w:w="109"/>
        <w:gridCol w:w="109"/>
        <w:gridCol w:w="874"/>
        <w:gridCol w:w="109"/>
        <w:gridCol w:w="109"/>
        <w:gridCol w:w="109"/>
        <w:gridCol w:w="109"/>
        <w:gridCol w:w="109"/>
        <w:gridCol w:w="766"/>
        <w:gridCol w:w="109"/>
        <w:gridCol w:w="155"/>
      </w:tblGrid>
      <w:tr>
        <w:trPr/>
        <w:tc>
          <w:tcPr>
            <w:tcW w:w="4508" w:type="dxa"/>
            <w:tcBorders>
              <w:bottom w:val="single" w:sz="2" w:space="0" w:color="000000"/>
            </w:tcBorders>
            <w:vAlign w:val="center"/>
          </w:tcPr>
          <w:p>
            <w:pPr>
              <w:pStyle w:val="TableContents"/>
              <w:bidi w:val="0"/>
              <w:spacing w:before="0" w:after="0"/>
              <w:jc w:val="left"/>
              <w:rPr>
                <w:spacing w:val="-3"/>
              </w:rPr>
            </w:pPr>
            <w:r>
              <w:rPr>
                <w:spacing w:val="-3"/>
              </w:rPr>
              <w:t xml:space="preserve">in €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Profit / (Loss) from continuing operations as presented in the statement of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Weighted average number of shares used as the denominator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465"/>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3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used as the </w:t>
            </w:r>
            <w:r>
              <w:rPr/>
              <w:br/>
            </w:r>
            <w:r>
              <w:rPr>
                <w:spacing w:val="4"/>
              </w:rPr>
              <w:t xml:space="preserve">denominator in calculating basic and diluted earnings </w:t>
            </w:r>
            <w:r>
              <w:rPr/>
              <w:br/>
            </w: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38,062,427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34,935,357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28,725,000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not been included in the calculation of diluted earnings per share from their date of issue (30 April 2024), because they are anti-dilutive for the year ended December 31, 2025 and 2024. The warrants could potentially dilute basic earnings per share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19A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19.   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comprise the following: </w:t>
      </w:r>
    </w:p>
    <w:tbl>
      <w:tblPr>
        <w:tblW w:w="8465"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18"/>
        <w:gridCol w:w="118"/>
        <w:gridCol w:w="866"/>
        <w:gridCol w:w="118"/>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0"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4,869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(94)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34,444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1,447</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35,891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(15,243)</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(952)</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(16,196)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Amortization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(2,328)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(216)</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87</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(17,548)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(1,081)</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(18,629)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14,354</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588</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16,895</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366</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17,262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464"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36"/>
        <w:gridCol w:w="136"/>
        <w:gridCol w:w="811"/>
        <w:gridCol w:w="136"/>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25,729</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1,372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27,102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3,878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129</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38</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12/31/2024</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(11,452)</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(684)</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(12,136)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Amortization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(3,801)</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(364)</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(4,166)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(36)</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(15,243)</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(952)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(16,196)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14,278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689</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14,354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588</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14,941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2PA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07"/>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 on development cost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is comprised of the following: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76"/>
        <w:gridCol w:w="176"/>
        <w:gridCol w:w="877"/>
        <w:gridCol w:w="179"/>
        <w:gridCol w:w="109"/>
        <w:gridCol w:w="109"/>
        <w:gridCol w:w="109"/>
        <w:gridCol w:w="109"/>
        <w:gridCol w:w="842"/>
        <w:gridCol w:w="109"/>
        <w:gridCol w:w="109"/>
        <w:gridCol w:w="109"/>
        <w:gridCol w:w="109"/>
        <w:gridCol w:w="109"/>
        <w:gridCol w:w="842"/>
        <w:gridCol w:w="109"/>
        <w:gridCol w:w="109"/>
        <w:gridCol w:w="109"/>
        <w:gridCol w:w="137"/>
        <w:gridCol w:w="137"/>
        <w:gridCol w:w="816"/>
        <w:gridCol w:w="139"/>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94</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1,043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328</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1,513</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33,690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(860)</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(121)</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(13,604)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(28,186)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973</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5,280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207</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1,513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21L"/>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93"/>
        <w:gridCol w:w="193"/>
        <w:gridCol w:w="827"/>
        <w:gridCol w:w="195"/>
        <w:gridCol w:w="109"/>
        <w:gridCol w:w="109"/>
        <w:gridCol w:w="109"/>
        <w:gridCol w:w="109"/>
        <w:gridCol w:w="842"/>
        <w:gridCol w:w="109"/>
        <w:gridCol w:w="109"/>
        <w:gridCol w:w="109"/>
        <w:gridCol w:w="109"/>
        <w:gridCol w:w="109"/>
        <w:gridCol w:w="842"/>
        <w:gridCol w:w="109"/>
        <w:gridCol w:w="109"/>
        <w:gridCol w:w="109"/>
        <w:gridCol w:w="168"/>
        <w:gridCol w:w="168"/>
        <w:gridCol w:w="722"/>
        <w:gridCol w:w="171"/>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220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16,330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15,386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32,449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14</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53</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(96)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(71)</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(26,744)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(21)</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831</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149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3,016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5,704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973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470</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includes right-of-use assets amounting to €6,730 thousand as of December 31, 2025 (December 31, 2024: €7,812 thousand). For further information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21.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Lessee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The carrying amounts of right-of-use assets recognized and the movements during the period were as follows: </w:t>
      </w:r>
    </w:p>
    <w:tbl>
      <w:tblPr>
        <w:tblW w:w="8812" w:type="dxa"/>
        <w:jc w:val="left"/>
        <w:tblInd w:w="1393" w:type="dxa"/>
        <w:tblLayout w:type="fixed"/>
        <w:tblCellMar>
          <w:top w:w="0" w:type="dxa"/>
          <w:left w:w="0" w:type="dxa"/>
          <w:bottom w:w="50" w:type="dxa"/>
          <w:right w:w="0" w:type="dxa"/>
        </w:tblCellMar>
      </w:tblPr>
      <w:tblGrid>
        <w:gridCol w:w="4733"/>
        <w:gridCol w:w="109"/>
        <w:gridCol w:w="109"/>
        <w:gridCol w:w="116"/>
        <w:gridCol w:w="116"/>
        <w:gridCol w:w="842"/>
        <w:gridCol w:w="116"/>
        <w:gridCol w:w="109"/>
        <w:gridCol w:w="109"/>
        <w:gridCol w:w="111"/>
        <w:gridCol w:w="111"/>
        <w:gridCol w:w="628"/>
        <w:gridCol w:w="111"/>
        <w:gridCol w:w="109"/>
        <w:gridCol w:w="109"/>
        <w:gridCol w:w="109"/>
        <w:gridCol w:w="109"/>
        <w:gridCol w:w="788"/>
        <w:gridCol w:w="109"/>
        <w:gridCol w:w="159"/>
      </w:tblGrid>
      <w:tr>
        <w:trPr/>
        <w:tc>
          <w:tcPr>
            <w:tcW w:w="47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8,697</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365</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9,063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 / (De-recognition)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(121)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489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(1,354)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(293)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30</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7,253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560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7,812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326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220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(71)</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(17)</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6,253</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478</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6,730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variable lease payments resulting from indexed rental payments or other variable rental components. The carrying amounts of lease liabilities and the movements during the period were as follows: </w:t>
      </w:r>
    </w:p>
    <w:tbl>
      <w:tblPr>
        <w:tblW w:w="4879" w:type="dxa"/>
        <w:jc w:val="left"/>
        <w:tblInd w:w="1393" w:type="dxa"/>
        <w:tblLayout w:type="fixed"/>
        <w:tblCellMar>
          <w:top w:w="0" w:type="dxa"/>
          <w:left w:w="0" w:type="dxa"/>
          <w:bottom w:w="50" w:type="dxa"/>
          <w:right w:w="0" w:type="dxa"/>
        </w:tblCellMar>
      </w:tblPr>
      <w:tblGrid>
        <w:gridCol w:w="2969"/>
        <w:gridCol w:w="109"/>
        <w:gridCol w:w="109"/>
        <w:gridCol w:w="149"/>
        <w:gridCol w:w="149"/>
        <w:gridCol w:w="1091"/>
        <w:gridCol w:w="149"/>
        <w:gridCol w:w="154"/>
      </w:tblGrid>
      <w:tr>
        <w:trPr/>
        <w:tc>
          <w:tcPr>
            <w:tcW w:w="296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Lease Liability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10,886</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306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655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(2,184)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32</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9,694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461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586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(2,098)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vAlign w:val="center"/>
          </w:tcPr>
          <w:p>
            <w:pPr>
              <w:pStyle w:val="TableContents"/>
              <w:bidi w:val="0"/>
              <w:spacing w:before="0" w:after="283"/>
              <w:jc w:val="right"/>
              <w:rPr/>
            </w:pPr>
            <w:r>
              <w:rPr/>
              <w:t>​</w:t>
            </w:r>
          </w:p>
        </w:tc>
        <w:tc>
          <w:tcPr>
            <w:tcW w:w="1091" w:type="dxa"/>
            <w:tcBorders>
              <w:bottom w:val="single" w:sz="2" w:space="0" w:color="000000"/>
            </w:tcBorders>
            <w:vAlign w:val="center"/>
          </w:tcPr>
          <w:p>
            <w:pPr>
              <w:pStyle w:val="TableContents"/>
              <w:bidi w:val="0"/>
              <w:spacing w:before="0" w:after="283"/>
              <w:jc w:val="right"/>
              <w:rPr/>
            </w:pPr>
            <w:r>
              <w:rPr/>
              <w:t>(94)</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8,550</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statement of profit or loss and other comprehensive income (loss) included the following amounts of lease related expense: </w:t>
      </w:r>
    </w:p>
    <w:tbl>
      <w:tblPr>
        <w:tblW w:w="7867" w:type="dxa"/>
        <w:jc w:val="left"/>
        <w:tblInd w:w="1393" w:type="dxa"/>
        <w:tblLayout w:type="fixed"/>
        <w:tblCellMar>
          <w:top w:w="0" w:type="dxa"/>
          <w:left w:w="0" w:type="dxa"/>
          <w:bottom w:w="50" w:type="dxa"/>
          <w:right w:w="0" w:type="dxa"/>
        </w:tblCellMar>
      </w:tblPr>
      <w:tblGrid>
        <w:gridCol w:w="3690"/>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6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of right 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tcMar>
              <w:bottom w:w="0" w:type="dxa"/>
            </w:tcMar>
            <w:vAlign w:val="center"/>
          </w:tcPr>
          <w:p>
            <w:pPr>
              <w:pStyle w:val="TableContents"/>
              <w:bidi w:val="0"/>
              <w:spacing w:before="0" w:after="0"/>
              <w:jc w:val="left"/>
              <w:rPr>
                <w:spacing w:val="4"/>
              </w:rPr>
            </w:pPr>
            <w:r>
              <w:rPr>
                <w:spacing w:val="4"/>
              </w:rPr>
              <w:t xml:space="preserve">Interest expense on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lease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bottom w:val="single" w:sz="2" w:space="0" w:color="FFFFFF"/>
            </w:tcBorders>
            <w:vAlign w:val="center"/>
          </w:tcPr>
          <w:p>
            <w:pPr>
              <w:pStyle w:val="TableContents"/>
              <w:bidi w:val="0"/>
              <w:spacing w:before="0" w:after="0"/>
              <w:jc w:val="left"/>
              <w:rPr>
                <w:spacing w:val="4"/>
              </w:rPr>
            </w:pPr>
            <w:r>
              <w:rPr>
                <w:spacing w:val="4"/>
              </w:rPr>
              <w:t xml:space="preserve">Lease expenses for low-value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bottom w:val="single" w:sz="2" w:space="0" w:color="CCEEFF"/>
            </w:tcBorders>
            <w:shd w:fill="CCEEFF" w:val="clear"/>
            <w:vAlign w:val="center"/>
          </w:tcPr>
          <w:p>
            <w:pPr>
              <w:pStyle w:val="TableContents"/>
              <w:bidi w:val="0"/>
              <w:spacing w:before="0" w:after="0"/>
              <w:jc w:val="left"/>
              <w:rPr/>
            </w:pPr>
            <w:r>
              <w:rPr>
                <w:spacing w:val="-4"/>
              </w:rPr>
              <w:t>Total amount recognized in expense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(2,490)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(1,273)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provides information on the total cash outflow from all leases during the year: </w:t>
      </w:r>
    </w:p>
    <w:tbl>
      <w:tblPr>
        <w:tblW w:w="7438" w:type="dxa"/>
        <w:jc w:val="left"/>
        <w:tblInd w:w="1393" w:type="dxa"/>
        <w:tblLayout w:type="fixed"/>
        <w:tblCellMar>
          <w:top w:w="0" w:type="dxa"/>
          <w:left w:w="0" w:type="dxa"/>
          <w:bottom w:w="50" w:type="dxa"/>
          <w:right w:w="0" w:type="dxa"/>
        </w:tblCellMar>
      </w:tblPr>
      <w:tblGrid>
        <w:gridCol w:w="3261"/>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26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1" w:type="dxa"/>
            <w:tcBorders/>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1"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Short term and low value leases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261" w:type="dxa"/>
            <w:tcBorders>
              <w:bottom w:val="single" w:sz="2" w:space="0" w:color="FFFFFF"/>
            </w:tcBorders>
            <w:vAlign w:val="center"/>
          </w:tcPr>
          <w:p>
            <w:pPr>
              <w:pStyle w:val="TableContents"/>
              <w:bidi w:val="0"/>
              <w:spacing w:before="0" w:after="0"/>
              <w:jc w:val="left"/>
              <w:rPr/>
            </w:pPr>
            <w:r>
              <w:rPr>
                <w:spacing w:val="-4"/>
              </w:rPr>
              <w:t>Total amount paid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(2,462)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(1,209)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shows a maturity analysis of undiscounted lease payments for which a right-of-use asset and lease liability were recognized: </w:t>
      </w:r>
    </w:p>
    <w:tbl>
      <w:tblPr>
        <w:tblW w:w="8812" w:type="dxa"/>
        <w:jc w:val="left"/>
        <w:tblInd w:w="1393" w:type="dxa"/>
        <w:tblLayout w:type="fixed"/>
        <w:tblCellMar>
          <w:top w:w="0" w:type="dxa"/>
          <w:left w:w="0" w:type="dxa"/>
          <w:bottom w:w="50" w:type="dxa"/>
          <w:right w:w="0" w:type="dxa"/>
        </w:tblCellMar>
      </w:tblPr>
      <w:tblGrid>
        <w:gridCol w:w="4315"/>
        <w:gridCol w:w="109"/>
        <w:gridCol w:w="109"/>
        <w:gridCol w:w="194"/>
        <w:gridCol w:w="194"/>
        <w:gridCol w:w="1370"/>
        <w:gridCol w:w="195"/>
        <w:gridCol w:w="109"/>
        <w:gridCol w:w="109"/>
        <w:gridCol w:w="194"/>
        <w:gridCol w:w="194"/>
        <w:gridCol w:w="1370"/>
        <w:gridCol w:w="195"/>
        <w:gridCol w:w="155"/>
      </w:tblGrid>
      <w:tr>
        <w:trPr/>
        <w:tc>
          <w:tcPr>
            <w:tcW w:w="431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 </w:t>
            </w:r>
            <w:r>
              <w:rPr>
                <w:spacing w:val="4"/>
              </w:rPr>
              <w:t xml:space="preserve">1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1,902</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2,029</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0"/>
              <w:jc w:val="left"/>
              <w:rPr>
                <w:spacing w:val="4"/>
              </w:rPr>
            </w:pPr>
            <w:r>
              <w:rPr>
                <w:spacing w:val="4"/>
              </w:rPr>
              <w:t xml:space="preserve">&gt; 1 ≤ 2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1,452</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1,755</w:t>
            </w:r>
          </w:p>
        </w:tc>
        <w:tc>
          <w:tcPr>
            <w:tcW w:w="1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&gt; 2 ≤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3,733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3,778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&gt; 5 years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3,600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4,800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Gross lease liabilities – minimum lease payments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10,688</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12,361</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Discount and foreign currency effects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(2,138)</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(2,667)</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Present value of the lease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8,550</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9,694</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22AS"/>
      <w:bookmarkEnd w:id="73"/>
      <w:r>
        <w:rPr>
          <w:rFonts w:ascii="calibri;arial;sans-serif" w:hAnsi="calibri;arial;sans-serif"/>
          <w:b w:val="false"/>
          <w:i w:val="false"/>
          <w:caps w:val="false"/>
          <w:smallCaps w:val="false"/>
          <w:color w:val="000000"/>
          <w:sz w:val="16"/>
        </w:rPr>
        <w:t>​</w:t>
      </w:r>
      <w:bookmarkStart w:id="74" w:name="t23I"/>
      <w:bookmarkEnd w:id="74"/>
      <w:r>
        <w:rPr>
          <w:rFonts w:ascii="calibri;arial;sans-serif" w:hAnsi="calibri;arial;sans-serif"/>
          <w:b w:val="false"/>
          <w:i w:val="false"/>
          <w:caps w:val="false"/>
          <w:smallCaps w:val="false"/>
          <w:color w:val="000000"/>
          <w:sz w:val="16"/>
        </w:rPr>
        <w:t>​</w:t>
      </w:r>
      <w:bookmarkStart w:id="75" w:name="t2RAO"/>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Lessor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22.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2025, outstanding receivables of €7,833 thousand against Christian Schmid and Schmid Verwaltungs GmbH were settled through the transfer of shares in Group14 Technologies Inc, a company that develops and manufactures silicon-carbon anode technology for lithium-ion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included in financial assets is a derivative resulting from the XJ Harbour Set-off agreement amounting to €7,713 thousand. For more detailed information refer to note 29. Non-current and current financial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23.   INVENTORIES</w:t>
      </w:r>
      <w:r>
        <w:rPr>
          <w:rFonts w:ascii="Times New Roman;Times;serif" w:hAnsi="Times New Roman;Times;serif"/>
          <w:b/>
          <w:i w:val="false"/>
          <w:caps w:val="false"/>
          <w:smallCaps w:val="false"/>
          <w:color w:val="000000"/>
          <w:spacing w:val="4"/>
          <w:sz w:val="20"/>
        </w:rPr>
        <w:t xml:space="preserve"> </w:t>
      </w:r>
    </w:p>
    <w:tbl>
      <w:tblPr>
        <w:tblW w:w="5883" w:type="dxa"/>
        <w:jc w:val="left"/>
        <w:tblInd w:w="1393" w:type="dxa"/>
        <w:tblLayout w:type="fixed"/>
        <w:tblCellMar>
          <w:top w:w="0" w:type="dxa"/>
          <w:left w:w="0" w:type="dxa"/>
          <w:bottom w:w="50" w:type="dxa"/>
          <w:right w:w="0" w:type="dxa"/>
        </w:tblCellMar>
      </w:tblPr>
      <w:tblGrid>
        <w:gridCol w:w="2837"/>
        <w:gridCol w:w="109"/>
        <w:gridCol w:w="109"/>
        <w:gridCol w:w="122"/>
        <w:gridCol w:w="122"/>
        <w:gridCol w:w="862"/>
        <w:gridCol w:w="122"/>
        <w:gridCol w:w="109"/>
        <w:gridCol w:w="109"/>
        <w:gridCol w:w="122"/>
        <w:gridCol w:w="122"/>
        <w:gridCol w:w="862"/>
        <w:gridCol w:w="122"/>
        <w:gridCol w:w="154"/>
      </w:tblGrid>
      <w:tr>
        <w:trPr/>
        <w:tc>
          <w:tcPr>
            <w:tcW w:w="283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4"/>
              </w:rPr>
            </w:pPr>
            <w:r>
              <w:rPr>
                <w:spacing w:val="4"/>
              </w:rPr>
              <w:t xml:space="preserve">Raw materials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4,136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4"/>
              </w:rPr>
            </w:pPr>
            <w:r>
              <w:rPr>
                <w:spacing w:val="4"/>
              </w:rPr>
              <w:t xml:space="preserve">Work in progress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9,147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6,317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3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Finished goods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5,423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5,281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837" w:type="dxa"/>
            <w:tcBorders>
              <w:bottom w:val="single" w:sz="2" w:space="0" w:color="FFFFFF"/>
            </w:tcBorders>
            <w:vAlign w:val="center"/>
          </w:tcPr>
          <w:p>
            <w:pPr>
              <w:pStyle w:val="TableContents"/>
              <w:bidi w:val="0"/>
              <w:spacing w:before="0" w:after="283"/>
              <w:jc w:val="left"/>
              <w:rPr/>
            </w:pPr>
            <w:r>
              <w:rPr>
                <w:spacing w:val="-4"/>
              </w:rPr>
              <w:t>Inventories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18,112</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15,734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24.   TRADE RECEIVABLES AND OTHER RECEIVABLES</w:t>
      </w:r>
      <w:r>
        <w:rPr>
          <w:rFonts w:ascii="Times New Roman;Times;serif" w:hAnsi="Times New Roman;Times;serif"/>
          <w:b/>
          <w:i w:val="false"/>
          <w:caps w:val="false"/>
          <w:smallCaps w:val="false"/>
          <w:color w:val="000000"/>
          <w:spacing w:val="4"/>
          <w:sz w:val="20"/>
        </w:rPr>
        <w:t xml:space="preserve"> </w:t>
      </w:r>
    </w:p>
    <w:tbl>
      <w:tblPr>
        <w:tblW w:w="7326" w:type="dxa"/>
        <w:jc w:val="left"/>
        <w:tblInd w:w="1393" w:type="dxa"/>
        <w:tblLayout w:type="fixed"/>
        <w:tblCellMar>
          <w:top w:w="0" w:type="dxa"/>
          <w:left w:w="0" w:type="dxa"/>
          <w:bottom w:w="50" w:type="dxa"/>
          <w:right w:w="0" w:type="dxa"/>
        </w:tblCellMar>
      </w:tblPr>
      <w:tblGrid>
        <w:gridCol w:w="4280"/>
        <w:gridCol w:w="109"/>
        <w:gridCol w:w="109"/>
        <w:gridCol w:w="122"/>
        <w:gridCol w:w="122"/>
        <w:gridCol w:w="862"/>
        <w:gridCol w:w="122"/>
        <w:gridCol w:w="109"/>
        <w:gridCol w:w="109"/>
        <w:gridCol w:w="122"/>
        <w:gridCol w:w="122"/>
        <w:gridCol w:w="862"/>
        <w:gridCol w:w="122"/>
        <w:gridCol w:w="154"/>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28,865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24,704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Receivables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4,435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4,711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receivables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4,599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trade and other receivables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33,653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38,221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2CA"/>
      <w:bookmarkEnd w:id="76"/>
      <w:r>
        <w:rPr>
          <w:rFonts w:ascii="calibri;arial;sans-serif" w:hAnsi="calibri;arial;sans-serif"/>
          <w:b w:val="false"/>
          <w:i w:val="false"/>
          <w:caps w:val="false"/>
          <w:smallCaps w:val="false"/>
          <w:color w:val="000000"/>
          <w:sz w:val="16"/>
        </w:rPr>
        <w:t>​</w:t>
      </w:r>
      <w:bookmarkStart w:id="77" w:name="t2CE"/>
      <w:bookmarkEnd w:id="77"/>
      <w:r>
        <w:rPr>
          <w:rFonts w:ascii="calibri;arial;sans-serif" w:hAnsi="calibri;arial;sans-serif"/>
          <w:b w:val="false"/>
          <w:i w:val="false"/>
          <w:caps w:val="false"/>
          <w:smallCaps w:val="false"/>
          <w:color w:val="000000"/>
          <w:sz w:val="16"/>
        </w:rPr>
        <w:t>​</w:t>
      </w:r>
      <w:bookmarkStart w:id="78" w:name="t27E"/>
      <w:bookmarkEnd w:id="78"/>
      <w:r>
        <w:rPr>
          <w:rFonts w:ascii="calibri;arial;sans-serif" w:hAnsi="calibri;arial;sans-serif"/>
          <w:b w:val="false"/>
          <w:i w:val="false"/>
          <w:caps w:val="false"/>
          <w:smallCaps w:val="false"/>
          <w:color w:val="000000"/>
          <w:sz w:val="16"/>
        </w:rPr>
        <w:t>​</w:t>
      </w:r>
      <w:bookmarkStart w:id="79" w:name="t28IN"/>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receivables have a residual term of less than one year. Receivables from equity investees refer to SCHMID Avaco Korea, Co. Ltd and SCHMID Energy Systems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25.   OTHER CURRENT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non-financial assets are as follows: </w:t>
      </w:r>
    </w:p>
    <w:tbl>
      <w:tblPr>
        <w:tblW w:w="6763" w:type="dxa"/>
        <w:jc w:val="left"/>
        <w:tblInd w:w="1393" w:type="dxa"/>
        <w:tblLayout w:type="fixed"/>
        <w:tblCellMar>
          <w:top w:w="0" w:type="dxa"/>
          <w:left w:w="0" w:type="dxa"/>
          <w:bottom w:w="50" w:type="dxa"/>
          <w:right w:w="0" w:type="dxa"/>
        </w:tblCellMar>
      </w:tblPr>
      <w:tblGrid>
        <w:gridCol w:w="3717"/>
        <w:gridCol w:w="109"/>
        <w:gridCol w:w="109"/>
        <w:gridCol w:w="137"/>
        <w:gridCol w:w="137"/>
        <w:gridCol w:w="817"/>
        <w:gridCol w:w="137"/>
        <w:gridCol w:w="109"/>
        <w:gridCol w:w="109"/>
        <w:gridCol w:w="137"/>
        <w:gridCol w:w="137"/>
        <w:gridCol w:w="817"/>
        <w:gridCol w:w="137"/>
        <w:gridCol w:w="154"/>
      </w:tblGrid>
      <w:tr>
        <w:trPr/>
        <w:tc>
          <w:tcPr>
            <w:tcW w:w="3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17"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2,021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1,899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17" w:type="dxa"/>
            <w:tcBorders/>
            <w:tcMar>
              <w:bottom w:w="0" w:type="dxa"/>
            </w:tcMar>
            <w:vAlign w:val="center"/>
          </w:tcPr>
          <w:p>
            <w:pPr>
              <w:pStyle w:val="TableContents"/>
              <w:bidi w:val="0"/>
              <w:spacing w:before="0" w:after="0"/>
              <w:jc w:val="left"/>
              <w:rPr>
                <w:spacing w:val="4"/>
              </w:rPr>
            </w:pPr>
            <w:r>
              <w:rPr>
                <w:spacing w:val="4"/>
              </w:rPr>
              <w:t xml:space="preserve">Advance payments on 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1,097</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1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0</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59</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17" w:type="dxa"/>
            <w:tcBorders>
              <w:bottom w:val="single" w:sz="2" w:space="0" w:color="FFFFFF"/>
            </w:tcBorders>
            <w:vAlign w:val="center"/>
          </w:tcPr>
          <w:p>
            <w:pPr>
              <w:pStyle w:val="TableContents"/>
              <w:bidi w:val="0"/>
              <w:spacing w:before="0" w:after="0"/>
              <w:jc w:val="left"/>
              <w:rPr/>
            </w:pPr>
            <w:r>
              <w:rPr>
                <w:spacing w:val="-4"/>
              </w:rPr>
              <w:t>Total other current non-financial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3,918</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3,054</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refers to bank accounts that are used as securities for customer prepayments, mainly in China. Changes within the restricted cash have been disclosed within the operating cashflow.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prepaid expenses mainly comprise prepaid expenses for insurance expenses of €1,617 thousand (December 31, 2024: €1,500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26.   CASH &amp;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include cash as well as deposits on bank accounts amounting to €1,574 thousand as of December 31, 2025 (December 31, 2024: €3,791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27.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reserves amount to €114,980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reserves comprise loss carried forward, net profit/loss for the year, remeasurement of defined benefit obligation and currency translation differences.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 contains the equity, profit/loss carried forward and currency translation differences relating to the minority shareholders of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28.    NON-CONTROLLING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interests relate to SCHMID Singapore Pte. Ltd. (10.00%) and SCHMID Taiwan Ltd. (13.95%).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2ACF"/>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at present value of the redemption amount), with corresponding adjustment recorded in equity. Accordingly as of December 31, 2024 and December 31, 2025, no non-controlling interests are recognized in STG. </w:t>
      </w:r>
    </w:p>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assets attributable to NCI are €652 thousand (2024: €742 thousand).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29.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2025: </w:t>
      </w:r>
    </w:p>
    <w:tbl>
      <w:tblPr>
        <w:tblW w:w="7215" w:type="dxa"/>
        <w:jc w:val="left"/>
        <w:tblInd w:w="1393" w:type="dxa"/>
        <w:tblLayout w:type="fixed"/>
        <w:tblCellMar>
          <w:top w:w="0" w:type="dxa"/>
          <w:left w:w="0" w:type="dxa"/>
          <w:bottom w:w="50" w:type="dxa"/>
          <w:right w:w="0" w:type="dxa"/>
        </w:tblCellMar>
      </w:tblPr>
      <w:tblGrid>
        <w:gridCol w:w="4243"/>
        <w:gridCol w:w="109"/>
        <w:gridCol w:w="109"/>
        <w:gridCol w:w="127"/>
        <w:gridCol w:w="127"/>
        <w:gridCol w:w="904"/>
        <w:gridCol w:w="131"/>
        <w:gridCol w:w="109"/>
        <w:gridCol w:w="109"/>
        <w:gridCol w:w="109"/>
        <w:gridCol w:w="109"/>
        <w:gridCol w:w="766"/>
        <w:gridCol w:w="109"/>
        <w:gridCol w:w="154"/>
      </w:tblGrid>
      <w:tr>
        <w:trPr/>
        <w:tc>
          <w:tcPr>
            <w:tcW w:w="424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1,191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574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2,200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35,965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Black forest term loan facility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XJ Harbour Set-off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9,459</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64,267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26,094</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43"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71,518</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87,148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1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2024: </w:t>
      </w:r>
    </w:p>
    <w:tbl>
      <w:tblPr>
        <w:tblW w:w="6602" w:type="dxa"/>
        <w:jc w:val="left"/>
        <w:tblInd w:w="1393" w:type="dxa"/>
        <w:tblLayout w:type="fixed"/>
        <w:tblCellMar>
          <w:top w:w="0" w:type="dxa"/>
          <w:left w:w="0" w:type="dxa"/>
          <w:bottom w:w="50" w:type="dxa"/>
          <w:right w:w="0" w:type="dxa"/>
        </w:tblCellMar>
      </w:tblPr>
      <w:tblGrid>
        <w:gridCol w:w="3630"/>
        <w:gridCol w:w="109"/>
        <w:gridCol w:w="109"/>
        <w:gridCol w:w="127"/>
        <w:gridCol w:w="127"/>
        <w:gridCol w:w="904"/>
        <w:gridCol w:w="131"/>
        <w:gridCol w:w="109"/>
        <w:gridCol w:w="109"/>
        <w:gridCol w:w="109"/>
        <w:gridCol w:w="109"/>
        <w:gridCol w:w="766"/>
        <w:gridCol w:w="109"/>
        <w:gridCol w:w="154"/>
      </w:tblGrid>
      <w:tr>
        <w:trPr/>
        <w:tc>
          <w:tcPr>
            <w:tcW w:w="36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XJ Harbour share purchase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23,539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14,000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37,000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5,053</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30"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42,053</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40,433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8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banks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loans from banks relate to a long-standing overdraft facility held by Gebr. SCHMID GmbH with a local bank in Germany. The non-current loans from banks relate to a new bank loan granted to STG by a Chinese bank.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Black forest term loan facility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payment has not been executed and is no longer expected by the Company. The term loan facility has a 15% p.a. interest rate with interest payable at maturity, unless the conversion right is exercised and interest is also converted into shares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XJ</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Harbour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Set-off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changes from those derivatives are recognized in finance expense. The book and fair value of the share price protection clause is €9,459 thousand whereas the corresponding cap is recognized as a non-current financial asset amounting to €7,713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third party loans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loans from shareholders of €21 million are due end of 2027. The term is automatically extended by a further year if the contract is not terminated 6 months before expiry. Interest is floating at 3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30PR"/>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EURIBOR plus 1% margin. SCHMID entered into an agreement after the balance sheet date to set off those liabilities by issuing share.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other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30.   OTHER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Movement in provisions during the year is as follows: </w:t>
      </w:r>
    </w:p>
    <w:tbl>
      <w:tblPr>
        <w:tblW w:w="8812" w:type="dxa"/>
        <w:jc w:val="left"/>
        <w:tblInd w:w="1393" w:type="dxa"/>
        <w:tblLayout w:type="fixed"/>
        <w:tblCellMar>
          <w:top w:w="0" w:type="dxa"/>
          <w:left w:w="0" w:type="dxa"/>
          <w:bottom w:w="50" w:type="dxa"/>
          <w:right w:w="0" w:type="dxa"/>
        </w:tblCellMar>
      </w:tblPr>
      <w:tblGrid>
        <w:gridCol w:w="1890"/>
        <w:gridCol w:w="109"/>
        <w:gridCol w:w="109"/>
        <w:gridCol w:w="135"/>
        <w:gridCol w:w="135"/>
        <w:gridCol w:w="580"/>
        <w:gridCol w:w="135"/>
        <w:gridCol w:w="109"/>
        <w:gridCol w:w="109"/>
        <w:gridCol w:w="142"/>
        <w:gridCol w:w="142"/>
        <w:gridCol w:w="609"/>
        <w:gridCol w:w="143"/>
        <w:gridCol w:w="109"/>
        <w:gridCol w:w="109"/>
        <w:gridCol w:w="158"/>
        <w:gridCol w:w="158"/>
        <w:gridCol w:w="613"/>
        <w:gridCol w:w="160"/>
        <w:gridCol w:w="109"/>
        <w:gridCol w:w="109"/>
        <w:gridCol w:w="228"/>
        <w:gridCol w:w="228"/>
        <w:gridCol w:w="884"/>
        <w:gridCol w:w="229"/>
        <w:gridCol w:w="109"/>
        <w:gridCol w:w="109"/>
        <w:gridCol w:w="135"/>
        <w:gridCol w:w="135"/>
        <w:gridCol w:w="580"/>
        <w:gridCol w:w="135"/>
        <w:gridCol w:w="168"/>
      </w:tblGrid>
      <w:tr>
        <w:trPr/>
        <w:tc>
          <w:tcPr>
            <w:tcW w:w="18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211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128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134</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(8)</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126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Total non-current provisions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345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39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84" w:type="dxa"/>
            <w:tcBorders/>
            <w:tcMar>
              <w:bottom w:w="0" w:type="dxa"/>
            </w:tcMar>
            <w:vAlign w:val="center"/>
          </w:tcPr>
          <w:p>
            <w:pPr>
              <w:pStyle w:val="TableContents"/>
              <w:bidi w:val="0"/>
              <w:spacing w:before="0" w:after="283"/>
              <w:jc w:val="right"/>
              <w:rPr/>
            </w:pPr>
            <w:r>
              <w:rPr/>
              <w:t>83</w:t>
            </w:r>
          </w:p>
        </w:tc>
        <w:tc>
          <w:tcPr>
            <w:tcW w:w="2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122</w:t>
            </w:r>
          </w:p>
        </w:tc>
        <w:tc>
          <w:tcPr>
            <w:tcW w:w="135"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165</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(17)</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285</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bottom w:val="single" w:sz="2" w:space="0" w:color="CCEEFF"/>
            </w:tcBorders>
            <w:shd w:fill="CCEEFF" w:val="cle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184</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vAlign w:val="center"/>
          </w:tcPr>
          <w:p>
            <w:pPr>
              <w:pStyle w:val="TableContents"/>
              <w:bidi w:val="0"/>
              <w:spacing w:before="0" w:after="283"/>
              <w:jc w:val="right"/>
              <w:rPr/>
            </w:pPr>
            <w:r>
              <w:rPr/>
              <w:t>​</w:t>
            </w:r>
          </w:p>
        </w:tc>
        <w:tc>
          <w:tcPr>
            <w:tcW w:w="609" w:type="dxa"/>
            <w:tcBorders>
              <w:bottom w:val="single" w:sz="2" w:space="0" w:color="000000"/>
            </w:tcBorders>
            <w:shd w:fill="CCEEFF" w:val="clear"/>
            <w:vAlign w:val="center"/>
          </w:tcPr>
          <w:p>
            <w:pPr>
              <w:pStyle w:val="TableContents"/>
              <w:bidi w:val="0"/>
              <w:spacing w:before="0" w:after="283"/>
              <w:jc w:val="right"/>
              <w:rPr/>
            </w:pPr>
            <w:r>
              <w:rPr/>
              <w:t>165</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shd w:fill="CCEEFF" w:val="clear"/>
            <w:vAlign w:val="center"/>
          </w:tcPr>
          <w:p>
            <w:pPr>
              <w:pStyle w:val="TableContents"/>
              <w:bidi w:val="0"/>
              <w:spacing w:before="0" w:after="283"/>
              <w:jc w:val="right"/>
              <w:rPr/>
            </w:pPr>
            <w:r>
              <w:rPr/>
              <w:t>​</w:t>
            </w:r>
          </w:p>
        </w:tc>
        <w:tc>
          <w:tcPr>
            <w:tcW w:w="613" w:type="dxa"/>
            <w:tcBorders>
              <w:bottom w:val="single" w:sz="2" w:space="0" w:color="000000"/>
            </w:tcBorders>
            <w:shd w:fill="CCEEFF" w:val="clear"/>
            <w:vAlign w:val="center"/>
          </w:tcPr>
          <w:p>
            <w:pPr>
              <w:pStyle w:val="TableContents"/>
              <w:bidi w:val="0"/>
              <w:spacing w:before="0" w:after="283"/>
              <w:jc w:val="right"/>
              <w:rPr/>
            </w:pPr>
            <w:r>
              <w:rPr/>
              <w:t>(17)</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shd w:fill="CCEEFF" w:val="clear"/>
            <w:vAlign w:val="center"/>
          </w:tcPr>
          <w:p>
            <w:pPr>
              <w:pStyle w:val="TableContents"/>
              <w:bidi w:val="0"/>
              <w:spacing w:before="0" w:after="283"/>
              <w:jc w:val="right"/>
              <w:rPr/>
            </w:pPr>
            <w:r>
              <w:rPr/>
              <w:t>​</w:t>
            </w:r>
          </w:p>
        </w:tc>
        <w:tc>
          <w:tcPr>
            <w:tcW w:w="884" w:type="dxa"/>
            <w:tcBorders>
              <w:bottom w:val="single" w:sz="2" w:space="0" w:color="000000"/>
            </w:tcBorders>
            <w:shd w:fill="CCEEFF" w:val="clear"/>
            <w:vAlign w:val="center"/>
          </w:tcPr>
          <w:p>
            <w:pPr>
              <w:pStyle w:val="TableContents"/>
              <w:bidi w:val="0"/>
              <w:spacing w:before="0" w:after="283"/>
              <w:jc w:val="right"/>
              <w:rPr/>
            </w:pPr>
            <w:r>
              <w:rPr/>
              <w:t>83</w:t>
            </w:r>
          </w:p>
        </w:tc>
        <w:tc>
          <w:tcPr>
            <w:tcW w:w="2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415</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2264"/>
        <w:gridCol w:w="109"/>
        <w:gridCol w:w="109"/>
        <w:gridCol w:w="142"/>
        <w:gridCol w:w="142"/>
        <w:gridCol w:w="609"/>
        <w:gridCol w:w="142"/>
        <w:gridCol w:w="109"/>
        <w:gridCol w:w="109"/>
        <w:gridCol w:w="143"/>
        <w:gridCol w:w="143"/>
        <w:gridCol w:w="613"/>
        <w:gridCol w:w="144"/>
        <w:gridCol w:w="109"/>
        <w:gridCol w:w="109"/>
        <w:gridCol w:w="109"/>
        <w:gridCol w:w="109"/>
        <w:gridCol w:w="772"/>
        <w:gridCol w:w="109"/>
        <w:gridCol w:w="109"/>
        <w:gridCol w:w="109"/>
        <w:gridCol w:w="157"/>
        <w:gridCol w:w="157"/>
        <w:gridCol w:w="610"/>
        <w:gridCol w:w="159"/>
        <w:gridCol w:w="109"/>
        <w:gridCol w:w="109"/>
        <w:gridCol w:w="142"/>
        <w:gridCol w:w="142"/>
        <w:gridCol w:w="609"/>
        <w:gridCol w:w="142"/>
        <w:gridCol w:w="163"/>
      </w:tblGrid>
      <w:tr>
        <w:trPr/>
        <w:tc>
          <w:tcPr>
            <w:tcW w:w="226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3" w:type="dxa"/>
            <w:gridSpan w:val="4"/>
            <w:tcBorders>
              <w:bottom w:val="single" w:sz="2" w:space="0" w:color="000000"/>
            </w:tcBorders>
            <w:vAlign w:val="center"/>
          </w:tcPr>
          <w:p>
            <w:pPr>
              <w:pStyle w:val="TableContents"/>
              <w:bidi w:val="0"/>
              <w:spacing w:before="0" w:after="0"/>
              <w:jc w:val="center"/>
              <w:rPr/>
            </w:pPr>
            <w:r>
              <w:rPr>
                <w:spacing w:val="-3"/>
              </w:rPr>
              <w:t>Reversal of</w:t>
            </w:r>
            <w:r>
              <w:rPr/>
              <w:t xml:space="preserve"> </w:t>
              <w:br/>
            </w:r>
            <w:r>
              <w:rPr>
                <w:spacing w:val="-3"/>
              </w:rPr>
              <w:t>unused</w:t>
            </w:r>
            <w:r>
              <w:rPr/>
              <w:t xml:space="preserve"> </w:t>
              <w:br/>
            </w:r>
            <w:r>
              <w:rPr>
                <w:spacing w:val="-3"/>
              </w:rPr>
              <w:t xml:space="preserve">amounts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238</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211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(2)</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169</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134</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b/>
              </w:rPr>
            </w:pPr>
            <w:r>
              <w:rPr>
                <w:b/>
                <w:spacing w:val="-4"/>
              </w:rPr>
              <w:t>Total non-current provisions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237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0"/>
              <w:jc w:val="right"/>
              <w:rPr/>
            </w:pPr>
            <w:r>
              <w:rPr/>
              <w:t>​</w:t>
            </w:r>
          </w:p>
        </w:tc>
        <w:tc>
          <w:tcPr>
            <w:tcW w:w="613" w:type="dxa"/>
            <w:tcBorders/>
            <w:shd w:fill="CCEEFF" w:val="clear"/>
            <w:tcMar>
              <w:bottom w:w="0" w:type="dxa"/>
            </w:tcMar>
            <w:vAlign w:val="center"/>
          </w:tcPr>
          <w:p>
            <w:pPr>
              <w:pStyle w:val="TableContents"/>
              <w:bidi w:val="0"/>
              <w:spacing w:before="0" w:after="0"/>
              <w:jc w:val="right"/>
              <w:rPr>
                <w:b/>
              </w:rPr>
            </w:pPr>
            <w:r>
              <w:rPr>
                <w:b/>
              </w:rPr>
              <w:t>169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2" w:type="dxa"/>
            <w:tcBorders/>
            <w:shd w:fill="CCEEFF" w:val="clear"/>
            <w:tcMar>
              <w:bottom w:w="0" w:type="dxa"/>
            </w:tcMar>
            <w:vAlign w:val="center"/>
          </w:tcPr>
          <w:p>
            <w:pPr>
              <w:pStyle w:val="TableContents"/>
              <w:bidi w:val="0"/>
              <w:spacing w:before="0" w:after="0"/>
              <w:jc w:val="right"/>
              <w:rPr>
                <w:b/>
              </w:rPr>
            </w:pPr>
            <w:r>
              <w:rPr>
                <w:b/>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345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225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250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610" w:type="dxa"/>
            <w:tcBorders/>
            <w:tcMar>
              <w:bottom w:w="0" w:type="dxa"/>
            </w:tcMar>
            <w:vAlign w:val="center"/>
          </w:tcPr>
          <w:p>
            <w:pPr>
              <w:pStyle w:val="TableContents"/>
              <w:bidi w:val="0"/>
              <w:spacing w:before="0" w:after="283"/>
              <w:jc w:val="right"/>
              <w:rPr/>
            </w:pPr>
            <w:r>
              <w:rPr/>
              <w:t>(62)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39</w:t>
            </w:r>
          </w:p>
        </w:tc>
        <w:tc>
          <w:tcPr>
            <w:tcW w:w="14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53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(4)</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(700)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(28)</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136</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973</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shd w:fill="CCEEFF" w:val="clear"/>
            <w:tcMar>
              <w:bottom w:w="50" w:type="dxa"/>
            </w:tcMar>
            <w:vAlign w:val="center"/>
          </w:tcPr>
          <w:p>
            <w:pPr>
              <w:pStyle w:val="TableContents"/>
              <w:bidi w:val="0"/>
              <w:spacing w:before="0" w:after="283"/>
              <w:jc w:val="right"/>
              <w:rPr/>
            </w:pPr>
            <w:r>
              <w:rPr/>
              <w:t>420</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shd w:fill="CCEEFF" w:val="clear"/>
            <w:tcMar>
              <w:bottom w:w="50" w:type="dxa"/>
            </w:tcMar>
            <w:vAlign w:val="center"/>
          </w:tcPr>
          <w:p>
            <w:pPr>
              <w:pStyle w:val="TableContents"/>
              <w:bidi w:val="0"/>
              <w:spacing w:before="0" w:after="283"/>
              <w:jc w:val="right"/>
              <w:rPr/>
            </w:pPr>
            <w:r>
              <w:rPr/>
              <w:t>(1,115)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shd w:fill="CCEEFF" w:val="clear"/>
            <w:tcMar>
              <w:bottom w:w="50" w:type="dxa"/>
            </w:tcMar>
            <w:vAlign w:val="center"/>
          </w:tcPr>
          <w:p>
            <w:pPr>
              <w:pStyle w:val="TableContents"/>
              <w:bidi w:val="0"/>
              <w:spacing w:before="0" w:after="283"/>
              <w:jc w:val="right"/>
              <w:rPr/>
            </w:pPr>
            <w:r>
              <w:rPr/>
              <w:t>(94)</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184</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1BE"/>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31.   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contribution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 </w:t>
      </w:r>
    </w:p>
    <w:p>
      <w:pPr>
        <w:pStyle w:val="TextBody"/>
        <w:bidi w:val="0"/>
        <w:spacing w:lineRule="atLeast" w:line="240" w:before="19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benefit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of the defined benefit obligation at the end of the fiscal year 2025 amounted to €969 thousand (December 31, 2024: €978 thousand, December 31, 2023: €894 thousand).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net defined benefit liability: </w:t>
      </w:r>
    </w:p>
    <w:tbl>
      <w:tblPr>
        <w:tblW w:w="8812" w:type="dxa"/>
        <w:jc w:val="left"/>
        <w:tblInd w:w="1393" w:type="dxa"/>
        <w:tblLayout w:type="fixed"/>
        <w:tblCellMar>
          <w:top w:w="0" w:type="dxa"/>
          <w:left w:w="0" w:type="dxa"/>
          <w:bottom w:w="50" w:type="dxa"/>
          <w:right w:w="0" w:type="dxa"/>
        </w:tblCellMar>
      </w:tblPr>
      <w:tblGrid>
        <w:gridCol w:w="6611"/>
        <w:gridCol w:w="109"/>
        <w:gridCol w:w="109"/>
        <w:gridCol w:w="109"/>
        <w:gridCol w:w="109"/>
        <w:gridCol w:w="490"/>
        <w:gridCol w:w="109"/>
        <w:gridCol w:w="109"/>
        <w:gridCol w:w="109"/>
        <w:gridCol w:w="109"/>
        <w:gridCol w:w="109"/>
        <w:gridCol w:w="466"/>
        <w:gridCol w:w="109"/>
        <w:gridCol w:w="155"/>
      </w:tblGrid>
      <w:tr>
        <w:trPr/>
        <w:tc>
          <w:tcPr>
            <w:tcW w:w="661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January 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6611" w:type="dxa"/>
            <w:tcBorders/>
            <w:tcMar>
              <w:bottom w:w="0" w:type="dxa"/>
            </w:tcMar>
            <w:vAlign w:val="center"/>
          </w:tcPr>
          <w:p>
            <w:pPr>
              <w:pStyle w:val="TableContents"/>
              <w:bidi w:val="0"/>
              <w:spacing w:before="0" w:after="0"/>
              <w:jc w:val="left"/>
              <w:rPr>
                <w:spacing w:val="4"/>
              </w:rPr>
            </w:pPr>
            <w:r>
              <w:rPr>
                <w:spacing w:val="4"/>
              </w:rPr>
              <w:t xml:space="preserve">Defined benefit income recognized in consolidated statement of profit or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11" w:type="dxa"/>
            <w:tcBorders/>
            <w:shd w:fill="CCEEFF" w:val="clear"/>
            <w:tcMar>
              <w:bottom w:w="0" w:type="dxa"/>
            </w:tcMar>
            <w:vAlign w:val="center"/>
          </w:tcPr>
          <w:p>
            <w:pPr>
              <w:pStyle w:val="TableContents"/>
              <w:bidi w:val="0"/>
              <w:spacing w:before="0" w:after="0"/>
              <w:jc w:val="left"/>
              <w:rPr>
                <w:spacing w:val="4"/>
              </w:rPr>
            </w:pPr>
            <w:r>
              <w:rPr>
                <w:spacing w:val="4"/>
              </w:rPr>
              <w:t xml:space="preserve">Defined benefit cost recognized in other comprehensive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611" w:type="dxa"/>
            <w:tcBorders>
              <w:bottom w:val="single" w:sz="2" w:space="0" w:color="FFFFFF"/>
            </w:tcBorders>
            <w:vAlign w:val="center"/>
          </w:tcPr>
          <w:p>
            <w:pPr>
              <w:pStyle w:val="TableContents"/>
              <w:bidi w:val="0"/>
              <w:spacing w:before="0" w:after="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0"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amount recognized in the consolidated statement of financial position: </w:t>
      </w:r>
    </w:p>
    <w:tbl>
      <w:tblPr>
        <w:tblW w:w="7919" w:type="dxa"/>
        <w:jc w:val="left"/>
        <w:tblInd w:w="1393" w:type="dxa"/>
        <w:tblLayout w:type="fixed"/>
        <w:tblCellMar>
          <w:top w:w="0" w:type="dxa"/>
          <w:left w:w="0" w:type="dxa"/>
          <w:bottom w:w="50" w:type="dxa"/>
          <w:right w:w="0" w:type="dxa"/>
        </w:tblCellMar>
      </w:tblPr>
      <w:tblGrid>
        <w:gridCol w:w="5713"/>
        <w:gridCol w:w="109"/>
        <w:gridCol w:w="109"/>
        <w:gridCol w:w="109"/>
        <w:gridCol w:w="109"/>
        <w:gridCol w:w="496"/>
        <w:gridCol w:w="109"/>
        <w:gridCol w:w="109"/>
        <w:gridCol w:w="109"/>
        <w:gridCol w:w="109"/>
        <w:gridCol w:w="109"/>
        <w:gridCol w:w="466"/>
        <w:gridCol w:w="109"/>
        <w:gridCol w:w="154"/>
      </w:tblGrid>
      <w:tr>
        <w:trPr/>
        <w:tc>
          <w:tcPr>
            <w:tcW w:w="57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b/>
              </w:rPr>
            </w:pPr>
            <w:r>
              <w:rPr>
                <w:b/>
                <w:spacing w:val="-4"/>
              </w:rPr>
              <w:t>Employee benefit obligations recognized as of January 1</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13" w:type="dxa"/>
            <w:tcBorders/>
            <w:tcMar>
              <w:bottom w:w="0" w:type="dxa"/>
            </w:tcMar>
            <w:vAlign w:val="center"/>
          </w:tcPr>
          <w:p>
            <w:pPr>
              <w:pStyle w:val="TableContents"/>
              <w:bidi w:val="0"/>
              <w:spacing w:before="0" w:after="0"/>
              <w:ind w:left="200" w:right="0" w:hanging="0"/>
              <w:jc w:val="left"/>
              <w:rPr>
                <w:spacing w:val="4"/>
              </w:rPr>
            </w:pPr>
            <w:r>
              <w:rPr>
                <w:spacing w:val="4"/>
              </w:rPr>
              <w:t xml:space="preserve">Actuarial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13"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pPr>
            <w:r>
              <w:rPr>
                <w:spacing w:val="-4"/>
              </w:rPr>
              <w:t>Employee benefit obligations recognized as of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0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recognized in the consolidated statements of profit or loss and other comprehensive income is as follows </w:t>
      </w:r>
    </w:p>
    <w:tbl>
      <w:tblPr>
        <w:tblW w:w="8812" w:type="dxa"/>
        <w:jc w:val="left"/>
        <w:tblInd w:w="1393" w:type="dxa"/>
        <w:tblLayout w:type="fixed"/>
        <w:tblCellMar>
          <w:top w:w="0" w:type="dxa"/>
          <w:left w:w="0" w:type="dxa"/>
          <w:bottom w:w="50" w:type="dxa"/>
          <w:right w:w="0" w:type="dxa"/>
        </w:tblCellMar>
      </w:tblPr>
      <w:tblGrid>
        <w:gridCol w:w="5836"/>
        <w:gridCol w:w="109"/>
        <w:gridCol w:w="109"/>
        <w:gridCol w:w="109"/>
        <w:gridCol w:w="109"/>
        <w:gridCol w:w="362"/>
        <w:gridCol w:w="109"/>
        <w:gridCol w:w="109"/>
        <w:gridCol w:w="109"/>
        <w:gridCol w:w="109"/>
        <w:gridCol w:w="109"/>
        <w:gridCol w:w="362"/>
        <w:gridCol w:w="109"/>
        <w:gridCol w:w="109"/>
        <w:gridCol w:w="109"/>
        <w:gridCol w:w="109"/>
        <w:gridCol w:w="109"/>
        <w:gridCol w:w="461"/>
        <w:gridCol w:w="109"/>
        <w:gridCol w:w="156"/>
      </w:tblGrid>
      <w:tr>
        <w:trPr/>
        <w:tc>
          <w:tcPr>
            <w:tcW w:w="58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spacing w:val="4"/>
              </w:rPr>
            </w:pPr>
            <w:r>
              <w:rPr>
                <w:spacing w:val="4"/>
              </w:rPr>
              <w:t xml:space="preserve">Actuarial (gains) / losses deriving from changes in financial assumptions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Actuarial (gains) / losses deriving from experience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b/>
              </w:rPr>
            </w:pPr>
            <w:r>
              <w:rPr>
                <w:b/>
                <w:spacing w:val="-4"/>
              </w:rPr>
              <w:t>Included in other comprehensive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bottom w:val="single" w:sz="2" w:space="0" w:color="CCEEFF"/>
            </w:tcBorders>
            <w:shd w:fill="CCEEFF" w:val="clear"/>
            <w:vAlign w:val="center"/>
          </w:tcPr>
          <w:p>
            <w:pPr>
              <w:pStyle w:val="TableContents"/>
              <w:bidi w:val="0"/>
              <w:spacing w:before="0" w:after="0"/>
              <w:jc w:val="left"/>
              <w:rPr>
                <w:b/>
              </w:rPr>
            </w:pPr>
            <w:r>
              <w:rPr>
                <w:b/>
                <w:spacing w:val="-4"/>
              </w:rPr>
              <w:t>Included in the consolidated statements of profit or loss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1" w:type="dxa"/>
            <w:tcBorders>
              <w:bottom w:val="single" w:sz="2" w:space="0" w:color="000000"/>
            </w:tcBorders>
            <w:shd w:fill="CCEEFF" w:val="clear"/>
            <w:vAlign w:val="center"/>
          </w:tcPr>
          <w:p>
            <w:pPr>
              <w:pStyle w:val="TableContents"/>
              <w:bidi w:val="0"/>
              <w:spacing w:before="0" w:after="283"/>
              <w:jc w:val="right"/>
              <w:rPr/>
            </w:pPr>
            <w:r>
              <w:rPr/>
              <w:t>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8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Total included in the consolidated statements of profit or loss and other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461" w:type="dxa"/>
            <w:tcBorders>
              <w:bottom w:val="single" w:sz="2" w:space="0" w:color="000000"/>
            </w:tcBorders>
            <w:tcMar>
              <w:bottom w:w="37" w:type="dxa"/>
            </w:tcMar>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cost relating to the obligation is a component of the result from financing activities.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were the principal actuarial assumptions as of: </w:t>
      </w:r>
    </w:p>
    <w:tbl>
      <w:tblPr>
        <w:tblW w:w="4529" w:type="dxa"/>
        <w:jc w:val="left"/>
        <w:tblInd w:w="1393" w:type="dxa"/>
        <w:tblLayout w:type="fixed"/>
        <w:tblCellMar>
          <w:top w:w="0" w:type="dxa"/>
          <w:left w:w="0" w:type="dxa"/>
          <w:bottom w:w="28" w:type="dxa"/>
          <w:right w:w="0" w:type="dxa"/>
        </w:tblCellMar>
      </w:tblPr>
      <w:tblGrid>
        <w:gridCol w:w="1481"/>
        <w:gridCol w:w="109"/>
        <w:gridCol w:w="109"/>
        <w:gridCol w:w="144"/>
        <w:gridCol w:w="144"/>
        <w:gridCol w:w="797"/>
        <w:gridCol w:w="144"/>
        <w:gridCol w:w="109"/>
        <w:gridCol w:w="109"/>
        <w:gridCol w:w="144"/>
        <w:gridCol w:w="144"/>
        <w:gridCol w:w="797"/>
        <w:gridCol w:w="144"/>
        <w:gridCol w:w="154"/>
      </w:tblGrid>
      <w:tr>
        <w:trPr/>
        <w:tc>
          <w:tcPr>
            <w:tcW w:w="1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1" w:type="dxa"/>
            <w:tcBorders/>
            <w:shd w:fill="CCEEFF" w:val="clear"/>
            <w:tcMar>
              <w:bottom w:w="0" w:type="dxa"/>
            </w:tcMar>
            <w:vAlign w:val="center"/>
          </w:tcPr>
          <w:p>
            <w:pPr>
              <w:pStyle w:val="TableContents"/>
              <w:bidi w:val="0"/>
              <w:spacing w:before="0" w:after="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4.0%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3.5%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3ARP"/>
      <w:bookmarkEnd w:id="83"/>
      <w:r>
        <w:rPr>
          <w:rFonts w:ascii="calibri;arial;sans-serif" w:hAnsi="calibri;arial;sans-serif"/>
          <w:b w:val="false"/>
          <w:i w:val="false"/>
          <w:caps w:val="false"/>
          <w:smallCaps w:val="false"/>
          <w:color w:val="000000"/>
          <w:sz w:val="16"/>
        </w:rPr>
        <w:t>​</w:t>
      </w:r>
      <w:bookmarkStart w:id="84" w:name="t3CL"/>
      <w:bookmarkEnd w:id="84"/>
      <w:r>
        <w:rPr>
          <w:rFonts w:ascii="calibri;arial;sans-serif" w:hAnsi="calibri;arial;sans-serif"/>
          <w:b w:val="false"/>
          <w:i w:val="false"/>
          <w:caps w:val="false"/>
          <w:smallCaps w:val="false"/>
          <w:color w:val="000000"/>
          <w:sz w:val="16"/>
        </w:rPr>
        <w:t>​</w:t>
      </w:r>
      <w:bookmarkStart w:id="85" w:name="t3IAF"/>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the obligation is 10 years as of December 31, 2025 (December 31, 2024: 11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32.   TRADE AND RELATED PARTY PAYABLES</w:t>
      </w:r>
      <w:r>
        <w:rPr>
          <w:rFonts w:ascii="Times New Roman;Times;serif" w:hAnsi="Times New Roman;Times;serif"/>
          <w:b/>
          <w:i w:val="false"/>
          <w:caps w:val="false"/>
          <w:smallCaps w:val="false"/>
          <w:color w:val="000000"/>
          <w:spacing w:val="4"/>
          <w:sz w:val="20"/>
        </w:rPr>
        <w:t xml:space="preserve"> </w:t>
      </w:r>
    </w:p>
    <w:tbl>
      <w:tblPr>
        <w:tblW w:w="6659" w:type="dxa"/>
        <w:jc w:val="left"/>
        <w:tblInd w:w="1393" w:type="dxa"/>
        <w:tblLayout w:type="fixed"/>
        <w:tblCellMar>
          <w:top w:w="0" w:type="dxa"/>
          <w:left w:w="0" w:type="dxa"/>
          <w:bottom w:w="50" w:type="dxa"/>
          <w:right w:w="0" w:type="dxa"/>
        </w:tblCellMar>
      </w:tblPr>
      <w:tblGrid>
        <w:gridCol w:w="3613"/>
        <w:gridCol w:w="109"/>
        <w:gridCol w:w="109"/>
        <w:gridCol w:w="122"/>
        <w:gridCol w:w="122"/>
        <w:gridCol w:w="862"/>
        <w:gridCol w:w="122"/>
        <w:gridCol w:w="109"/>
        <w:gridCol w:w="109"/>
        <w:gridCol w:w="122"/>
        <w:gridCol w:w="122"/>
        <w:gridCol w:w="862"/>
        <w:gridCol w:w="122"/>
        <w:gridCol w:w="154"/>
      </w:tblGrid>
      <w:tr>
        <w:trPr/>
        <w:tc>
          <w:tcPr>
            <w:tcW w:w="36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35,408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27,822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3" w:type="dxa"/>
            <w:tcBorders>
              <w:bottom w:val="single" w:sz="2" w:space="0" w:color="FFFFFF"/>
            </w:tcBorders>
            <w:vAlign w:val="center"/>
          </w:tcPr>
          <w:p>
            <w:pPr>
              <w:pStyle w:val="TableContents"/>
              <w:bidi w:val="0"/>
              <w:spacing w:before="0" w:after="0"/>
              <w:jc w:val="left"/>
              <w:rPr>
                <w:spacing w:val="4"/>
              </w:rPr>
            </w:pPr>
            <w:r>
              <w:rPr>
                <w:spacing w:val="4"/>
              </w:rPr>
              <w:t xml:space="preserve">Associated company payables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2,663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357</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bottom w:val="single" w:sz="2" w:space="0" w:color="CCEEFF"/>
            </w:tcBorders>
            <w:shd w:fill="CCEEFF" w:val="clear"/>
            <w:vAlign w:val="center"/>
          </w:tcPr>
          <w:p>
            <w:pPr>
              <w:pStyle w:val="TableContents"/>
              <w:bidi w:val="0"/>
              <w:spacing w:before="0" w:after="0"/>
              <w:jc w:val="left"/>
              <w:rPr/>
            </w:pPr>
            <w:r>
              <w:rPr>
                <w:spacing w:val="-4"/>
              </w:rPr>
              <w:t>Total trade and related party payables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38,071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28,179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0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33.   OTHER CURRENT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non-financial liabilities are as follows: </w:t>
      </w:r>
    </w:p>
    <w:tbl>
      <w:tblPr>
        <w:tblW w:w="6865" w:type="dxa"/>
        <w:jc w:val="left"/>
        <w:tblInd w:w="1393" w:type="dxa"/>
        <w:tblLayout w:type="fixed"/>
        <w:tblCellMar>
          <w:top w:w="0" w:type="dxa"/>
          <w:left w:w="0" w:type="dxa"/>
          <w:bottom w:w="50" w:type="dxa"/>
          <w:right w:w="0" w:type="dxa"/>
        </w:tblCellMar>
      </w:tblPr>
      <w:tblGrid>
        <w:gridCol w:w="3819"/>
        <w:gridCol w:w="109"/>
        <w:gridCol w:w="109"/>
        <w:gridCol w:w="122"/>
        <w:gridCol w:w="122"/>
        <w:gridCol w:w="862"/>
        <w:gridCol w:w="122"/>
        <w:gridCol w:w="109"/>
        <w:gridCol w:w="109"/>
        <w:gridCol w:w="122"/>
        <w:gridCol w:w="122"/>
        <w:gridCol w:w="862"/>
        <w:gridCol w:w="122"/>
        <w:gridCol w:w="154"/>
      </w:tblGrid>
      <w:tr>
        <w:trPr/>
        <w:tc>
          <w:tcPr>
            <w:tcW w:w="381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4,621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2,579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Tax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992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432</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Audit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1,853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Production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2,645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1,596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Liabilities due to reorganization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3,140</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Miscellaneous other current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5,142</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4,557</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19" w:type="dxa"/>
            <w:tcBorders>
              <w:bottom w:val="single" w:sz="2" w:space="0" w:color="FFFFFF"/>
            </w:tcBorders>
            <w:vAlign w:val="center"/>
          </w:tcPr>
          <w:p>
            <w:pPr>
              <w:pStyle w:val="TableContents"/>
              <w:bidi w:val="0"/>
              <w:spacing w:before="0" w:after="0"/>
              <w:jc w:val="left"/>
              <w:rPr/>
            </w:pPr>
            <w:r>
              <w:rPr>
                <w:spacing w:val="-4"/>
              </w:rPr>
              <w:t>Total other current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15,505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17,513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34.   FINANCIAL INSTRUMENTS AND 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Carrying Amounts and Fair Values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disclose the carrying amounts of each class of financial instruments together with its corresponding fair value and the aggregated carrying amount per category. </w:t>
      </w:r>
    </w:p>
    <w:tbl>
      <w:tblPr>
        <w:tblW w:w="8812" w:type="dxa"/>
        <w:jc w:val="left"/>
        <w:tblInd w:w="1393" w:type="dxa"/>
        <w:tblLayout w:type="fixed"/>
        <w:tblCellMar>
          <w:top w:w="0" w:type="dxa"/>
          <w:left w:w="0" w:type="dxa"/>
          <w:bottom w:w="28" w:type="dxa"/>
          <w:right w:w="0" w:type="dxa"/>
        </w:tblCellMar>
      </w:tblPr>
      <w:tblGrid>
        <w:gridCol w:w="3378"/>
        <w:gridCol w:w="109"/>
        <w:gridCol w:w="109"/>
        <w:gridCol w:w="109"/>
        <w:gridCol w:w="109"/>
        <w:gridCol w:w="856"/>
        <w:gridCol w:w="109"/>
        <w:gridCol w:w="109"/>
        <w:gridCol w:w="109"/>
        <w:gridCol w:w="109"/>
        <w:gridCol w:w="109"/>
        <w:gridCol w:w="766"/>
        <w:gridCol w:w="109"/>
        <w:gridCol w:w="109"/>
        <w:gridCol w:w="109"/>
        <w:gridCol w:w="115"/>
        <w:gridCol w:w="115"/>
        <w:gridCol w:w="684"/>
        <w:gridCol w:w="115"/>
        <w:gridCol w:w="109"/>
        <w:gridCol w:w="109"/>
        <w:gridCol w:w="1099"/>
        <w:gridCol w:w="158"/>
      </w:tblGrid>
      <w:tr>
        <w:trPr/>
        <w:tc>
          <w:tcPr>
            <w:tcW w:w="3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Group14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8,478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XJ Harbour price protection cap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7,713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loans and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Receivables from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Non-current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price protection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pPr>
            <w:r>
              <w:rPr>
                <w:spacing w:val="-4"/>
              </w:rPr>
              <w:t>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jc w:val="left"/>
              <w:rPr>
                <w:spacing w:val="4"/>
              </w:rPr>
            </w:pPr>
            <w:r>
              <w:rPr>
                <w:spacing w:val="4"/>
              </w:rPr>
              <w:t xml:space="preserve">Trade and related party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assets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155,893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loans and other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Receivables from equity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Non-current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Other 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636"/>
        <w:gridCol w:w="109"/>
        <w:gridCol w:w="109"/>
        <w:gridCol w:w="109"/>
        <w:gridCol w:w="109"/>
        <w:gridCol w:w="736"/>
        <w:gridCol w:w="109"/>
        <w:gridCol w:w="109"/>
        <w:gridCol w:w="109"/>
        <w:gridCol w:w="109"/>
        <w:gridCol w:w="109"/>
        <w:gridCol w:w="766"/>
        <w:gridCol w:w="109"/>
        <w:gridCol w:w="109"/>
        <w:gridCol w:w="109"/>
        <w:gridCol w:w="140"/>
        <w:gridCol w:w="140"/>
        <w:gridCol w:w="457"/>
        <w:gridCol w:w="140"/>
        <w:gridCol w:w="109"/>
        <w:gridCol w:w="109"/>
        <w:gridCol w:w="1114"/>
        <w:gridCol w:w="157"/>
      </w:tblGrid>
      <w:tr>
        <w:trPr/>
        <w:tc>
          <w:tcPr>
            <w:tcW w:w="3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283"/>
              <w:jc w:val="left"/>
              <w:rPr>
                <w:spacing w:val="4"/>
              </w:rPr>
            </w:pPr>
            <w:r>
              <w:rPr>
                <w:spacing w:val="4"/>
              </w:rPr>
              <w:t xml:space="preserve">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carrying amounts of cash and cash equivalents, trade and other receivables, loans from banks and trade payables, are considered reasonable estimates of their fair values because of the short maturities of these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Derivatives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Incentive options and conversion rights (Black forest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and the embedded conversion right of the convertible loan are classified as Level 3 of the fair value hierarchy. The warrants are valued using a Monte Carlo simulation model under risk-neutral Geometric Brownian Motion dynamics. A Black — Scholes closed-form valuation is performed as a cross-check. The fair value of the embedded conversion right within the EUR-denominated convertible loan is determined using a Least-Squares Monte Carlo (Longstaff — 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Share Price Protection and Cap: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derivates resulting from the share price protection arrangement are classified as Level 3 of the fair value hierarchy. The fair value is calculated using a Monte Carlo simulation model under risk-neutral Geometric Brownian Motion dynamics. A Black — 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485"/>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tables show the effect that an increase in historical volatility of the interest rates would have on the fair values of the embedded derivatives as of December 31, 2025. </w:t>
      </w:r>
    </w:p>
    <w:tbl>
      <w:tblPr>
        <w:tblW w:w="7370" w:type="dxa"/>
        <w:jc w:val="left"/>
        <w:tblInd w:w="1393" w:type="dxa"/>
        <w:tblLayout w:type="fixed"/>
        <w:tblCellMar>
          <w:top w:w="0" w:type="dxa"/>
          <w:left w:w="0" w:type="dxa"/>
          <w:bottom w:w="43" w:type="dxa"/>
          <w:right w:w="0" w:type="dxa"/>
        </w:tblCellMar>
      </w:tblPr>
      <w:tblGrid>
        <w:gridCol w:w="2565"/>
        <w:gridCol w:w="109"/>
        <w:gridCol w:w="109"/>
        <w:gridCol w:w="234"/>
        <w:gridCol w:w="234"/>
        <w:gridCol w:w="1650"/>
        <w:gridCol w:w="236"/>
        <w:gridCol w:w="109"/>
        <w:gridCol w:w="109"/>
        <w:gridCol w:w="208"/>
        <w:gridCol w:w="208"/>
        <w:gridCol w:w="1237"/>
        <w:gridCol w:w="208"/>
        <w:gridCol w:w="154"/>
      </w:tblGrid>
      <w:tr>
        <w:trPr/>
        <w:tc>
          <w:tcPr>
            <w:tcW w:w="2565" w:type="dxa"/>
            <w:tcBorders>
              <w:bottom w:val="single" w:sz="2" w:space="0" w:color="000000"/>
            </w:tcBorders>
            <w:vAlign w:val="center"/>
          </w:tcPr>
          <w:p>
            <w:pPr>
              <w:pStyle w:val="TableContents"/>
              <w:bidi w:val="0"/>
              <w:spacing w:before="0" w:after="283"/>
              <w:jc w:val="left"/>
              <w:rPr/>
            </w:pPr>
            <w:r>
              <w:rPr>
                <w:spacing w:val="-3"/>
              </w:rPr>
              <w:t>31.12.2025</w:t>
            </w:r>
            <w:r>
              <w:rPr/>
              <w:t xml:space="preserve"> </w:t>
              <w:br/>
            </w: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54" w:type="dxa"/>
            <w:gridSpan w:val="4"/>
            <w:tcBorders>
              <w:bottom w:val="single" w:sz="2" w:space="0" w:color="000000"/>
            </w:tcBorders>
            <w:vAlign w:val="center"/>
          </w:tcPr>
          <w:p>
            <w:pPr>
              <w:pStyle w:val="TableContents"/>
              <w:bidi w:val="0"/>
              <w:spacing w:before="0" w:after="0"/>
              <w:jc w:val="center"/>
              <w:rPr/>
            </w:pPr>
            <w:r>
              <w:rPr>
                <w:spacing w:val="-3"/>
              </w:rPr>
              <w:t>Fair value of 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1" w:type="dxa"/>
            <w:gridSpan w:val="4"/>
            <w:tcBorders>
              <w:bottom w:val="single" w:sz="2" w:space="0" w:color="000000"/>
            </w:tcBorders>
            <w:vAlign w:val="center"/>
          </w:tcPr>
          <w:p>
            <w:pPr>
              <w:pStyle w:val="TableContents"/>
              <w:bidi w:val="0"/>
              <w:spacing w:before="0" w:after="0"/>
              <w:jc w:val="center"/>
              <w:rPr/>
            </w:pPr>
            <w:r>
              <w:rPr>
                <w:spacing w:val="-3"/>
              </w:rPr>
              <w:t>Effect on financial</w:t>
            </w:r>
            <w:r>
              <w:rPr/>
              <w:t xml:space="preserve"> </w:t>
              <w:br/>
            </w:r>
            <w:r>
              <w:rPr>
                <w:spacing w:val="-3"/>
              </w:rPr>
              <w:t xml:space="preserve">result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Share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11.460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1.031</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shd w:fill="CCEEFF" w:val="clear"/>
            <w:tcMar>
              <w:bottom w:w="50" w:type="dxa"/>
            </w:tcMar>
            <w:vAlign w:val="center"/>
          </w:tcPr>
          <w:p>
            <w:pPr>
              <w:pStyle w:val="TableContents"/>
              <w:bidi w:val="0"/>
              <w:spacing w:before="0" w:after="283"/>
              <w:jc w:val="right"/>
              <w:rPr/>
            </w:pPr>
            <w:r>
              <w:rPr/>
              <w:t>9.434</w:t>
            </w:r>
          </w:p>
        </w:tc>
        <w:tc>
          <w:tcPr>
            <w:tcW w:w="2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shd w:fill="CCEEFF" w:val="clear"/>
            <w:tcMar>
              <w:bottom w:w="50" w:type="dxa"/>
            </w:tcMar>
            <w:vAlign w:val="center"/>
          </w:tcPr>
          <w:p>
            <w:pPr>
              <w:pStyle w:val="TableContents"/>
              <w:bidi w:val="0"/>
              <w:spacing w:before="0" w:after="283"/>
              <w:jc w:val="right"/>
              <w:rPr/>
            </w:pPr>
            <w:r>
              <w:rPr/>
              <w:t>(995)</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Change in Share volatility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10.846</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417</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tcMar>
              <w:bottom w:w="50" w:type="dxa"/>
            </w:tcMar>
            <w:vAlign w:val="center"/>
          </w:tcPr>
          <w:p>
            <w:pPr>
              <w:pStyle w:val="TableContents"/>
              <w:bidi w:val="0"/>
              <w:spacing w:before="0" w:after="283"/>
              <w:jc w:val="right"/>
              <w:rPr/>
            </w:pPr>
            <w:r>
              <w:rPr/>
              <w:t>9.946</w:t>
            </w:r>
          </w:p>
        </w:tc>
        <w:tc>
          <w:tcPr>
            <w:tcW w:w="2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(483)</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Credit Spread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10.390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(39)</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10.468</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39</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transfers between levels 1, 2 and 3 for recurring fair value measurements during the year.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assets reconciliation: </w:t>
      </w:r>
    </w:p>
    <w:tbl>
      <w:tblPr>
        <w:tblW w:w="8812" w:type="dxa"/>
        <w:jc w:val="left"/>
        <w:tblInd w:w="1393" w:type="dxa"/>
        <w:tblLayout w:type="fixed"/>
        <w:tblCellMar>
          <w:top w:w="0" w:type="dxa"/>
          <w:left w:w="0" w:type="dxa"/>
          <w:bottom w:w="43" w:type="dxa"/>
          <w:right w:w="0" w:type="dxa"/>
        </w:tblCellMar>
      </w:tblPr>
      <w:tblGrid>
        <w:gridCol w:w="3696"/>
        <w:gridCol w:w="109"/>
        <w:gridCol w:w="109"/>
        <w:gridCol w:w="171"/>
        <w:gridCol w:w="171"/>
        <w:gridCol w:w="1019"/>
        <w:gridCol w:w="171"/>
        <w:gridCol w:w="109"/>
        <w:gridCol w:w="109"/>
        <w:gridCol w:w="163"/>
        <w:gridCol w:w="163"/>
        <w:gridCol w:w="1190"/>
        <w:gridCol w:w="163"/>
        <w:gridCol w:w="109"/>
        <w:gridCol w:w="109"/>
        <w:gridCol w:w="109"/>
        <w:gridCol w:w="109"/>
        <w:gridCol w:w="766"/>
        <w:gridCol w:w="109"/>
        <w:gridCol w:w="158"/>
      </w:tblGrid>
      <w:tr>
        <w:trPr/>
        <w:tc>
          <w:tcPr>
            <w:tcW w:w="369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9" w:type="dxa"/>
            <w:gridSpan w:val="4"/>
            <w:tcBorders>
              <w:bottom w:val="single" w:sz="2" w:space="0" w:color="000000"/>
            </w:tcBorders>
            <w:vAlign w:val="center"/>
          </w:tcPr>
          <w:p>
            <w:pPr>
              <w:pStyle w:val="TableContents"/>
              <w:bidi w:val="0"/>
              <w:spacing w:before="0" w:after="0"/>
              <w:jc w:val="center"/>
              <w:rPr/>
            </w:pPr>
            <w:r>
              <w:rPr>
                <w:spacing w:val="-3"/>
              </w:rPr>
              <w:t>XJ Harbour price</w:t>
            </w:r>
            <w:r>
              <w:rPr/>
              <w:t xml:space="preserve"> </w:t>
              <w:br/>
            </w:r>
            <w:r>
              <w:rPr>
                <w:spacing w:val="-3"/>
              </w:rPr>
              <w:t>protection cap</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6,234</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10,808</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17,042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2,244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(3,095)</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8,478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7,713</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liabilities reconciliation: </w:t>
      </w:r>
    </w:p>
    <w:tbl>
      <w:tblPr>
        <w:tblW w:w="8812" w:type="dxa"/>
        <w:jc w:val="left"/>
        <w:tblInd w:w="1393" w:type="dxa"/>
        <w:tblLayout w:type="fixed"/>
        <w:tblCellMar>
          <w:top w:w="0" w:type="dxa"/>
          <w:left w:w="0" w:type="dxa"/>
          <w:bottom w:w="43" w:type="dxa"/>
          <w:right w:w="0" w:type="dxa"/>
        </w:tblCellMar>
      </w:tblPr>
      <w:tblGrid>
        <w:gridCol w:w="2833"/>
        <w:gridCol w:w="109"/>
        <w:gridCol w:w="109"/>
        <w:gridCol w:w="126"/>
        <w:gridCol w:w="126"/>
        <w:gridCol w:w="888"/>
        <w:gridCol w:w="126"/>
        <w:gridCol w:w="109"/>
        <w:gridCol w:w="109"/>
        <w:gridCol w:w="143"/>
        <w:gridCol w:w="143"/>
        <w:gridCol w:w="856"/>
        <w:gridCol w:w="147"/>
        <w:gridCol w:w="109"/>
        <w:gridCol w:w="109"/>
        <w:gridCol w:w="126"/>
        <w:gridCol w:w="126"/>
        <w:gridCol w:w="906"/>
        <w:gridCol w:w="126"/>
        <w:gridCol w:w="109"/>
        <w:gridCol w:w="109"/>
        <w:gridCol w:w="109"/>
        <w:gridCol w:w="109"/>
        <w:gridCol w:w="781"/>
        <w:gridCol w:w="109"/>
        <w:gridCol w:w="160"/>
      </w:tblGrid>
      <w:tr>
        <w:trPr/>
        <w:tc>
          <w:tcPr>
            <w:tcW w:w="28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4" w:type="dxa"/>
            <w:gridSpan w:val="4"/>
            <w:tcBorders>
              <w:bottom w:val="single" w:sz="2" w:space="0" w:color="000000"/>
            </w:tcBorders>
            <w:vAlign w:val="center"/>
          </w:tcPr>
          <w:p>
            <w:pPr>
              <w:pStyle w:val="TableContents"/>
              <w:bidi w:val="0"/>
              <w:spacing w:before="0" w:after="0"/>
              <w:jc w:val="center"/>
              <w:rPr/>
            </w:pPr>
            <w:r>
              <w:rPr>
                <w:spacing w:val="-3"/>
              </w:rPr>
              <w:t>XJ Harbour – </w:t>
            </w:r>
            <w:r>
              <w:rPr/>
              <w:t xml:space="preserve"> </w:t>
              <w:br/>
            </w:r>
            <w:r>
              <w:rPr>
                <w:spacing w:val="-3"/>
              </w:rPr>
              <w:t>embedded</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3,418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1,904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12,964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18,286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(1,644)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(317)</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(3,505)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(5,466)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1,775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1,587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9,459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12,820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Items of income, expenses, gains or losses resulting from 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gains or losses for each of the financial instrument measurement categories differentiated by the respective sources were as follows: </w:t>
      </w:r>
    </w:p>
    <w:tbl>
      <w:tblPr>
        <w:tblW w:w="8577" w:type="dxa"/>
        <w:jc w:val="left"/>
        <w:tblInd w:w="1393" w:type="dxa"/>
        <w:tblLayout w:type="fixed"/>
        <w:tblCellMar>
          <w:top w:w="0" w:type="dxa"/>
          <w:left w:w="0" w:type="dxa"/>
          <w:bottom w:w="50" w:type="dxa"/>
          <w:right w:w="0" w:type="dxa"/>
        </w:tblCellMar>
      </w:tblPr>
      <w:tblGrid>
        <w:gridCol w:w="4040"/>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2025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6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(28,076)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(39,413)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83" w:type="dxa"/>
        <w:jc w:val="left"/>
        <w:tblInd w:w="1393" w:type="dxa"/>
        <w:tblLayout w:type="fixed"/>
        <w:tblCellMar>
          <w:top w:w="0" w:type="dxa"/>
          <w:left w:w="0" w:type="dxa"/>
          <w:bottom w:w="50" w:type="dxa"/>
          <w:right w:w="0" w:type="dxa"/>
        </w:tblCellMar>
      </w:tblPr>
      <w:tblGrid>
        <w:gridCol w:w="4040"/>
        <w:gridCol w:w="109"/>
        <w:gridCol w:w="109"/>
        <w:gridCol w:w="109"/>
        <w:gridCol w:w="109"/>
        <w:gridCol w:w="796"/>
        <w:gridCol w:w="109"/>
        <w:gridCol w:w="109"/>
        <w:gridCol w:w="109"/>
        <w:gridCol w:w="122"/>
        <w:gridCol w:w="122"/>
        <w:gridCol w:w="723"/>
        <w:gridCol w:w="122"/>
        <w:gridCol w:w="109"/>
        <w:gridCol w:w="109"/>
        <w:gridCol w:w="109"/>
        <w:gridCol w:w="109"/>
        <w:gridCol w:w="79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2024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1"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n/a</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n/a</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723" w:type="dxa"/>
            <w:tcBorders>
              <w:bottom w:val="single" w:sz="2" w:space="0" w:color="000000"/>
            </w:tcBorders>
            <w:shd w:fill="CCEEFF" w:val="clear"/>
            <w:vAlign w:val="center"/>
          </w:tcPr>
          <w:p>
            <w:pPr>
              <w:pStyle w:val="TableContents"/>
              <w:bidi w:val="0"/>
              <w:spacing w:before="0" w:after="283"/>
              <w:jc w:val="right"/>
              <w:rPr/>
            </w:pPr>
            <w:r>
              <w:rPr/>
              <w:t>1,028</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723" w:type="dxa"/>
            <w:tcBorders>
              <w:bottom w:val="single" w:sz="2" w:space="0" w:color="000000"/>
            </w:tcBorders>
            <w:vAlign w:val="center"/>
          </w:tcPr>
          <w:p>
            <w:pPr>
              <w:pStyle w:val="TableContents"/>
              <w:bidi w:val="0"/>
              <w:spacing w:before="0" w:after="283"/>
              <w:jc w:val="right"/>
              <w:rPr/>
            </w:pPr>
            <w:r>
              <w:rPr/>
              <w:t>1,028</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(2,975)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 Risk Management Objectives and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Credit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allowances for ECL determined for the different classes of financial assets developed as follows: </w:t>
      </w:r>
    </w:p>
    <w:tbl>
      <w:tblPr>
        <w:tblW w:w="7391" w:type="dxa"/>
        <w:jc w:val="left"/>
        <w:tblInd w:w="1393" w:type="dxa"/>
        <w:tblLayout w:type="fixed"/>
        <w:tblCellMar>
          <w:top w:w="0" w:type="dxa"/>
          <w:left w:w="0" w:type="dxa"/>
          <w:bottom w:w="43" w:type="dxa"/>
          <w:right w:w="0" w:type="dxa"/>
        </w:tblCellMar>
      </w:tblPr>
      <w:tblGrid>
        <w:gridCol w:w="2813"/>
        <w:gridCol w:w="109"/>
        <w:gridCol w:w="109"/>
        <w:gridCol w:w="250"/>
        <w:gridCol w:w="250"/>
        <w:gridCol w:w="1242"/>
        <w:gridCol w:w="252"/>
        <w:gridCol w:w="109"/>
        <w:gridCol w:w="109"/>
        <w:gridCol w:w="250"/>
        <w:gridCol w:w="250"/>
        <w:gridCol w:w="1242"/>
        <w:gridCol w:w="252"/>
        <w:gridCol w:w="154"/>
      </w:tblGrid>
      <w:tr>
        <w:trPr/>
        <w:tc>
          <w:tcPr>
            <w:tcW w:w="28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not credit impaired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credit impaired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(137)</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(569)</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14</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193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(123)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(376)</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(196)</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(99)</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Closing Balance 31/12/2025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(319)</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(475)</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provide information about the gross carrying amounts by credit-risk rating classes for the several types of financial assets that are not measured at FVTPL and therefore generally subject to the impairment regulations of IFRS 9. </w:t>
      </w:r>
    </w:p>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22"/>
        <w:gridCol w:w="122"/>
        <w:gridCol w:w="862"/>
        <w:gridCol w:w="122"/>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11,459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17,622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11,459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37"/>
        <w:gridCol w:w="137"/>
        <w:gridCol w:w="817"/>
        <w:gridCol w:w="137"/>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4,711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5,473</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18,635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5,473</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Liquidity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 on the financial situation, please refer to the explanation on Going Concern (see note 2. Basis of Presentation).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39"/>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details of the (undiscounted) cash outflows of financial liabilities (including interest payments).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12/31/2025</w:t>
            </w:r>
            <w:r>
              <w:rPr/>
              <w:t xml:space="preserve"> </w:t>
              <w:br/>
            </w:r>
            <w:r>
              <w:rPr>
                <w:spacing w:val="-3"/>
              </w:rPr>
              <w:t>Total cash</w:t>
            </w:r>
            <w:r>
              <w:rPr/>
              <w:t xml:space="preserve"> </w:t>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1,452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3,733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3,600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10,688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1,191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2,423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5,234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5" w:type="dxa"/>
            <w:tcBorders/>
            <w:tcMar>
              <w:bottom w:w="0" w:type="dxa"/>
            </w:tcMar>
            <w:vAlign w:val="center"/>
          </w:tcPr>
          <w:p>
            <w:pPr>
              <w:pStyle w:val="TableContents"/>
              <w:bidi w:val="0"/>
              <w:spacing w:before="0" w:after="0"/>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8,348</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21,651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26,261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11,341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19,975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12/31/2024</w:t>
            </w:r>
            <w:r>
              <w:rPr/>
              <w:t xml:space="preserve"> </w:t>
              <w:br/>
            </w:r>
            <w:r>
              <w:rPr>
                <w:spacing w:val="-3"/>
              </w:rPr>
              <w:t xml:space="preserve">Total cash </w:t>
            </w:r>
            <w:r>
              <w:rPr/>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1,928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4,081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6,014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14,131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2,063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2,790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21,661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30,877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14,394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39,365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80" w:type="dxa"/>
        <w:jc w:val="left"/>
        <w:tblInd w:w="1393" w:type="dxa"/>
        <w:tblLayout w:type="fixed"/>
        <w:tblCellMar>
          <w:top w:w="0" w:type="dxa"/>
          <w:left w:w="0" w:type="dxa"/>
          <w:bottom w:w="50" w:type="dxa"/>
          <w:right w:w="0" w:type="dxa"/>
        </w:tblCellMar>
      </w:tblPr>
      <w:tblGrid>
        <w:gridCol w:w="1039"/>
        <w:gridCol w:w="109"/>
        <w:gridCol w:w="109"/>
        <w:gridCol w:w="109"/>
        <w:gridCol w:w="109"/>
        <w:gridCol w:w="766"/>
        <w:gridCol w:w="109"/>
        <w:gridCol w:w="109"/>
        <w:gridCol w:w="109"/>
        <w:gridCol w:w="109"/>
        <w:gridCol w:w="109"/>
        <w:gridCol w:w="721"/>
        <w:gridCol w:w="109"/>
        <w:gridCol w:w="109"/>
        <w:gridCol w:w="109"/>
        <w:gridCol w:w="109"/>
        <w:gridCol w:w="109"/>
        <w:gridCol w:w="841"/>
        <w:gridCol w:w="109"/>
        <w:gridCol w:w="109"/>
        <w:gridCol w:w="109"/>
        <w:gridCol w:w="109"/>
        <w:gridCol w:w="109"/>
        <w:gridCol w:w="541"/>
        <w:gridCol w:w="109"/>
        <w:gridCol w:w="109"/>
        <w:gridCol w:w="109"/>
        <w:gridCol w:w="109"/>
        <w:gridCol w:w="109"/>
        <w:gridCol w:w="109"/>
        <w:gridCol w:w="766"/>
        <w:gridCol w:w="109"/>
        <w:gridCol w:w="109"/>
        <w:gridCol w:w="109"/>
        <w:gridCol w:w="109"/>
        <w:gridCol w:w="109"/>
        <w:gridCol w:w="841"/>
        <w:gridCol w:w="109"/>
        <w:gridCol w:w="109"/>
        <w:gridCol w:w="109"/>
        <w:gridCol w:w="109"/>
        <w:gridCol w:w="109"/>
        <w:gridCol w:w="721"/>
        <w:gridCol w:w="109"/>
        <w:gridCol w:w="109"/>
        <w:gridCol w:w="109"/>
        <w:gridCol w:w="109"/>
        <w:gridCol w:w="109"/>
        <w:gridCol w:w="721"/>
        <w:gridCol w:w="109"/>
        <w:gridCol w:w="154"/>
      </w:tblGrid>
      <w:tr>
        <w:trPr/>
        <w:tc>
          <w:tcPr>
            <w:tcW w:w="1039" w:type="dxa"/>
            <w:tcBorders>
              <w:bottom w:val="single" w:sz="2" w:space="0" w:color="000000"/>
            </w:tcBorders>
            <w:vAlign w:val="center"/>
          </w:tcPr>
          <w:p>
            <w:pPr>
              <w:pStyle w:val="TableContents"/>
              <w:bidi w:val="0"/>
              <w:spacing w:before="0" w:after="0"/>
              <w:jc w:val="left"/>
              <w:rPr>
                <w:spacing w:val="-3"/>
              </w:rPr>
            </w:pPr>
            <w:r>
              <w:rPr>
                <w:spacing w:val="-3"/>
              </w:rPr>
              <w:t xml:space="preserve">functional currency entity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3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1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EUR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(62,449)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27,201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CNY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(2,071)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USD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TWD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HKD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KRW</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2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 </w:t>
      </w:r>
    </w:p>
    <w:tbl>
      <w:tblPr>
        <w:tblW w:w="6723" w:type="dxa"/>
        <w:jc w:val="left"/>
        <w:tblInd w:w="1393" w:type="dxa"/>
        <w:tblLayout w:type="fixed"/>
        <w:tblCellMar>
          <w:top w:w="0" w:type="dxa"/>
          <w:left w:w="0" w:type="dxa"/>
          <w:bottom w:w="50" w:type="dxa"/>
          <w:right w:w="0" w:type="dxa"/>
        </w:tblCellMar>
      </w:tblPr>
      <w:tblGrid>
        <w:gridCol w:w="1426"/>
        <w:gridCol w:w="109"/>
        <w:gridCol w:w="109"/>
        <w:gridCol w:w="109"/>
        <w:gridCol w:w="109"/>
        <w:gridCol w:w="646"/>
        <w:gridCol w:w="109"/>
        <w:gridCol w:w="109"/>
        <w:gridCol w:w="109"/>
        <w:gridCol w:w="109"/>
        <w:gridCol w:w="109"/>
        <w:gridCol w:w="796"/>
        <w:gridCol w:w="109"/>
        <w:gridCol w:w="109"/>
        <w:gridCol w:w="109"/>
        <w:gridCol w:w="109"/>
        <w:gridCol w:w="109"/>
        <w:gridCol w:w="109"/>
        <w:gridCol w:w="616"/>
        <w:gridCol w:w="109"/>
        <w:gridCol w:w="109"/>
        <w:gridCol w:w="109"/>
        <w:gridCol w:w="109"/>
        <w:gridCol w:w="109"/>
        <w:gridCol w:w="796"/>
        <w:gridCol w:w="109"/>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1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CNY/EUR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USD/EUR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Interest Rate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risk is the risk that the fair value or future cash flows of a financial instrument will fluctuate because of changes in market interest rates. As SCHMID in 2025 has no loans with variable interest rates, the exposure to interest rate risk is insignificant. </w:t>
      </w:r>
    </w:p>
    <w:tbl>
      <w:tblPr>
        <w:tblW w:w="5704" w:type="dxa"/>
        <w:jc w:val="left"/>
        <w:tblInd w:w="1393" w:type="dxa"/>
        <w:tblLayout w:type="fixed"/>
        <w:tblCellMar>
          <w:top w:w="0" w:type="dxa"/>
          <w:left w:w="0" w:type="dxa"/>
          <w:bottom w:w="43" w:type="dxa"/>
          <w:right w:w="0" w:type="dxa"/>
        </w:tblCellMar>
      </w:tblPr>
      <w:tblGrid>
        <w:gridCol w:w="2878"/>
        <w:gridCol w:w="109"/>
        <w:gridCol w:w="109"/>
        <w:gridCol w:w="308"/>
        <w:gridCol w:w="308"/>
        <w:gridCol w:w="1528"/>
        <w:gridCol w:w="310"/>
        <w:gridCol w:w="154"/>
      </w:tblGrid>
      <w:tr>
        <w:trPr/>
        <w:tc>
          <w:tcPr>
            <w:tcW w:w="287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before="0" w:after="0"/>
              <w:jc w:val="center"/>
              <w:rPr/>
            </w:pPr>
            <w:r>
              <w:rPr>
                <w:spacing w:val="-3"/>
              </w:rPr>
              <w:t>Impact to P/L</w:t>
            </w:r>
            <w:r>
              <w:rPr/>
              <w:t xml:space="preserve"> </w:t>
              <w:br/>
            </w:r>
            <w:r>
              <w:rPr>
                <w:spacing w:val="-3"/>
              </w:rPr>
              <w:t xml:space="preserve">(income (+)/ expense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(388)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388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(378)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378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Capital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finance department reviews the total amount of cash of SCHMID on a monthly basis. As part of this review, management considers the total cash and cash equivalents, the cash outflow, currency translation differences and funding activities.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subject to externally imposed capital requirements see note 29. Non-current and current financial liabilities for further details. No changes were made in the objectives, policies or processes for managing cash during the years ended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3MI"/>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changes in liabilities arising from financing activities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500"/>
        <w:gridCol w:w="109"/>
        <w:gridCol w:w="109"/>
        <w:gridCol w:w="109"/>
        <w:gridCol w:w="109"/>
        <w:gridCol w:w="880"/>
        <w:gridCol w:w="109"/>
        <w:gridCol w:w="109"/>
        <w:gridCol w:w="109"/>
        <w:gridCol w:w="109"/>
        <w:gridCol w:w="109"/>
        <w:gridCol w:w="760"/>
        <w:gridCol w:w="109"/>
        <w:gridCol w:w="109"/>
        <w:gridCol w:w="109"/>
        <w:gridCol w:w="109"/>
        <w:gridCol w:w="109"/>
        <w:gridCol w:w="880"/>
        <w:gridCol w:w="109"/>
        <w:gridCol w:w="157"/>
      </w:tblGrid>
      <w:tr>
        <w:trPr/>
        <w:tc>
          <w:tcPr>
            <w:tcW w:w="450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77,433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9,694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87,127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4,962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(2,098)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2,864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paid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(585)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(28,838)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954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(27,884)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(2,916)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3,363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Derecognition XJ share purchase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Loan forgiveness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53,556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8,550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62,106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4481"/>
        <w:gridCol w:w="109"/>
        <w:gridCol w:w="109"/>
        <w:gridCol w:w="109"/>
        <w:gridCol w:w="109"/>
        <w:gridCol w:w="879"/>
        <w:gridCol w:w="109"/>
        <w:gridCol w:w="109"/>
        <w:gridCol w:w="109"/>
        <w:gridCol w:w="109"/>
        <w:gridCol w:w="109"/>
        <w:gridCol w:w="781"/>
        <w:gridCol w:w="109"/>
        <w:gridCol w:w="109"/>
        <w:gridCol w:w="109"/>
        <w:gridCol w:w="109"/>
        <w:gridCol w:w="109"/>
        <w:gridCol w:w="879"/>
        <w:gridCol w:w="109"/>
        <w:gridCol w:w="157"/>
      </w:tblGrid>
      <w:tr>
        <w:trPr/>
        <w:tc>
          <w:tcPr>
            <w:tcW w:w="448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48,244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10,886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59,130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6,173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(2,184)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3,989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Proceeds from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23,016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993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24,009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22,644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measurement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77,433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9,694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87,127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1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35.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owns non-controlling interests in the following entities as of December 31, 2025 and 2024. The proportion of ownership interest is the same as the proportion of voting rights held. </w:t>
      </w:r>
    </w:p>
    <w:tbl>
      <w:tblPr>
        <w:tblW w:w="8812" w:type="dxa"/>
        <w:jc w:val="left"/>
        <w:tblInd w:w="1393" w:type="dxa"/>
        <w:tblLayout w:type="fixed"/>
        <w:tblCellMar>
          <w:top w:w="0" w:type="dxa"/>
          <w:left w:w="0" w:type="dxa"/>
          <w:bottom w:w="28" w:type="dxa"/>
          <w:right w:w="0" w:type="dxa"/>
        </w:tblCellMar>
      </w:tblPr>
      <w:tblGrid>
        <w:gridCol w:w="3583"/>
        <w:gridCol w:w="109"/>
        <w:gridCol w:w="109"/>
        <w:gridCol w:w="2193"/>
        <w:gridCol w:w="109"/>
        <w:gridCol w:w="109"/>
        <w:gridCol w:w="143"/>
        <w:gridCol w:w="143"/>
        <w:gridCol w:w="667"/>
        <w:gridCol w:w="143"/>
        <w:gridCol w:w="124"/>
        <w:gridCol w:w="124"/>
        <w:gridCol w:w="143"/>
        <w:gridCol w:w="143"/>
        <w:gridCol w:w="667"/>
        <w:gridCol w:w="143"/>
        <w:gridCol w:w="160"/>
      </w:tblGrid>
      <w:tr>
        <w:trPr/>
        <w:tc>
          <w:tcPr>
            <w:tcW w:w="35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4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ownership interest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the entity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Country of incorporation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shd w:fill="CCEEFF" w:val="clear"/>
            <w:tcMar>
              <w:bottom w:w="0" w:type="dxa"/>
            </w:tcMar>
            <w:vAlign w:val="center"/>
          </w:tcPr>
          <w:p>
            <w:pPr>
              <w:pStyle w:val="TableContents"/>
              <w:bidi w:val="0"/>
              <w:spacing w:before="0" w:after="0"/>
              <w:jc w:val="left"/>
              <w:rPr>
                <w:spacing w:val="4"/>
              </w:rPr>
            </w:pPr>
            <w:r>
              <w:rPr>
                <w:spacing w:val="4"/>
              </w:rPr>
              <w:t xml:space="preserve">SCHMID AVACO Korea Co. Ltd. (SAK)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9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583" w:type="dxa"/>
            <w:tcBorders/>
            <w:tcMar>
              <w:bottom w:w="0" w:type="dxa"/>
            </w:tcMar>
            <w:vAlign w:val="center"/>
          </w:tcPr>
          <w:p>
            <w:pPr>
              <w:pStyle w:val="TableContents"/>
              <w:bidi w:val="0"/>
              <w:spacing w:before="0" w:after="0"/>
              <w:jc w:val="left"/>
              <w:rPr>
                <w:spacing w:val="4"/>
              </w:rPr>
            </w:pPr>
            <w:r>
              <w:rPr>
                <w:spacing w:val="4"/>
              </w:rPr>
              <w:t xml:space="preserve">SCHMID Energy Systems GmbH (SES)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48%</w:t>
            </w:r>
          </w:p>
        </w:tc>
        <w:tc>
          <w:tcPr>
            <w:tcW w:w="143"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49%</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each entity is provided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AVACO Korea Co. Ltd. (SAK), South Korea is a company that specializes in the sales and marketing of Physical Vapor Etch (“PVE”) and Physical Vapor Deposition (“PVD”) equipment. SCHMID developed many innovative PVE and PVD processes and has access to the major manufacturers for PCB,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3AC"/>
      <w:bookmarkEnd w:id="87"/>
      <w:r>
        <w:rPr>
          <w:rFonts w:ascii="calibri;arial;sans-serif" w:hAnsi="calibri;arial;sans-serif"/>
          <w:b w:val="false"/>
          <w:i w:val="false"/>
          <w:caps w:val="false"/>
          <w:smallCaps w:val="false"/>
          <w:color w:val="000000"/>
          <w:sz w:val="16"/>
        </w:rPr>
        <w:t>​</w:t>
      </w:r>
      <w:bookmarkStart w:id="88" w:name="t3PD"/>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Substrates and Panel Level Packing. Avaco produces a wide range of equipment, which serves various industries including chip industry, automotive, electronics and telecommunications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36.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Company has commitments amounting to €13 thousand (December 31, 2024: €0 thousand) to acquire items of property, plant &amp; equipment.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37.   RELATED PARTY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a listed company with Christian Schmid and Anette Schmid as majority shareholders. Christian Schmid is also the CEO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Key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management personnel are defined as those persons who are responsible for SCHMID´s worldwide operating business, based on their function within SCHMID or the interests of SCHMID. The following individuals belong or belonged to SCHMID´s key management: </w:t>
      </w:r>
    </w:p>
    <w:tbl>
      <w:tblPr>
        <w:tblW w:w="8812" w:type="dxa"/>
        <w:jc w:val="left"/>
        <w:tblInd w:w="1393" w:type="dxa"/>
        <w:tblLayout w:type="fixed"/>
        <w:tblCellMar>
          <w:top w:w="0" w:type="dxa"/>
          <w:left w:w="0" w:type="dxa"/>
          <w:bottom w:w="43" w:type="dxa"/>
          <w:right w:w="0" w:type="dxa"/>
        </w:tblCellMar>
      </w:tblPr>
      <w:tblGrid>
        <w:gridCol w:w="2046"/>
        <w:gridCol w:w="109"/>
        <w:gridCol w:w="109"/>
        <w:gridCol w:w="2787"/>
        <w:gridCol w:w="109"/>
        <w:gridCol w:w="109"/>
        <w:gridCol w:w="3387"/>
        <w:gridCol w:w="156"/>
      </w:tblGrid>
      <w:tr>
        <w:trPr/>
        <w:tc>
          <w:tcPr>
            <w:tcW w:w="20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7" w:type="dxa"/>
            <w:tcBorders>
              <w:bottom w:val="single" w:sz="2" w:space="0" w:color="000000"/>
            </w:tcBorders>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7" w:type="dxa"/>
            <w:tcBorders>
              <w:bottom w:val="single" w:sz="2" w:space="0" w:color="000000"/>
            </w:tcBorders>
            <w:vAlign w:val="center"/>
          </w:tcPr>
          <w:p>
            <w:pPr>
              <w:pStyle w:val="TableContents"/>
              <w:bidi w:val="0"/>
              <w:spacing w:before="0" w:after="0"/>
              <w:jc w:val="center"/>
              <w:rPr/>
            </w:pPr>
            <w:r>
              <w:rPr>
                <w:spacing w:val="-3"/>
              </w:rPr>
              <w:t xml:space="preserve">Function &amp; Member of key management </w:t>
            </w:r>
            <w:r>
              <w:rPr/>
              <w:br/>
            </w:r>
            <w:r>
              <w:rPr>
                <w:spacing w:val="-3"/>
              </w:rPr>
              <w:t xml:space="preserve">since/until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Executive Director of SCHMID Group N. V., CEO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Prof. Dr. Dr. h.c.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Chairman of the Board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since 27.12.2024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Julia Natterer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CFO (Chief Financial Officer) (SCHMID Group N. V.: until 31.12.2025)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Roland Rettenmeier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CSO (Chief Sales Officer) since 01.03.2025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Helmut Rauch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COO (Chief Operational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Dian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CTO (Chief Technology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Thomas Widmann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pPr>
            <w:r>
              <w:rPr>
                <w:spacing w:val="4"/>
              </w:rPr>
              <w:t>CIO (Chief Innovation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1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as medical, death and disability coverage, Company car and other usual facilities as applicable. The outstanding balances also include the liability in connection with the defined benefit obligation.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entities included in the consolidated financial statements and the at equity investments (see note 2. Basis of Presentation), SCHMID maintains relationships with other related parties. Related parties comprise the following entities (not individuals): </w:t>
      </w:r>
    </w:p>
    <w:tbl>
      <w:tblPr>
        <w:tblW w:w="8812" w:type="dxa"/>
        <w:jc w:val="left"/>
        <w:tblInd w:w="1393" w:type="dxa"/>
        <w:tblLayout w:type="fixed"/>
        <w:tblCellMar>
          <w:top w:w="0" w:type="dxa"/>
          <w:left w:w="0" w:type="dxa"/>
          <w:bottom w:w="50" w:type="dxa"/>
          <w:right w:w="0" w:type="dxa"/>
        </w:tblCellMar>
      </w:tblPr>
      <w:tblGrid>
        <w:gridCol w:w="4027"/>
        <w:gridCol w:w="109"/>
        <w:gridCol w:w="109"/>
        <w:gridCol w:w="4412"/>
        <w:gridCol w:w="155"/>
      </w:tblGrid>
      <w:tr>
        <w:trPr/>
        <w:tc>
          <w:tcPr>
            <w:tcW w:w="4027"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12" w:type="dxa"/>
            <w:tcBorders>
              <w:bottom w:val="single" w:sz="2" w:space="0" w:color="000000"/>
            </w:tcBorders>
            <w:vAlign w:val="center"/>
          </w:tcPr>
          <w:p>
            <w:pPr>
              <w:pStyle w:val="TableContents"/>
              <w:bidi w:val="0"/>
              <w:spacing w:before="0" w:after="0"/>
              <w:jc w:val="center"/>
              <w:rPr>
                <w:spacing w:val="-3"/>
              </w:rPr>
            </w:pPr>
            <w:r>
              <w:rPr>
                <w:spacing w:val="-3"/>
              </w:rPr>
              <w:t xml:space="preserve">Relationship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Avaco Korea, Co. Ltd. (SAK)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Energy Systems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Verwaltungs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Jointly controlled by Christian and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Grundstücke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pPr>
            <w:r>
              <w:rPr>
                <w:spacing w:val="4"/>
              </w:rPr>
              <w:t>Jointly controlled by Christian and Anette Schmid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transactions are proceeded with related parties. </w:t>
      </w:r>
    </w:p>
    <w:tbl>
      <w:tblPr>
        <w:tblW w:w="7651" w:type="dxa"/>
        <w:jc w:val="left"/>
        <w:tblInd w:w="1393" w:type="dxa"/>
        <w:tblLayout w:type="fixed"/>
        <w:tblCellMar>
          <w:top w:w="0" w:type="dxa"/>
          <w:left w:w="0" w:type="dxa"/>
          <w:bottom w:w="50" w:type="dxa"/>
          <w:right w:w="0" w:type="dxa"/>
        </w:tblCellMar>
      </w:tblPr>
      <w:tblGrid>
        <w:gridCol w:w="3804"/>
        <w:gridCol w:w="109"/>
        <w:gridCol w:w="109"/>
        <w:gridCol w:w="109"/>
        <w:gridCol w:w="109"/>
        <w:gridCol w:w="646"/>
        <w:gridCol w:w="109"/>
        <w:gridCol w:w="109"/>
        <w:gridCol w:w="109"/>
        <w:gridCol w:w="109"/>
        <w:gridCol w:w="109"/>
        <w:gridCol w:w="646"/>
        <w:gridCol w:w="109"/>
        <w:gridCol w:w="109"/>
        <w:gridCol w:w="109"/>
        <w:gridCol w:w="109"/>
        <w:gridCol w:w="109"/>
        <w:gridCol w:w="766"/>
        <w:gridCol w:w="109"/>
        <w:gridCol w:w="154"/>
      </w:tblGrid>
      <w:tr>
        <w:trPr/>
        <w:tc>
          <w:tcPr>
            <w:tcW w:w="38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income on loans granted to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expense on loans received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Purchases of goods or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283"/>
              <w:jc w:val="left"/>
              <w:rPr/>
            </w:pPr>
            <w:r>
              <w:rPr>
                <w:spacing w:val="-4"/>
              </w:rPr>
              <w:t>Sale of goods or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Salary and Bonus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6276" w:type="dxa"/>
        <w:jc w:val="left"/>
        <w:tblInd w:w="1393" w:type="dxa"/>
        <w:tblLayout w:type="fixed"/>
        <w:tblCellMar>
          <w:top w:w="0" w:type="dxa"/>
          <w:left w:w="0" w:type="dxa"/>
          <w:bottom w:w="50" w:type="dxa"/>
          <w:right w:w="0" w:type="dxa"/>
        </w:tblCellMar>
      </w:tblPr>
      <w:tblGrid>
        <w:gridCol w:w="3230"/>
        <w:gridCol w:w="109"/>
        <w:gridCol w:w="109"/>
        <w:gridCol w:w="122"/>
        <w:gridCol w:w="122"/>
        <w:gridCol w:w="862"/>
        <w:gridCol w:w="122"/>
        <w:gridCol w:w="109"/>
        <w:gridCol w:w="109"/>
        <w:gridCol w:w="122"/>
        <w:gridCol w:w="122"/>
        <w:gridCol w:w="862"/>
        <w:gridCol w:w="122"/>
        <w:gridCol w:w="154"/>
      </w:tblGrid>
      <w:tr>
        <w:trPr/>
        <w:tc>
          <w:tcPr>
            <w:tcW w:w="32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283"/>
              <w:jc w:val="left"/>
              <w:rPr/>
            </w:pPr>
            <w:r>
              <w:rPr>
                <w:spacing w:val="-4"/>
              </w:rPr>
              <w:t>Outstanding balances –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25,611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29,486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2,663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26,609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16,973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3ATR"/>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to other related parties include financial liabilities related to the Black Forest term loan. For further information, please see note 29. Non-current and current financial liabilities. </w:t>
      </w:r>
    </w:p>
    <w:tbl>
      <w:tblPr>
        <w:tblW w:w="6486" w:type="dxa"/>
        <w:jc w:val="left"/>
        <w:tblInd w:w="1393" w:type="dxa"/>
        <w:tblLayout w:type="fixed"/>
        <w:tblCellMar>
          <w:top w:w="0" w:type="dxa"/>
          <w:left w:w="0" w:type="dxa"/>
          <w:bottom w:w="50" w:type="dxa"/>
          <w:right w:w="0" w:type="dxa"/>
        </w:tblCellMar>
      </w:tblPr>
      <w:tblGrid>
        <w:gridCol w:w="3440"/>
        <w:gridCol w:w="109"/>
        <w:gridCol w:w="109"/>
        <w:gridCol w:w="137"/>
        <w:gridCol w:w="137"/>
        <w:gridCol w:w="817"/>
        <w:gridCol w:w="137"/>
        <w:gridCol w:w="109"/>
        <w:gridCol w:w="109"/>
        <w:gridCol w:w="137"/>
        <w:gridCol w:w="137"/>
        <w:gridCol w:w="817"/>
        <w:gridCol w:w="137"/>
        <w:gridCol w:w="154"/>
      </w:tblGrid>
      <w:tr>
        <w:trPr/>
        <w:tc>
          <w:tcPr>
            <w:tcW w:w="344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spacing w:val="-4"/>
              </w:rPr>
              <w:t>Outstanding balances –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4,261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4,068</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1,445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1,286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increase in Sale of goods or services as well as in Outstanding balances — Liabilities in 2023 are mainly due to the sale and leaseback transaction (for further information please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$30 Million 7.00% Senior Convertible Note due 2028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second tranche, the purchasers of the convertible notes issued six separate conversion notices, converting an aggregate principal amount of $12 million into 2,197,898 new ordinary shares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conversions, the total number of outstanding shares increased to 57,800,864. This number includes 5,000,000 non-voting earn-out shares held by Anette Schmid and Christian Schmid, which are subject to cancellation on April 30, 2027, should the share price not reach $15.00 with respect to 2,500,000 earn-out shares, or $18.00 with respect to the remaining 2,500,000 earn-out shares.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Two-Tranche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Q1 2026, SCHMID agreed with the lender of the term loan facility not to draw the second tranche (up to € 7,500 thousand). This does not affect the First tranche incentive options or the conversion right of the first tranche and therefore has no accounting implications.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Set-off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Set-off Agreement and served to fully and irrevocably settle the outstanding claims of XJ Harbour against the Company by way of a debt-equity swap.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Standby Equity Purchase Agreement (“SEPA”)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Set-off of €30.8 million financial liabilities through planned share issuances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contemplated share issuances are subject to approval by a shareholders’ meeting scheduled for May 20, 2026. The number of shares to be issued will be determined based on the five-trading-day volume-weighted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120925</Words>
  <Characters>658934</Characters>
  <CharactersWithSpaces>797616</CharactersWithSpaces>
  <Paragraphs>26140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