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511-3_424b3.htm"/>
        <w:bookmarkStart w:id="1" w:name="kstm2626511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333-293511</w:t>
      </w:r>
      <w:r>
        <w:rPr>
          <w:rFonts w:ascii="Times New Roman;Times;serif" w:hAnsi="Times New Roman;Times;serif"/>
          <w:b/>
          <w:i w:val="false"/>
          <w:caps w:val="false"/>
          <w:smallCaps w:val="false"/>
          <w:color w:val="000000"/>
          <w:sz w:val="20"/>
        </w:rPr>
        <w:t>​</w:t>
      </w:r>
    </w:p>
    <w:p>
      <w:pPr>
        <w:pStyle w:val="TextBody"/>
        <w:bidi w:val="0"/>
        <w:spacing w:lineRule="atLeast" w:line="360" w:before="9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SCHMID Group N.V.</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70" w:before="1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42,729,539 Ordinary Shares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21,000,000 Ordinary Shares Issuable Upon Exercise of Warrants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15,544,042 Ordinary Shares Issuable Upon Conversion of the 2028 Convertible Notes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6,217,617 Ordinary Shares Issuable Upon Exercise of the 2026 Warrants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1,600,000 Ordinary Shares Issuable Upon Conversion of the 2025 Convertible Loan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1,250,000 Ordinary Shares Issuable Upon Exercise of the 2025 Options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Up to 1,000,000 Ordinary Shares Issuable in Connection with Management Share Bonus Plans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Up to 9,750,000 Warrants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issuance from time to time by us of an aggregate of up to 46,611,659 of our ordinary shares with a nominal value €0.01 per share (“Ordinary Shares”), including (i) up to 9,750,000 Ordinary Shares issuable upon conversion of 9,750,000 warrants (the “Private Warrants”) originally issued by Pegasus Digital Mobility Acquisition Corp. (“Pegasus”) in a private placement transaction in connection with the initial public offering of Pegasus, and converted into warrants to purchase Ordinary Shares at the closing of the Business Combination (as defined below) at an exercise price of $11.50 per Ordinary Share, (ii) up to 11,250,000 Ordinary Shares that are issuable upon the exercise of 11,250,000 warrants (the “Public Warrants” and, together with the Private Warrants, the “Warrants”) originally issued to public shareholders of Pegasus in its IPO, and converted into warrants to purchase Ordinary Shares at the closing of the Business Combination at an exercise price of $11.50 per Ordinary Share, (iii) up to 15,544,042 Ordinary Shares that are issuable upon the conversion of two-tranche convertible notes issued on January 21, 2026 and March 5, 2026 of which USD 9 million in principal amount remains outstanding (the “2028 Convertible Notes”), (iv) up to 6,217,617 Ordinary Shares that are issuable upon the exercise of warrants issued on January 21, 2026 and March 5, 2026 (the “2026 Warrants”), (v) up to 1,600,000 Ordinary Shares that are issuable upon the conversion of the EUR 2.5 million term loan drawn from facility agreement dated December 16, 2025 agreed with Black Forest Special Situations I (the “2025 Convertible Loan”), (vi) up to 1,250,000 Ordinary Shares that are issuable upon the exercise of options granted in connection with the 2025 Convertible Loan (the “2025 Options”), and (vii) up to 1,000,000 Ordinary Shares that are issuable to certain members of management based on contractually agreed share and option bonus incentive plans.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also relates to the offer and resale from time to time by the selling securityholders or their permitted transferees and certain other investors (collectively, the “selling securityholders”) of (i) up to 89,341,198 Ordinary Shares including (a) 42,729,539 of our Ordinary Shares issued to certain selling securityholders in connection with the Business Combination (including 5,000,000 non-vested earn-out shares) and to XJ Harbour in a private placement on January 16, 2026, (b) up to 21,000,000 of our Ordinary Shares to be issued upon the exercise of our Warrants, (c) up to 15,544,042 of our Ordinary Shares to be issued upon the conversion of the 2028 Convertible Notes, (d) up to 6,217,617 of our Ordinary Shares to be issued upon the exercise of the 2026 Warrants, (e) up to 1,600,000 of our Ordinary Shares to be issued upon the conversion of the 2025 Convertible Loan, (f) up to 1,250,000 of our Ordinary Shares to be issued upon the exercise of the 2025 Options, and (g) up to 1,000,000 of our Ordinary Shares that are issuable to certain members of management based on contractually agreed share and option bonus incentive plans.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conversion price is subject to a floor of $1.93 and a maximum conversion price of $9.65 per Ordinary Share. The 2026 Warrants have been issued in two tranches with a total of 3,744,150 warrants issued and are subject to an exercise price of $8.0125 per Ordinary Share.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66,637,954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and up to 5 million Ordinary Shares to be issued under a SEPA entered into with a fund managed by Yorkville through another separate registration statement on Form F-1 (Registration No. 333-296006), a total of 131,052,850 Ordinary Shares would be outstanding. The number of Ordinary Shares being registered reflects the maximum number issuable under the relevant instruments and agreements, taking into account anti-dilution adjustments, floating-rate or VWAP-based pricing mechanics, share-count adjustment provisions and applicable contractual caps. The actual number of shares ultimately issued may be materially lower than the number registered. See ‘Selling Securityholders’ for the assumptions applicable to each instrument and agreement. There is a risk that sales by selling securityholders could occur and depress the share price, and even simply the perception that such sales may occur, may cause the market prices of our securities to decline significantly and could impair our ability to raise capital through the sale of additional equity securities.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securities offered by the selling securityholders will be sold for their own accounts. We will not receive any proceeds from the resale of Ordinary Shares by the selling securityholders.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gross proceeds would be $112,125,000.00. Assuming the exercise of all Warrants in aggregate (Private Warrants and Public Warrants), our gross proceeds would be $241,500,000.00. The likelihood that the holders of the Private Warrants and/or Public Warrants will exercise their Warrants, and therefore the amount of cash proceeds that we would receive, is dependent upon the market price of our Ordinary Shares. Currently the SCHMID Ordinary Shares are trading below the warrant exercise price of $11.50, exercise of these warrants by holders and receipt by the Company of any cash proceeds is therefore not likely and is uncertain. Additionally, the Warrants can be exercised on a cashless basis, and should the share price rise to the exercise price or above, the Company may not receive cash proceeds in case of an exercise.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2025 Options our gross proceeds would be $5,244,500.00. The likelihood that the holders of the 2025 Options will exercise their options, and therefore the amount of cash proceeds that we would receive, is dependent upon the market price of our Ordinary Shares. Currently the SCHMID Ordinary Shares are trading well above the option exercise price of $4.1956.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2026 Warrants at the exercise price of $8.0125 per Ordinary Share our gross proceeds would be approximately $30 million. The likelihood that the holders of the 2026 Warrants will exercise their warrants and therefore the amount of cash proceeds that we would receive, is dependent upon the market price of our Ordinary Shares. Currently the SCHMID Ordinary Shares are trading below the exercise price of $8.0125.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proceeds from the share and option plans with certain members of our management (these plans have been contractually agreed with our CFO Arthur Schuetz and our COO Helmut Rauch) can at this point not be determined as the strike price for stock options granted to the member of our management board has not yet been set by the board of directors for the Company, respectively, certain stock options that have been granted are subject to the development of the share price of the Company.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defined in the Jumpstart Our Business Startups Act of 2012 and, as such, are subject to reduced public company reporting requirements. </w:t>
      </w:r>
    </w:p>
    <w:p>
      <w:pPr>
        <w:pStyle w:val="TextBody"/>
        <w:bidi w:val="0"/>
        <w:spacing w:lineRule="atLeast" w:line="230" w:before="100" w:after="283"/>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Robert-Bosch-Str. 32-36, 72250 Freudenstadt, Germany.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as defined under the Nasdaq Capital Market Marketplace Rule 5615(c) because, Anette Schmid, and Christian Schmid, directly and indirectly, collectively hold 30,926,893 Ordinary Shares consisting of 50.18% of the issued and outstanding shares totaling 61,637,954 Ordinary Shares as of the date of this prospectus (and not including 5,000,000 earn-out shares, which have been issued but have not vested). Including the 5,000,000 earn-out shares, we have 66,637,954 Ordinary Shares outstanding.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lineRule="atLeast" w:line="23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September 30,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BPR">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BPR">
              <w:r>
                <w:rPr>
                  <w:rStyle w:val="InternetLink"/>
                  <w:spacing w:val="4"/>
                </w:rPr>
                <w:t>1</w:t>
              </w:r>
            </w:hyperlink>
            <w:hyperlink w:anchor="tAB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OPR">
              <w:r>
                <w:rPr>
                  <w:rStyle w:val="InternetLink"/>
                  <w:spacing w:val="4"/>
                </w:rPr>
                <w:t xml:space="preserve">CONVENTIONS WHICH APPLY TO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PR">
              <w:r>
                <w:rPr>
                  <w:rStyle w:val="InternetLink"/>
                  <w:spacing w:val="4"/>
                </w:rPr>
                <w:t>3</w:t>
              </w:r>
            </w:hyperlink>
            <w:hyperlink w:anchor="tCO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IGIN">
              <w:r>
                <w:rPr>
                  <w:rStyle w:val="InternetLink"/>
                  <w:spacing w:val="4"/>
                </w:rPr>
                <w:t xml:space="preserve">IMPORTANT INFORMATION ABOUT U.S. GAAP, IFRS AND NON-IFRS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GIN">
              <w:r>
                <w:rPr>
                  <w:rStyle w:val="InternetLink"/>
                  <w:spacing w:val="4"/>
                </w:rPr>
                <w:t>3</w:t>
              </w:r>
            </w:hyperlink>
            <w:hyperlink w:anchor="tIG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SMN">
              <w:r>
                <w:rPr>
                  <w:rStyle w:val="InternetLink"/>
                  <w:spacing w:val="4"/>
                </w:rPr>
                <w:t xml:space="preserve">TRADEMARKS, SERVICE MARKS AND TRADE NAMES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SMN">
              <w:r>
                <w:rPr>
                  <w:rStyle w:val="InternetLink"/>
                  <w:spacing w:val="4"/>
                </w:rPr>
                <w:t>3</w:t>
              </w:r>
            </w:hyperlink>
            <w:hyperlink w:anchor="tTSM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OD">
              <w:r>
                <w:rPr>
                  <w:rStyle w:val="InternetLink"/>
                  <w:spacing w:val="4"/>
                </w:rPr>
                <w:t xml:space="preserve">MARKET, INDUSTRY AND OTHER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OD">
              <w:r>
                <w:rPr>
                  <w:rStyle w:val="InternetLink"/>
                  <w:spacing w:val="4"/>
                </w:rPr>
                <w:t>3</w:t>
              </w:r>
            </w:hyperlink>
            <w:hyperlink w:anchor="tMI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BO">
              <w:r>
                <w:rPr>
                  <w:rStyle w:val="InternetLink"/>
                  <w:spacing w:val="4"/>
                </w:rPr>
                <w:t xml:space="preserve">FREQUENTLY USED TERMS AND BASIS OF PRESENTATION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BO">
              <w:r>
                <w:rPr>
                  <w:rStyle w:val="InternetLink"/>
                  <w:spacing w:val="4"/>
                </w:rPr>
                <w:t>3</w:t>
              </w:r>
            </w:hyperlink>
            <w:hyperlink w:anchor="tF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FS">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FS">
              <w:r>
                <w:rPr>
                  <w:rStyle w:val="InternetLink"/>
                  <w:spacing w:val="4"/>
                </w:rPr>
                <w:t>6</w:t>
              </w:r>
            </w:hyperlink>
            <w:hyperlink w:anchor="tCR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UM">
              <w:r>
                <w:rPr>
                  <w:rStyle w:val="InternetLink"/>
                  <w:spacing w:val="4"/>
                </w:rPr>
                <w:t>8</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22</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FO">
              <w:r>
                <w:rPr>
                  <w:rStyle w:val="InternetLink"/>
                  <w:spacing w:val="4"/>
                </w:rPr>
                <w:t xml:space="preserve">SUMMARY HISTORICAL FINANCIAL INFORMATION OF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FO">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27</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USOF">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USOF">
              <w:r>
                <w:rPr>
                  <w:rStyle w:val="InternetLink"/>
                  <w:spacing w:val="4"/>
                </w:rPr>
                <w:t>63</w:t>
              </w:r>
            </w:hyperlink>
            <w:hyperlink w:anchor="tUS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OP">
              <w:r>
                <w:rPr>
                  <w:rStyle w:val="InternetLink"/>
                  <w:spacing w:val="4"/>
                </w:rPr>
                <w:t xml:space="preserve">DETERMINATION OF OFFERING PRICE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OP">
              <w:r>
                <w:rPr>
                  <w:rStyle w:val="InternetLink"/>
                  <w:spacing w:val="4"/>
                </w:rPr>
                <w:t>64</w:t>
              </w:r>
            </w:hyperlink>
            <w:hyperlink w:anchor="tD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FOD">
              <w:r>
                <w:rPr>
                  <w:rStyle w:val="InternetLink"/>
                  <w:spacing w:val="4"/>
                </w:rPr>
                <w:t xml:space="preserve">MARKET INFORMATION FOR CLASS A SHARES AND 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FOD">
              <w:r>
                <w:rPr>
                  <w:rStyle w:val="InternetLink"/>
                  <w:spacing w:val="4"/>
                </w:rPr>
                <w:t>65</w:t>
              </w:r>
            </w:hyperlink>
            <w:hyperlink w:anchor="tMF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66</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BOCI">
              <w:r>
                <w:rPr>
                  <w:rStyle w:val="InternetLink"/>
                  <w:spacing w:val="4"/>
                </w:rPr>
                <w:t xml:space="preserve">BUSINESS OF SCHMID AND CERTAIN INFORMATION ABOUT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BOCI">
              <w:r>
                <w:rPr>
                  <w:rStyle w:val="InternetLink"/>
                  <w:spacing w:val="4"/>
                </w:rPr>
                <w:t>67</w:t>
              </w:r>
            </w:hyperlink>
            <w:hyperlink w:anchor="tB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MDOR">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DOR">
              <w:r>
                <w:rPr>
                  <w:rStyle w:val="InternetLink"/>
                  <w:spacing w:val="4"/>
                </w:rPr>
                <w:t>77</w:t>
              </w:r>
            </w:hyperlink>
            <w:hyperlink w:anchor="tMD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AN">
              <w:r>
                <w:rPr>
                  <w:rStyle w:val="InternetLink"/>
                  <w:spacing w:val="4"/>
                </w:rPr>
                <w:t>90</w:t>
              </w:r>
            </w:hyperlink>
            <w:hyperlink w:anchor="tM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EOF">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EOF">
              <w:r>
                <w:rPr>
                  <w:rStyle w:val="InternetLink"/>
                  <w:spacing w:val="4"/>
                </w:rPr>
                <w:t>99</w:t>
              </w:r>
            </w:hyperlink>
            <w:hyperlink w:anchor="tDE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RR">
              <w:r>
                <w:rPr>
                  <w:rStyle w:val="InternetLink"/>
                  <w:spacing w:val="4"/>
                </w:rPr>
                <w:t xml:space="preserve">CERTAIN RELATIONSHIPS AND RELATED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RR">
              <w:r>
                <w:rPr>
                  <w:rStyle w:val="InternetLink"/>
                  <w:spacing w:val="4"/>
                </w:rPr>
                <w:t>116</w:t>
              </w:r>
            </w:hyperlink>
            <w:hyperlink w:anchor="tCR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PRI">
              <w:r>
                <w:rPr>
                  <w:rStyle w:val="InternetLink"/>
                  <w:spacing w:val="4"/>
                </w:rPr>
                <w:t xml:space="preserve">PRINCIPAL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I">
              <w:r>
                <w:rPr>
                  <w:rStyle w:val="InternetLink"/>
                  <w:spacing w:val="4"/>
                </w:rPr>
                <w:t>117</w:t>
              </w:r>
            </w:hyperlink>
            <w:hyperlink w:anchor="tP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ESE">
              <w:r>
                <w:rPr>
                  <w:rStyle w:val="InternetLink"/>
                  <w:spacing w:val="4"/>
                </w:rPr>
                <w:t>119</w:t>
              </w:r>
            </w:hyperlink>
            <w:hyperlink w:anchor="t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AX">
              <w:r>
                <w:rPr>
                  <w:rStyle w:val="InternetLink"/>
                  <w:spacing w:val="4"/>
                </w:rPr>
                <w:t>123</w:t>
              </w:r>
            </w:hyperlink>
            <w:hyperlink w:anchor="tTA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PLOF">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PLOF">
              <w:r>
                <w:rPr>
                  <w:rStyle w:val="InternetLink"/>
                  <w:spacing w:val="4"/>
                </w:rPr>
                <w:t>143</w:t>
              </w:r>
            </w:hyperlink>
            <w:hyperlink w:anchor="tPL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EFF">
              <w:r>
                <w:rPr>
                  <w:rStyle w:val="InternetLink"/>
                  <w:spacing w:val="4"/>
                </w:rPr>
                <w:t xml:space="preserve">SHARES ELIGIBLE FOR FUTURE SALE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EFF">
              <w:r>
                <w:rPr>
                  <w:rStyle w:val="InternetLink"/>
                  <w:spacing w:val="4"/>
                </w:rPr>
                <w:t>146</w:t>
              </w:r>
            </w:hyperlink>
            <w:hyperlink w:anchor="tSEF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RO">
              <w:r>
                <w:rPr>
                  <w:rStyle w:val="InternetLink"/>
                  <w:spacing w:val="4"/>
                </w:rPr>
                <w:t xml:space="preserve">EXPENSES RELATED TO 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RO">
              <w:r>
                <w:rPr>
                  <w:rStyle w:val="InternetLink"/>
                  <w:spacing w:val="4"/>
                </w:rPr>
                <w:t>150</w:t>
              </w:r>
            </w:hyperlink>
            <w:hyperlink w:anchor="tE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LEG">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LEG">
              <w:r>
                <w:rPr>
                  <w:rStyle w:val="InternetLink"/>
                  <w:spacing w:val="4"/>
                </w:rPr>
                <w:t>151</w:t>
              </w:r>
            </w:hyperlink>
            <w:hyperlink w:anchor="tLE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151</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NF">
              <w:r>
                <w:rPr>
                  <w:rStyle w:val="InternetLink"/>
                  <w:spacing w:val="4"/>
                </w:rPr>
                <w:t xml:space="preserve">ENFORCEMENT OF CIVIL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NF">
              <w:r>
                <w:rPr>
                  <w:rStyle w:val="InternetLink"/>
                  <w:spacing w:val="4"/>
                </w:rPr>
                <w:t>151</w:t>
              </w:r>
            </w:hyperlink>
            <w:hyperlink w:anchor="tEN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WCFM">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WCFM">
              <w:r>
                <w:rPr>
                  <w:rStyle w:val="InternetLink"/>
                  <w:spacing w:val="4"/>
                </w:rPr>
                <w:t>152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76"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BPR"/>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the sale of Ordinary Shares or Private Warrants to be offered by the selling securityholders pursuant to this prospectus, but we will receive proceeds from Warrants (including our 2026 Warrants and 2025 Options) or Specified Options exercised in the event that such Warrants or Specified Options are exercised for cash. We will pay the expenses, other than underwriting discounts and commissions, if any, associated with the sale of our Ordinary Shares and Private Warrants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We have not, and the selling securityholders have not authorized anyone to provide you with information different from that contained in this prospectus. The information contained in this prospectus is accurate only as of the date on the front cover of the prospectus. You should not assume that the information contained in this prospectus is accurate as of any other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several transactions were completed pursuant to the Business Combination Agreement,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99 new ordinary shares to its shareholder Pegasus; </w:t>
      </w:r>
      <w:r>
        <mc:AlternateContent>
          <mc:Choice Requires="wps">
            <w:drawing>
              <wp:anchor behindDoc="0" distT="7747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Gebr. Schmid GmbH, Anette Schmid, Christian Schmid and a Community of Heirs (the “Schmid Shareholders”) purchased all 100 SCHMID shares from Pegasus at nominal value; </w:t>
      </w:r>
      <w:r>
        <mc:AlternateContent>
          <mc:Choice Requires="wps">
            <w:drawing>
              <wp:anchor behindDoc="0" distT="7747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Shareholders subscribed to 28,725,000 SCHMID shares and an additional 5,000,000 earn-out shares at €0.01 nominal value and in consideration contributed 100% of the Gebr. Schmid GmbH shares by transferring them to SCHMID; </w:t>
      </w:r>
      <w:r>
        <mc:AlternateContent>
          <mc:Choice Requires="wps">
            <w:drawing>
              <wp:anchor behindDoc="0" distT="7747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changed its legal form from a Dutch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and was renamed SCHMID Group N.V.;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shares in exchange for each Pegasus Class A and B share outstanding (a total of 1,461,537 reigstered shares for Pegasus Class A shares and 5,625,000 former Pegasus Class B shares which were converted to registered Pegasus Class A shares prior to the Business Combination), and issued 1,406,361 shares to XJ Harbour HK Limited (“XJ Harbour”);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 </w:t>
      </w:r>
      <w:r>
        <mc:AlternateContent>
          <mc:Choice Requires="wps">
            <w:drawing>
              <wp:anchor behindDoc="0" distT="0" distB="0" distL="254000" distR="0" simplePos="0" locked="0" layoutInCell="1" allowOverlap="1" relativeHeight="9">
                <wp:simplePos x="0" y="0"/>
                <wp:positionH relativeFrom="column">
                  <wp:align>left</wp:align>
                </wp:positionH>
                <wp:positionV relativeFrom="line">
                  <wp:posOffset>635</wp:posOffset>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merged with Merger Sub, with Pegasus as the surviving company and, after giving effect to the merger becoming a direct, wholly-owned subsidiary of SCHMID. </w:t>
      </w:r>
      <w:r>
        <mc:AlternateContent>
          <mc:Choice Requires="wps">
            <w:drawing>
              <wp:anchor behindDoc="0" distT="7239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Date, in 2025 and 2026 several transactions were completed that related to the issuance of shares or potential issuance of shares: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 </w:t>
      </w:r>
      <w:r>
        <mc:AlternateContent>
          <mc:Choice Requires="wps">
            <w:drawing>
              <wp:anchor behindDoc="0" distT="7239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the Company issued 12,540,539 Ordinary Shares to XJ Harbour HK Limited to offset liabilities of $26,962,158.90 due to XJ Harbour HK Limited </w:t>
      </w:r>
      <w:r>
        <mc:AlternateContent>
          <mc:Choice Requires="wps">
            <w:drawing>
              <wp:anchor behindDoc="0" distT="723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the Company issued $15 million in convertible notes as part of a $30 million convertible notes financing, and the other $15 million in convertible notes were issued on March 5, 2026. Since the issuance of the convertible notes, $21 million have been converted and only $9 million in principal amount remain outstanding as of the date of this registration statement. In addition, the Company issued 3,744,150 warrants on January 21, 2026 and March 5, 2026 with an exercise price of $8.0125. </w:t>
      </w:r>
      <w:r>
        <mc:AlternateContent>
          <mc:Choice Requires="wps">
            <w:drawing>
              <wp:anchor behindDoc="0" distT="7239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 </w:t>
      </w:r>
      <w:r>
        <mc:AlternateContent>
          <mc:Choice Requires="wps">
            <w:drawing>
              <wp:anchor behindDoc="0" distT="7239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the Company entered into a Standby Equity Purchase Agreement with YA II PN, Ltd, providing the Company with equity financing of up to $30.0 million.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23, 2026, the Company issued and sold in private placements an aggregate of 4,958,481 Ordinary Shares to Anette Schmid, Christian Schmid, Christine Schmid and Schmid Grundstücke GmbH &amp; Co KG to offset indebtedness in an aggregate amount of EUR 30.75 million owed to them.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 for aggregate gross proceeds of approximately $9.0 million; no further issuances under the SEPA occurred after June 30,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the Company issued $20 million in convertible notes.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the terms “SCHMID,” the “Company,” “we,” “us” and “our” refer to SCHMID Group N.V. (f/k/a Pegasus TopCo B.V.) after conversion into a Dutch public limited liability company and Pegasus TopCo B.V. prior to the conversion into a Dutch public liability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PR"/>
      <w:bookmarkEnd w:id="4"/>
      <w:r>
        <w:rPr>
          <w:rFonts w:ascii="calibri;arial;sans-serif" w:hAnsi="calibri;arial;sans-serif"/>
          <w:b w:val="false"/>
          <w:i w:val="false"/>
          <w:caps w:val="false"/>
          <w:smallCaps w:val="false"/>
          <w:color w:val="000000"/>
          <w:sz w:val="16"/>
        </w:rPr>
        <w:t>​</w:t>
      </w:r>
      <w:bookmarkStart w:id="5" w:name="tIGIN"/>
      <w:bookmarkEnd w:id="5"/>
      <w:r>
        <w:rPr>
          <w:rFonts w:ascii="calibri;arial;sans-serif" w:hAnsi="calibri;arial;sans-serif"/>
          <w:b w:val="false"/>
          <w:i w:val="false"/>
          <w:caps w:val="false"/>
          <w:smallCaps w:val="false"/>
          <w:color w:val="000000"/>
          <w:sz w:val="16"/>
        </w:rPr>
        <w:t>​</w:t>
      </w:r>
      <w:bookmarkStart w:id="6" w:name="tTSMN"/>
      <w:bookmarkEnd w:id="6"/>
      <w:r>
        <w:rPr>
          <w:rFonts w:ascii="calibri;arial;sans-serif" w:hAnsi="calibri;arial;sans-serif"/>
          <w:b w:val="false"/>
          <w:i w:val="false"/>
          <w:caps w:val="false"/>
          <w:smallCaps w:val="false"/>
          <w:color w:val="000000"/>
          <w:sz w:val="16"/>
        </w:rPr>
        <w:t>​</w:t>
      </w:r>
      <w:bookmarkStart w:id="7" w:name="tMIOD"/>
      <w:bookmarkEnd w:id="7"/>
      <w:r>
        <w:rPr>
          <w:rFonts w:ascii="calibri;arial;sans-serif" w:hAnsi="calibri;arial;sans-serif"/>
          <w:b w:val="false"/>
          <w:i w:val="false"/>
          <w:caps w:val="false"/>
          <w:smallCaps w:val="false"/>
          <w:color w:val="000000"/>
          <w:sz w:val="16"/>
        </w:rPr>
        <w:t>​</w:t>
      </w:r>
      <w:bookmarkStart w:id="8" w:name="tFB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CONVENTIONS WHICH APPLY 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or the context otherwise requires: </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“USD” and “U.S. dollar” each refer to the United States dollar; and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“EUR” and “Euro” each refer to the Euro.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used for conversion between U.S. dollars and Euros is based on the ECB euro reference exchange rate published by the European Central Bank.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INFORMATION ABOUT U.S. GAAP, IFRS AND NON-IFRS FINANCIAL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audited consolidated financial statements included in this prospectus are prepared in accordance with International Financial Reporting Standards as issued by the International Accounting Standards Board (“IFRS”), and SCHMID’s unaudited condensed consolidated interim financial statements included in this prospectus are prepared in accordance with IAS 34 “Interim Financial Reporting”.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IFRS differs in certain material respects from U.S. generally accepted accounting principles (“US GAAP”) and, as such, our financial statements are not comparable to the financial statements of U.S. companies prepared in accordance with U.S. GAAP.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 AND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registration statement on Form F-1 or the context otherwise requires, references 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Convertible Loan</w:t>
      </w:r>
      <w:r>
        <w:rPr>
          <w:rFonts w:ascii="Times New Roman;Times;serif" w:hAnsi="Times New Roman;Times;serif"/>
          <w:b w:val="false"/>
          <w:i w:val="false"/>
          <w:caps w:val="false"/>
          <w:smallCaps w:val="false"/>
          <w:color w:val="000000"/>
          <w:spacing w:val="4"/>
          <w:sz w:val="20"/>
        </w:rPr>
        <w:t xml:space="preserve">” means the EUR 2.5 million term loan drawn from facility agreement dated December 16, 2025 agreed with Black Forest Special Situations I.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Options</w:t>
      </w:r>
      <w:r>
        <w:rPr>
          <w:rFonts w:ascii="Times New Roman;Times;serif" w:hAnsi="Times New Roman;Times;serif"/>
          <w:b w:val="false"/>
          <w:i w:val="false"/>
          <w:caps w:val="false"/>
          <w:smallCaps w:val="false"/>
          <w:color w:val="000000"/>
          <w:spacing w:val="4"/>
          <w:sz w:val="20"/>
        </w:rPr>
        <w:t xml:space="preserve">”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2028 Convertible Notes</w:t>
      </w:r>
      <w:r>
        <w:rPr>
          <w:rFonts w:ascii="Times New Roman;Times;serif" w:hAnsi="Times New Roman;Times;serif"/>
          <w:b w:val="false"/>
          <w:i w:val="false"/>
          <w:caps w:val="false"/>
          <w:smallCaps w:val="false"/>
          <w:color w:val="000000"/>
          <w:spacing w:val="4"/>
          <w:sz w:val="20"/>
        </w:rPr>
        <w:t xml:space="preserve">” means the two-tranche convertible notes issued pursuant to an indenture dated January 21, 2026 with an initial principal amount of $30 million.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Warrants</w:t>
      </w:r>
      <w:r>
        <w:rPr>
          <w:rFonts w:ascii="Times New Roman;Times;serif" w:hAnsi="Times New Roman;Times;serif"/>
          <w:b w:val="false"/>
          <w:i w:val="false"/>
          <w:caps w:val="false"/>
          <w:smallCaps w:val="false"/>
          <w:color w:val="000000"/>
          <w:spacing w:val="4"/>
          <w:sz w:val="20"/>
        </w:rPr>
        <w:t xml:space="preserve">” means the warrants issued pursuant to a warrant agreement dated January 21, 2026 and the warrants to be issued pursuant to a investment agreement dated January 18, 2026.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means the convertible notes issued pursuant to an indenture dated July 14, 2026 with an initial principal amount of $20 million.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is defined by the Company as its net income (or loss) for a given period before income taxes, net financial result, depreciation and amortization, and special items. Special items generally include significant asset impairments and write-offs, restructuring costs, share-based compensation, capital structure restructuring costs and foreign exchange gains and losses or other items that the Company does not necessarily consider to be indicative of earnings from ongoing operating activities; in the six months ended June 30, 2026 and 2025, special items comprise restructuring costs, share-based compensation, capital structure restructuring costs and foreign exchange gains and losses.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Non-IFRS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means the annual report of the Company on Form 20-F for the fiscal year ended December 31,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or “de-SPAC” means the transactions contemplated by the Business Combination Agreement. See Note 2 of the Consolidated Financial Statements for the details of the accounting treatment of the de-SPAC.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 Agreement</w:t>
      </w:r>
      <w:r>
        <w:rPr>
          <w:rFonts w:ascii="Times New Roman;Times;serif" w:hAnsi="Times New Roman;Times;serif"/>
          <w:b w:val="false"/>
          <w:i w:val="false"/>
          <w:caps w:val="false"/>
          <w:smallCaps w:val="false"/>
          <w:color w:val="000000"/>
          <w:spacing w:val="4"/>
          <w:sz w:val="20"/>
        </w:rPr>
        <w:t xml:space="preserve">”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April 30, 2024, the date of the closing of the Business Combination.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Continental</w:t>
      </w:r>
      <w:r>
        <w:rPr>
          <w:rFonts w:ascii="Times New Roman;Times;serif" w:hAnsi="Times New Roman;Times;serif"/>
          <w:b w:val="false"/>
          <w:i w:val="false"/>
          <w:caps w:val="false"/>
          <w:smallCaps w:val="false"/>
          <w:color w:val="000000"/>
          <w:spacing w:val="4"/>
          <w:sz w:val="20"/>
        </w:rPr>
        <w:t xml:space="preserve">” means Continental Stock Transfer &amp; Trust Company, the transfer agent and warrant agent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val="false"/>
          <w:i w:val="false"/>
          <w:caps w:val="false"/>
          <w:smallCaps w:val="false"/>
          <w:color w:val="000000"/>
          <w:spacing w:val="4"/>
          <w:sz w:val="20"/>
        </w:rPr>
        <w:t xml:space="preserve">” means the 5,000,000 shares issued and not yet vested to Anette Schmid and Christian Schmid, transferrable per the terms of the Earn-Out Agreement with such earn-out shares cancelled on April 30, 2027 in case they do not vest before such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means embedded traces, a process which we believe is the next level technology for high-end PCBs &amp; Substrates.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EBITDA</w:t>
      </w:r>
      <w:r>
        <w:rPr>
          <w:rFonts w:ascii="Times New Roman;Times;serif" w:hAnsi="Times New Roman;Times;serif"/>
          <w:b w:val="false"/>
          <w:i w:val="false"/>
          <w:caps w:val="false"/>
          <w:smallCaps w:val="false"/>
          <w:color w:val="000000"/>
          <w:spacing w:val="4"/>
          <w:sz w:val="20"/>
        </w:rPr>
        <w:t xml:space="preserve">” means earnings before interest, taxes, depreciation, and amortization.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EU</w:t>
      </w:r>
      <w:r>
        <w:rPr>
          <w:rFonts w:ascii="Times New Roman;Times;serif" w:hAnsi="Times New Roman;Times;serif"/>
          <w:b w:val="false"/>
          <w:i w:val="false"/>
          <w:caps w:val="false"/>
          <w:smallCaps w:val="false"/>
          <w:color w:val="000000"/>
          <w:spacing w:val="4"/>
          <w:sz w:val="20"/>
        </w:rPr>
        <w:t xml:space="preserve">” means the European Union.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European General Data Protection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w:t>
      </w:r>
      <w:r>
        <w:rPr>
          <w:rFonts w:ascii="Times New Roman;Times;serif" w:hAnsi="Times New Roman;Times;serif"/>
          <w:b w:val="false"/>
          <w:i w:val="false"/>
          <w:caps w:val="false"/>
          <w:smallCaps w:val="false"/>
          <w:color w:val="000000"/>
          <w:spacing w:val="4"/>
          <w:sz w:val="20"/>
        </w:rPr>
        <w:t xml:space="preserve">” means the International Accounting Standard.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IBR</w:t>
      </w:r>
      <w:r>
        <w:rPr>
          <w:rFonts w:ascii="Times New Roman;Times;serif" w:hAnsi="Times New Roman;Times;serif"/>
          <w:b w:val="false"/>
          <w:i w:val="false"/>
          <w:caps w:val="false"/>
          <w:smallCaps w:val="false"/>
          <w:color w:val="000000"/>
          <w:spacing w:val="4"/>
          <w:sz w:val="20"/>
        </w:rPr>
        <w:t>” means the incremental borrowing rate.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IASB</w:t>
      </w:r>
      <w:r>
        <w:rPr>
          <w:rFonts w:ascii="Times New Roman;Times;serif" w:hAnsi="Times New Roman;Times;serif"/>
          <w:b w:val="false"/>
          <w:i w:val="false"/>
          <w:caps w:val="false"/>
          <w:smallCaps w:val="false"/>
          <w:color w:val="000000"/>
          <w:spacing w:val="4"/>
          <w:sz w:val="20"/>
        </w:rPr>
        <w:t xml:space="preserve">” means the International Accounting Standards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IFRS</w:t>
      </w:r>
      <w:r>
        <w:rPr>
          <w:rFonts w:ascii="Times New Roman;Times;serif" w:hAnsi="Times New Roman;Times;serif"/>
          <w:b w:val="false"/>
          <w:i w:val="false"/>
          <w:caps w:val="false"/>
          <w:smallCaps w:val="false"/>
          <w:color w:val="000000"/>
          <w:spacing w:val="4"/>
          <w:sz w:val="20"/>
        </w:rPr>
        <w:t>” means the International Financial Reporting Standards as issued by the IASB.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Linden</w:t>
      </w:r>
      <w:r>
        <w:rPr>
          <w:rFonts w:ascii="Times New Roman;Times;serif" w:hAnsi="Times New Roman;Times;serif"/>
          <w:b w:val="false"/>
          <w:i w:val="false"/>
          <w:caps w:val="false"/>
          <w:smallCaps w:val="false"/>
          <w:color w:val="000000"/>
          <w:spacing w:val="4"/>
          <w:sz w:val="20"/>
        </w:rPr>
        <w:t xml:space="preserve">” means Linden Advisors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means modified semi 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MergerSub</w:t>
      </w:r>
      <w:r>
        <w:rPr>
          <w:rFonts w:ascii="Times New Roman;Times;serif" w:hAnsi="Times New Roman;Times;serif"/>
          <w:b w:val="false"/>
          <w:i w:val="false"/>
          <w:caps w:val="false"/>
          <w:smallCaps w:val="false"/>
          <w:color w:val="000000"/>
          <w:spacing w:val="4"/>
          <w:sz w:val="20"/>
        </w:rPr>
        <w:t xml:space="preserve">” means Pegasus MergerSub Corp., a Cayman Islands exempted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Exchange in New York.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OEMs</w:t>
      </w:r>
      <w:r>
        <w:rPr>
          <w:rFonts w:ascii="Times New Roman;Times;serif" w:hAnsi="Times New Roman;Times;serif"/>
          <w:b w:val="false"/>
          <w:i w:val="false"/>
          <w:caps w:val="false"/>
          <w:smallCaps w:val="false"/>
          <w:color w:val="000000"/>
          <w:spacing w:val="4"/>
          <w:sz w:val="20"/>
        </w:rPr>
        <w:t xml:space="preserve">” means original equipment manufacturers.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means the shares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Pegasus</w:t>
      </w:r>
      <w:r>
        <w:rPr>
          <w:rFonts w:ascii="Times New Roman;Times;serif" w:hAnsi="Times New Roman;Times;serif"/>
          <w:b w:val="false"/>
          <w:i w:val="false"/>
          <w:caps w:val="false"/>
          <w:smallCaps w:val="false"/>
          <w:color w:val="000000"/>
          <w:spacing w:val="4"/>
          <w:sz w:val="20"/>
        </w:rPr>
        <w:t xml:space="preserve">” means Pegasus Digital Mobility Acquisition Corp., a Cayman Islands exempted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Private Placement Warrants</w:t>
      </w:r>
      <w:r>
        <w:rPr>
          <w:rFonts w:ascii="Times New Roman;Times;serif" w:hAnsi="Times New Roman;Times;serif"/>
          <w:b w:val="false"/>
          <w:i w:val="false"/>
          <w:caps w:val="false"/>
          <w:smallCaps w:val="false"/>
          <w:color w:val="000000"/>
          <w:spacing w:val="4"/>
          <w:sz w:val="20"/>
        </w:rPr>
        <w:t xml:space="preserve">” means the 9,750,000 warrants originally issued in the private placement that occurred concurrently with the closing of Pegasus’s IPO.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means the 11,250,000 public warrants, each of which is a warrant to purchase one Pegasus Class A Ordinary Share at a price of $11.50 per share, subject to adjustment in accordance with the Warrant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val="false"/>
          <w:i w:val="false"/>
          <w:caps w:val="false"/>
          <w:smallCaps w:val="false"/>
          <w:color w:val="000000"/>
          <w:spacing w:val="4"/>
          <w:sz w:val="20"/>
        </w:rPr>
        <w:t xml:space="preserve">” means collectively the Pegasus Public Warrants and the Pegasus Private Placement Warrants.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xml:space="preserve">” means printed circuit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means research and development.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RMB</w:t>
      </w:r>
      <w:r>
        <w:rPr>
          <w:rFonts w:ascii="Times New Roman;Times;serif" w:hAnsi="Times New Roman;Times;serif"/>
          <w:b w:val="false"/>
          <w:i w:val="false"/>
          <w:caps w:val="false"/>
          <w:smallCaps w:val="false"/>
          <w:color w:val="000000"/>
          <w:spacing w:val="4"/>
          <w:sz w:val="20"/>
        </w:rPr>
        <w:t xml:space="preserve">” means the Chinese Renminbi.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xml:space="preserve">” means semi-additive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SCHMID</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SEPA</w:t>
      </w:r>
      <w:r>
        <w:rPr>
          <w:rFonts w:ascii="Times New Roman;Times;serif" w:hAnsi="Times New Roman;Times;serif"/>
          <w:b w:val="false"/>
          <w:i w:val="false"/>
          <w:caps w:val="false"/>
          <w:smallCaps w:val="false"/>
          <w:color w:val="000000"/>
          <w:spacing w:val="4"/>
          <w:sz w:val="20"/>
        </w:rPr>
        <w:t xml:space="preserve">” means the Standby Equity Purchase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means Pegasus Digital Mobility Sponsor LLC., a Cayman Islands limited liability company, which is the sponsor of Pegasus.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TopCo</w:t>
      </w:r>
      <w:r>
        <w:rPr>
          <w:rFonts w:ascii="Times New Roman;Times;serif" w:hAnsi="Times New Roman;Times;serif"/>
          <w:b w:val="false"/>
          <w:i w:val="false"/>
          <w:caps w:val="false"/>
          <w:smallCaps w:val="false"/>
          <w:color w:val="000000"/>
          <w:spacing w:val="4"/>
          <w:sz w:val="20"/>
        </w:rPr>
        <w:t>” means Pegasus TopCo B.V., a Dutch private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which has been converted and renamed to SCHMID Group N.V. on April 30, 2024.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XJ Harbour</w:t>
      </w:r>
      <w:r>
        <w:rPr>
          <w:rFonts w:ascii="Times New Roman;Times;serif" w:hAnsi="Times New Roman;Times;serif"/>
          <w:b w:val="false"/>
          <w:i w:val="false"/>
          <w:caps w:val="false"/>
          <w:smallCaps w:val="false"/>
          <w:color w:val="000000"/>
          <w:spacing w:val="4"/>
          <w:sz w:val="20"/>
        </w:rPr>
        <w:t xml:space="preserve">” means XJ Harbour HK Limited.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Yorkville</w:t>
      </w:r>
      <w:r>
        <w:rPr>
          <w:rFonts w:ascii="Times New Roman;Times;serif" w:hAnsi="Times New Roman;Times;serif"/>
          <w:b w:val="false"/>
          <w:i w:val="false"/>
          <w:caps w:val="false"/>
          <w:smallCaps w:val="false"/>
          <w:color w:val="000000"/>
          <w:spacing w:val="4"/>
          <w:sz w:val="20"/>
        </w:rPr>
        <w:t xml:space="preserve">” means YA II PN, Ltd.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RF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or may contain forward-looking statements that involve significant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risks and uncertainties. The risks and uncertainties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condition and operating results;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in general economic conditions in the Federal Republic of Germany (“</w:t>
      </w:r>
      <w:r>
        <w:rPr>
          <w:rFonts w:ascii="Times New Roman;Times;serif" w:hAnsi="Times New Roman;Times;serif"/>
          <w:b/>
          <w:i w:val="false"/>
          <w:caps w:val="false"/>
          <w:smallCaps w:val="false"/>
          <w:color w:val="000000"/>
          <w:spacing w:val="-4"/>
          <w:sz w:val="20"/>
        </w:rPr>
        <w:t>Germany</w:t>
      </w:r>
      <w:r>
        <w:rPr>
          <w:rFonts w:ascii="Times New Roman;Times;serif" w:hAnsi="Times New Roman;Times;serif"/>
          <w:b w:val="false"/>
          <w:i w:val="false"/>
          <w:caps w:val="false"/>
          <w:smallCaps w:val="false"/>
          <w:color w:val="000000"/>
          <w:spacing w:val="4"/>
          <w:sz w:val="20"/>
        </w:rPr>
        <w:t xml:space="preserve">”), the European Union, the United States of America and the People’s Republic of China, including changes in the unemployment rate, the level of energy and consumer prices, wage levels, tariff and trade barrier pricing, etc.;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remain in compliance with financial covenants under our financing arrangements;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extend, renew or refinance our existing debt;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liquidity and losses from operations and projected cash flows and related impact on our ability to continue as a going concern;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growth, expansion and acquisition prospects and strategies, the success of such strategies, and the benefits we believe can be derived from such strategies;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inventory and inventory reserves;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impairments of our goodwill or other intangible assets;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customer spending patterns and overall levels of investment;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upgrade our information technology systems and infrastructure, including our accounting processes and functions;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remedy weaknesses in our internal controls;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as a result of operating as a public company;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assumptions regarding interest rates and inflation;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affecting currency exchange rates;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continuing business disruptions arising from the on-going war in Ukraine and ongoing hostilities in the Middle East;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and ability to obtain financing in the future to implement our business strategy and fund capital expenditures, acquisitions and other general corporate activities;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future capital expenditures needed to preserve our asset base;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acceptance of our products by our customers and our ability to adapt to technological changes;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in the market for embedded traces, glass substrate technology in our products;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competitive environment and in our competition level;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accidents, terrorist attacks, natural disasters, fires, environmental damage, or systemic delivery failures;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attract and retain qualified personnel, consultants and collaborators;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dividend payments and forecasts of our ability to make such payments.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Actual results could differ materially from those anticipated in forward-looking statements for many reasons, including the factors described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inherently uncertain, and you are cautioned not to unduly rely 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M"/>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bdr w:val="single" w:sz="8" w:space="1" w:color="000000"/>
        </w:rPr>
        <w:t>PCB</w:t>
      </w:r>
      <w:r>
        <w:rPr>
          <w:rFonts w:ascii="Times New Roman;Times;serif" w:hAnsi="Times New Roman;Times;serif"/>
          <w:b w:val="false"/>
          <w:i w:val="false"/>
          <w:caps w:val="false"/>
          <w:smallCaps w:val="false"/>
          <w:color w:val="000000"/>
          <w:spacing w:val="4"/>
          <w:sz w:val="20"/>
          <w:bdr w:val="single" w:sz="8" w:space="1"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bdr w:val="single" w:sz="8" w:space="1" w:color="000000"/>
        </w:rPr>
        <w:t>SAP</w:t>
      </w:r>
      <w:r>
        <w:rPr>
          <w:rFonts w:ascii="Times New Roman;Times;serif" w:hAnsi="Times New Roman;Times;serif"/>
          <w:b w:val="false"/>
          <w:i w:val="false"/>
          <w:caps w:val="false"/>
          <w:smallCaps w:val="false"/>
          <w:color w:val="000000"/>
          <w:spacing w:val="4"/>
          <w:sz w:val="20"/>
          <w:bdr w:val="single" w:sz="8" w:space="1" w:color="000000"/>
        </w:rPr>
        <w:t>”) and modified semi additive processes (“</w:t>
      </w:r>
      <w:r>
        <w:rPr>
          <w:rFonts w:ascii="Times New Roman;Times;serif" w:hAnsi="Times New Roman;Times;serif"/>
          <w:b/>
          <w:i w:val="false"/>
          <w:caps w:val="false"/>
          <w:smallCaps w:val="false"/>
          <w:color w:val="000000"/>
          <w:spacing w:val="-4"/>
          <w:sz w:val="20"/>
          <w:bdr w:val="single" w:sz="8" w:space="1" w:color="000000"/>
        </w:rPr>
        <w:t>mSAP</w:t>
      </w:r>
      <w:r>
        <w:rPr>
          <w:rFonts w:ascii="Times New Roman;Times;serif" w:hAnsi="Times New Roman;Times;serif"/>
          <w:b w:val="false"/>
          <w:i w:val="false"/>
          <w:caps w:val="false"/>
          <w:smallCaps w:val="false"/>
          <w:color w:val="000000"/>
          <w:spacing w:val="4"/>
          <w:sz w:val="20"/>
          <w:bdr w:val="single" w:sz="8" w:space="1" w:color="00000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developed and applied for patents for the embedded traces (“</w:t>
      </w:r>
      <w:r>
        <w:rPr>
          <w:rFonts w:ascii="Times New Roman;Times;serif" w:hAnsi="Times New Roman;Times;serif"/>
          <w:b/>
          <w:i w:val="false"/>
          <w:caps w:val="false"/>
          <w:smallCaps w:val="false"/>
          <w:color w:val="000000"/>
          <w:spacing w:val="-4"/>
          <w:sz w:val="20"/>
          <w:bdr w:val="single" w:sz="8" w:space="1" w:color="000000"/>
        </w:rPr>
        <w:t>ET</w:t>
      </w:r>
      <w:r>
        <w:rPr>
          <w:rFonts w:ascii="Times New Roman;Times;serif" w:hAnsi="Times New Roman;Times;serif"/>
          <w:b w:val="false"/>
          <w:i w:val="false"/>
          <w:caps w:val="false"/>
          <w:smallCaps w:val="false"/>
          <w:color w:val="000000"/>
          <w:spacing w:val="4"/>
          <w:sz w:val="20"/>
          <w:bdr w:val="single" w:sz="8" w:space="1" w:color="00000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customers include large, global original equipment manufacturer (“OEM”)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Business Operations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Electronics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OEM and PCB/substrate manufacturers in the world and have historical or ongoing joint development projects for future technologies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ET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After Sales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Strategies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Events in 2025 and 2026</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NASDAQ Delinquency and Delisting Notices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Listing Rule 5250(c)(1). In accordance with NASDAQ rules the Company submitted a plan to regain compliance with the Listing Rules on July 14, 2025 and was granted an extension by NASDAQ until November 11, 2025 to regain 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Debt Set-Off and Share Issuance Agreements with XJ Harbour and with AVACO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second tranche of up to €7,500,000 was set to be drawn down early in 2026, but was not utilized due to the Company issuing USD 30 million in convertible notes (see below).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7.00% Senior Convertible Notes due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noteholders of the 2028 Convertible Notes provided conversion notices and were issued ordinary shares of the Company as follows: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5, 2026 at a share price of $6.0918 and a total of 331,183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25, 2026 at a share price of $5.9946 and a total of 337,850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8, 2026 at a share price of $4.8241 and a total of 420,873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20, 2026 at a share price of $5.3676 and a total of 379,127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23, 2026 at a share price of $5.3676 and a total of 379,344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April 24, 2026 at a share price of $5.8267 and a total of 349,521 shares were issued. </w:t>
      </w:r>
      <w:r>
        <mc:AlternateContent>
          <mc:Choice Requires="wps">
            <w:drawing>
              <wp:anchor behindDoc="0" distT="635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18, 2026 at a share price of $5.4920 and a total of 372,522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35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May 22, 2026 at a share price of $6.1573 and a total of 332,522 shares were issued. </w:t>
      </w:r>
      <w:r>
        <mc:AlternateContent>
          <mc:Choice Requires="wps">
            <w:drawing>
              <wp:anchor behindDoc="0" distT="635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June 16, 2026 at a share price of $4.8122 and a total of 427,409 shares were issued. </w:t>
      </w:r>
      <w:r>
        <mc:AlternateContent>
          <mc:Choice Requires="wps">
            <w:drawing>
              <wp:anchor behindDoc="0" distT="0" distB="0" distL="254000" distR="0" simplePos="0" locked="0" layoutInCell="1" allowOverlap="1" relativeHeight="58">
                <wp:simplePos x="0" y="0"/>
                <wp:positionH relativeFrom="column">
                  <wp:align>left</wp:align>
                </wp:positionH>
                <wp:positionV relativeFrom="line">
                  <wp:posOffset>635</wp:posOffset>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 million convertible notes plus accrued interest were converted on August 5, 2026 at a share price of $3.5650 and a total of 283,177 shares were issued.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September 17, 2026 at a share price of $2.9974 and a total of 679,051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as of the date of this registration statement, the aggregate principal amount now amounts to $9 million in 2028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Appointment of Arthur Schuetz as the new CFO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Arthur Schuetz was appointed by the Board as the new CFO of SCHMID Group N.V. as of January 1, 2026, replacing Julia Natterer, who continues to serve as CFO of Gebr. SCHMID GmbH.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Share issuances and set-off agreements with majority shareholders and related parties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(“VWAP”)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USD 30 Million Standby Equity Purchase Agreement with Yorkville</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New China Manufacturing Campus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 process equipment used in the manufacturing of high-end HDI boards, IC substrates, AI server boards and other advanced electronic applications.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Construction is expected to commence following completion of the final land transfer and permitting process and the conclusion of a final, binding agreement. SCHMID currently expects to begin operations at the new facility in the fourth quarter of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20 Million 5.000% Senior Convertible Notes due 2029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7, 2026, SCHMID entered into an investment agreement with an institutional investor, Linden Advisors LP, to sell, and on July 14, 2026, sold 2029 Convertible Notes in an aggregate principal amount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The 2029 Convertible Notes were issued at 99% of principal amount pursuant to the governing indenture to the accounts managed by Linden.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Results for the Six Months Ended June 30, 2026 and Update to the Full-Year 2026 Guidance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August 25, 2026, the Company published its unaudited financial results for the six months ended June 30, 2026 and updated its full-year 2026 guidance. The following summary is derived from that release and from the unaudited condensed consolidated interim financial statements included elsewhere in this prospectus. Revenues for the six months ended June 30, 2026 amounted to €46.0 million (first quarter: €18.2 million; second quarter: €27.7 million), compared to €16.9 million for the six months ended June 30, 2025. More than half of our revenues in the period were generated in China, which continued to perform stronger than expected, while demand for machines manufactured in our German plant only recently accelerated. Gross profit was €9.8 million (gross margin: 21.2%) compared to €(1.6) million in the prior-year period; the gross margin was lower than anticipated at this revenue level given the product mix shift towards our lower gross margin business in China. The operating result was €(8.0) million (prior-year period: €(7.8) million) and was impacted by increased general administrative expenses due to share-based compensation (€1.4 million), “Sprint” restructuring costs (€0.4 million) and costs associated with the various recapitalization projects (€1.4 million); foreign exchange losses of €1.7 million were also incurred. Adjusted EBITDA was €(0.6) million compared to €(11.6) million in the prior-year period. The net loss for the period was €47.8 million (prior-year period: €10.2 million) and was impacted mostly by non-cash effects related primarily to the accounting treatment of the XJ Harbour liability converted into shares on January 16, 2026 and, to a lesser extent, to the fair-value movements of the Company’s warrants. See “Management’s Discussion and Analysis of Financial Condition and Results of Operations — Comparison of the Six Months Ended June 30, 2026 and 2025” and “— Non-IFRS Financial Information.”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Order intake was €13.6 million in the first quarter and €30.7 million in the second quarter of 2026, and orders received in the third quarter through August 21, 2026 amounted to €52.3 million, bringing order intake to €96.6 million year-to-date as of August 21, 2026. The order backlog stood at €54.8 million as of June 30, 2026 and at €95.0 million as of August 21, 2026. Order intake and order backlog figures relate exclusively to orders for equipment and do not include orders associated with services or spare parts.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Cash used in operating activities in the six months ended June 30, 2026 was €29.3 million, mainly driven by spending on working capital of €26.1 million, from an unusually low negative working capital as of December 31, 2025 to a more normalized level of approximately €14 million as of June 30, 2026. The Company expects working capital to be at the same level or lower by year-end 2026. Financial debt was reduced by close to €30 million between December 31, 2025 and June 30, 2026, including €30.75 million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debt converted into equity or set off since December 31, 2025.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As subsequent events, the $20 million 2029 Convertible Notes were funded on July 14, 2026 and, on September 17, 2026, a further $2 million of 2028 Convertible Notes was converted, leaving $9 million outstanding. The 2029 Convertible Notes can only be converted once all of the 2028 Convertible Notes have been converted. Cash and cash equivalents were €2.3 million as of June 30, 2026 (December 31, 2025: €1.6 million) and, following the closing of the 2029 Convertible Notes, approximately €14.3 million as of July 31, 2026; in addition, approximately $21 million remained available at the Company’s discretion under the SEPA. See “Management’s Discussion and Analysis of Financial Condition and Results of Operations — Liquidity and Capital Resources.”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weaker than expected first-half financial results and on orders and current visibility on second-half performance, the Company confirmed its full-year 2026 revenue guidance of more than €100 million, lowered its full-year 2026 Adjusted EBITDA margin guidance to 6 to 9% (previously more than 12%) and maintained its full- year 2026 order intake guidance of €125–150 million, now expecting to be in the upper half of that range. Given order visibility, the Company expects a significant pick-up of revenues for its German plant in the second half of 2026, leading to roughly an equal split of revenues between its two plants in the second half and a higher-margin product mix. Under the “Sprint” cost saving program, the Company identified more than 40 full-time equivalents across German overhead functions for reduction during the first half of 2026, with most departures taking place in the third quarter, and expects €4 million in annual savings to take full effect during the second half of 2026. The Company has entered the next phase, “Sprint II”, a purchasing cost reduction program targeting savings of approximately 5% of material expenses, the majority of which are expected to be realized by year-end 2026. See “Management’s Discussion and Analysis of Financial Condition and Results of Operations — Outlook and Trend Information.”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 intends to publish business updates for the third quarter of 2026 by mid-October 2026 and for the fourth quarter of 2026 by mid-January 2027, and to publish its annual report on Form 20-F for the financial year 2026 on or before April 30,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Transfer of Ordinary Shares to Helmut Rauch</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qualify as an “emerging growth company” as defined in the Jumpstart Our Business Startups Act of 2012 (“</w:t>
      </w:r>
      <w:r>
        <w:rPr>
          <w:rFonts w:ascii="Times New Roman;Times;serif" w:hAnsi="Times New Roman;Times;serif"/>
          <w:b/>
          <w:i w:val="false"/>
          <w:caps w:val="false"/>
          <w:smallCaps w:val="false"/>
          <w:color w:val="000000"/>
          <w:spacing w:val="-4"/>
          <w:sz w:val="20"/>
          <w:bdr w:val="single" w:sz="8" w:space="1" w:color="000000"/>
        </w:rPr>
        <w:t>JOBS Act</w:t>
      </w:r>
      <w:r>
        <w:rPr>
          <w:rFonts w:ascii="Times New Roman;Times;serif" w:hAnsi="Times New Roman;Times;serif"/>
          <w:b w:val="false"/>
          <w:i w:val="false"/>
          <w:caps w:val="false"/>
          <w:smallCaps w:val="false"/>
          <w:color w:val="000000"/>
          <w:spacing w:val="4"/>
          <w:sz w:val="20"/>
          <w:bdr w:val="single" w:sz="8" w:space="1" w:color="000000"/>
        </w:rPr>
        <w:t xml:space="preserve">”). As an emerging growth company, we intend to take advantage of exemptions from various reporting requirements that are applicable to most other public companies. The exemptions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exemption from the provisions of Section 404(b) of the Sarbanes-Oxley Act requiring that our independent registered public accounting firm provide an attestation report on the effectiveness of our internal control over financial reporting;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obligations regarding executive compensation; and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being required to hold a nonbinding advisory vote on executive compensation or seek shareholder approval of any golden parachute payments not previously approved.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business day of our prior second fiscal quarter, and (ii) the date on which we have issued more than $1.0 billion in non-convertible debt during the prior three-year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considered a “foreign private issuer” subject to reporting requirements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xml:space="preserve">”),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prescribing the furnishing and content of proxy statements to shareholders and requirements that the proxy statements conform to Schedule 14A of the proxy rules promulgated under the Exchange Act; </w:t>
      </w:r>
      <w:r>
        <mc:AlternateContent>
          <mc:Choice Requires="wps">
            <w:drawing>
              <wp:anchor behindDoc="0" distT="787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787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 </w:t>
      </w:r>
      <w:r>
        <mc:AlternateContent>
          <mc:Choice Requires="wps">
            <w:drawing>
              <wp:anchor behindDoc="0" distT="787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rules under the Exchange Act requiring the filing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of quarterly reports on Form 10-Q containing unaudited financial and other specified information, or current reports on Form 8-K, upon the occurrence of specified significant events; and </w:t>
      </w:r>
      <w:r>
        <mc:AlternateContent>
          <mc:Choice Requires="wps">
            <w:drawing>
              <wp:anchor behindDoc="0" distT="787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rules on disclosure of compensation on an individual basis unless individual disclosure is required in our home country (the Netherlands) and is not otherwise publicly disclosed by us.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implement business plans, operating models, forecasts, and other expectations and identify and realize additional business opportunities;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faces intense competition in the markets and industries in which it operates, and SCHMID’s competitiveness depends on being successful in new product development and to market its embedded traces and glass substrate technology.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reputation of SCHMID’s brand is an important company asset and is key to SCHMID’s ability to remain a trusted supplier of specialty products, equipment and services.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profitability could suffer if its cost management strategies are unsuccessful, or SCHMID’s competitors develop an advantageous cost structure that SCHMID cannot match. </w:t>
      </w:r>
      <w:r>
        <mc:AlternateContent>
          <mc:Choice Requires="wps">
            <w:drawing>
              <wp:anchor behindDoc="0" distT="0" distB="0" distL="25400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direct customers and their direct and indirect customers face numerous competitive challenges, which may materially adversely affect their business and as a result SCHMID’s business.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revenue, earnings, and other operating results have fluctuated in the past and may fluctuate in the future due to the nature of its business.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disruptions to SCHMID’s supply chain, significant increases in material costs, or shortages of critical components, could adversely affect SCHMID’s business and result in increased costs.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financial, geopolitical, epidemiological, or other conditions could result in business disruptions which could seriously harm SCHMID’s future revenue and financial condition and increase SCHMID’s costs and expenses.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Military conflicts in the Middle East and elsewhere in the world could have significant impact on raw material prices, supply chain logistics and end-customer behaviour.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operations and assets in foreign jurisdictions may be subject to significant political and economic uncertainties.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ability to obtain additional capital on commercially reasonable terms may be limited.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is generally subject to substantial regulation and laws and unfavorable changes to, or its failure to comply with, these regulations and/or laws could substantially harm its business and operating results.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of information security and privacy concerns could subject SCHMID to penalties, damage SCHMID’s reputation and brand, and harm SCHMID’s business and results of operations.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may be unable to successfully execute its growth initiatives, business strategies, or operating plans.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know-how and innovations, which it relies on for its current and future business, may not be adequately protected.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patent applications may not be successful, which may have a material adverse effect on SCHMID’s ability to prevent others from commercially exploiting products similar to SCHMID’s products.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were incorporated as a Dutch private limited liability company (</w:t>
      </w:r>
      <w:r>
        <w:rPr>
          <w:rFonts w:ascii="Times New Roman;Times;serif" w:hAnsi="Times New Roman;Times;serif"/>
          <w:b w:val="false"/>
          <w:i/>
          <w:caps w:val="false"/>
          <w:smallCaps w:val="false"/>
          <w:color w:val="000000"/>
          <w:spacing w:val="4"/>
          <w:sz w:val="20"/>
          <w:bdr w:val="single" w:sz="8" w:space="1" w:color="000000"/>
        </w:rPr>
        <w:t>besloten vennootschap met beperkte aansprakelijkheid</w:t>
      </w:r>
      <w:r>
        <w:rPr>
          <w:rFonts w:ascii="Times New Roman;Times;serif" w:hAnsi="Times New Roman;Times;serif"/>
          <w:b w:val="false"/>
          <w:i w:val="false"/>
          <w:caps w:val="false"/>
          <w:smallCaps w:val="false"/>
          <w:color w:val="000000"/>
          <w:spacing w:val="4"/>
          <w:sz w:val="20"/>
          <w:bdr w:val="single" w:sz="8" w:space="1" w:color="000000"/>
        </w:rPr>
        <w:t xml:space="preserve">)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name was changed from Pegasus TopCo B.V. to SCHMID Group N.V. when we converted into a Dutch public limited liability company (</w:t>
      </w:r>
      <w:r>
        <w:rPr>
          <w:rFonts w:ascii="Times New Roman;Times;serif" w:hAnsi="Times New Roman;Times;serif"/>
          <w:b w:val="false"/>
          <w:i/>
          <w:caps w:val="false"/>
          <w:smallCaps w:val="false"/>
          <w:color w:val="000000"/>
          <w:spacing w:val="4"/>
          <w:sz w:val="20"/>
          <w:bdr w:val="single" w:sz="8" w:space="1" w:color="000000"/>
        </w:rPr>
        <w:t>naamloze vennootschap</w:t>
      </w:r>
      <w:r>
        <w:rPr>
          <w:rFonts w:ascii="Times New Roman;Times;serif" w:hAnsi="Times New Roman;Times;serif"/>
          <w:b w:val="false"/>
          <w:i w:val="false"/>
          <w:caps w:val="false"/>
          <w:smallCaps w:val="false"/>
          <w:color w:val="000000"/>
          <w:spacing w:val="4"/>
          <w:sz w:val="20"/>
          <w:bdr w:val="single" w:sz="8" w:space="1" w:color="000000"/>
        </w:rPr>
        <w:t xml:space="preserve">) on April 30, 2024, in connection with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registered in the Commercial Register of the Netherlands Chamber of Commerce (</w:t>
      </w:r>
      <w:r>
        <w:rPr>
          <w:rFonts w:ascii="Times New Roman;Times;serif" w:hAnsi="Times New Roman;Times;serif"/>
          <w:b w:val="false"/>
          <w:i/>
          <w:caps w:val="false"/>
          <w:smallCaps w:val="false"/>
          <w:color w:val="000000"/>
          <w:spacing w:val="4"/>
          <w:sz w:val="20"/>
          <w:bdr w:val="single" w:sz="8" w:space="1" w:color="000000"/>
        </w:rPr>
        <w:t>Kamer van Koophandel</w:t>
      </w:r>
      <w:r>
        <w:rPr>
          <w:rFonts w:ascii="Times New Roman;Times;serif" w:hAnsi="Times New Roman;Times;serif"/>
          <w:b w:val="false"/>
          <w:i w:val="false"/>
          <w:caps w:val="false"/>
          <w:smallCaps w:val="false"/>
          <w:color w:val="000000"/>
          <w:spacing w:val="4"/>
          <w:sz w:val="20"/>
          <w:bdr w:val="single" w:sz="8" w:space="1" w:color="000000"/>
        </w:rPr>
        <w:t>) under number 89188276. Our official seat (</w:t>
      </w:r>
      <w:r>
        <w:rPr>
          <w:rFonts w:ascii="Times New Roman;Times;serif" w:hAnsi="Times New Roman;Times;serif"/>
          <w:b w:val="false"/>
          <w:i/>
          <w:caps w:val="false"/>
          <w:smallCaps w:val="false"/>
          <w:color w:val="000000"/>
          <w:spacing w:val="4"/>
          <w:sz w:val="20"/>
          <w:bdr w:val="single" w:sz="8" w:space="1" w:color="000000"/>
        </w:rPr>
        <w:t>statutaire zetel</w:t>
      </w:r>
      <w:r>
        <w:rPr>
          <w:rFonts w:ascii="Times New Roman;Times;serif" w:hAnsi="Times New Roman;Times;serif"/>
          <w:b w:val="false"/>
          <w:i w:val="false"/>
          <w:caps w:val="false"/>
          <w:smallCaps w:val="false"/>
          <w:color w:val="000000"/>
          <w:spacing w:val="4"/>
          <w:sz w:val="20"/>
          <w:bdr w:val="single" w:sz="8" w:space="1" w:color="000000"/>
        </w:rPr>
        <w:t xml:space="preserve">) is in Amsterdam, the Netherlands and the mailing and business address of our principal executive office is Robert-Bosch-Str. 32-36, 72250 Freudenstadt, Federal Republic of Germany. Our telephone number is Tel: +49 7441 538 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website at schmid-group.com, where we regularly post copies of our press releases as well as additional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HO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offering. The “Description of Securities” section of this registration statements contains a more detailed description of the Company’s securities.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Group N.V.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Securities that may be issued from time to time by the Company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Up to 46,611,659 of our Ordinary Shares, including (i) up to 9,750,000 Ordinary Shares issuable upon conversion of our Private Warrants, (ii) up to 11,250,000 Ordinary Shares that are issuable upon the exercise of our Public Warrants, (iii) up to 15,544,042 Ordinary Shares that are issuable upon the conversion of the two-tranche 2028 Convertible Notes, (iv) up to 6,217,617 Ordinary Shares that are issuable upon the exercise of the 2026 Warrants, (v) up to 1,600,000 Ordinary Shares that are issuable upon the conversion of the 2025 Convertible Loan, (vi) up to 1,250,000 Ordinary Shares that are issuable upon the exercise of options granted in connection with the 2025 Options and (vii) up to 1,000,000 Ordinary Shares that are issuable to certain members of management based on contractually agreed share and option bonus incentive plans.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Securities that may be offered and sold from time to time by the Selling Securityholders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89,341,198 Ordinary Shares including (a) 42,729,539 of our Ordinary Shares issued to certain selling securityholders in connection with the Business Combination (including 5,000,000 non-vested earn-out shares) and to XJ Harbour in a private placement on January 16, 2026 which remain unsold by such selling securityholders, (b) up to 21,000,000 of our Ordinary Shares to be issued upon the exercise of our Warrants, (c) up to 15,544,042 of our Ordinary Shares to be issued upon the conversion of the 2028 Convertible Notes, (d) up to 6,217,617 of our Ordinary Shares to be issued upon the exercise of the 2026 Warrants, (e) up to 1,600,000 of our Ordinary Shares to be issued upon the conversion of the 2025 Convertible Loan, (f) up to 1,250,000 of our Ordinary Shares to be issued upon the exercise of the 2025 Options, and (g) up to 1,000,000 of our Ordinary Shares that are issuable to certain members of management based on contractually agreed share and option bonus incentive plans, and (ii) up to 9,750,000 Private Warrants.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Selling Securityholders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All of the Ordinary Shares and Warrants being registered pursuant to the Registration Statement on Form F-1 are being offered by the Selling Securityholders. See “</w:t>
      </w:r>
      <w:r>
        <w:rPr>
          <w:rFonts w:ascii="Times New Roman;Times;serif" w:hAnsi="Times New Roman;Times;serif"/>
          <w:b w:val="false"/>
          <w:i/>
          <w:caps w:val="false"/>
          <w:smallCaps w:val="false"/>
          <w:color w:val="000000"/>
          <w:spacing w:val="4"/>
          <w:sz w:val="20"/>
          <w:bdr w:val="single" w:sz="8" w:space="1" w:color="000000"/>
        </w:rPr>
        <w:t>Selling Securityholders</w:t>
      </w:r>
      <w:r>
        <w:rPr>
          <w:rFonts w:ascii="Times New Roman;Times;serif" w:hAnsi="Times New Roman;Times;serif"/>
          <w:b w:val="false"/>
          <w:i w:val="false"/>
          <w:caps w:val="false"/>
          <w:smallCaps w:val="false"/>
          <w:color w:val="000000"/>
          <w:spacing w:val="4"/>
          <w:sz w:val="20"/>
          <w:bdr w:val="single" w:sz="8" w:space="1" w:color="000000"/>
        </w:rPr>
        <w:t xml:space="preserve">” section for more information.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at prior to the offering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66,637,954 Ordinary Shares (including 5,000,000 earn-out shares, which have been issued but have not vested and are subject to cancellation).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after giving effect to the issuance of all Ordinary Shares Registered Hereunder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giving effect of the issuance of all Ordinary Shares registered hereunder (which depends on the exercise of warrants and the exercise of conversion rights of the different securities and instruments), 131,052,850 Ordinary Shares would be outstanding (including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5,000,000 earn-out shares, which have been issued but have not vested and are subject to cancellation, and the full issuance of all shares registered under other registration statements).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policy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Dutch law, we may only pay dividends and other distributions from our reserves to the extent our shareholders’ equity (</w:t>
      </w:r>
      <w:r>
        <w:rPr>
          <w:rFonts w:ascii="Times New Roman;Times;serif" w:hAnsi="Times New Roman;Times;serif"/>
          <w:b w:val="false"/>
          <w:i/>
          <w:caps w:val="false"/>
          <w:smallCaps w:val="false"/>
          <w:color w:val="000000"/>
          <w:spacing w:val="4"/>
          <w:sz w:val="20"/>
          <w:bdr w:val="single" w:sz="8" w:space="1" w:color="000000"/>
        </w:rPr>
        <w:t>eigen vermogen</w:t>
      </w:r>
      <w:r>
        <w:rPr>
          <w:rFonts w:ascii="Times New Roman;Times;serif" w:hAnsi="Times New Roman;Times;serif"/>
          <w:b w:val="false"/>
          <w:i w:val="false"/>
          <w:caps w:val="false"/>
          <w:smallCaps w:val="false"/>
          <w:color w:val="000000"/>
          <w:spacing w:val="4"/>
          <w:sz w:val="20"/>
          <w:bdr w:val="single" w:sz="8" w:space="1" w:color="000000"/>
        </w:rPr>
        <w:t>) exceeds the sum of our paid-in and called-up share capital plus the reserves we must maintain under Dutch law or our articles of association (the “</w:t>
      </w:r>
      <w:r>
        <w:rPr>
          <w:rFonts w:ascii="Times New Roman;Times;serif" w:hAnsi="Times New Roman;Times;serif"/>
          <w:b/>
          <w:i w:val="false"/>
          <w:caps w:val="false"/>
          <w:smallCaps w:val="false"/>
          <w:color w:val="000000"/>
          <w:spacing w:val="-4"/>
          <w:sz w:val="20"/>
          <w:bdr w:val="single" w:sz="8" w:space="1" w:color="000000"/>
        </w:rPr>
        <w:t>Articles of Association</w:t>
      </w:r>
      <w:r>
        <w:rPr>
          <w:rFonts w:ascii="Times New Roman;Times;serif" w:hAnsi="Times New Roman;Times;serif"/>
          <w:b w:val="false"/>
          <w:i w:val="false"/>
          <w:caps w:val="false"/>
          <w:smallCaps w:val="false"/>
          <w:color w:val="000000"/>
          <w:spacing w:val="4"/>
          <w:sz w:val="20"/>
          <w:bdr w:val="single" w:sz="8" w:space="1" w:color="00000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b w:val="false"/>
          <w:i/>
          <w:caps w:val="false"/>
          <w:smallCaps w:val="false"/>
          <w:color w:val="000000"/>
          <w:spacing w:val="4"/>
          <w:sz w:val="20"/>
          <w:bdr w:val="single" w:sz="8" w:space="1" w:color="000000"/>
        </w:rPr>
        <w:t>Dividend Policy</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declared or paid any cash dividends and have no plan to declare or pay any dividends on our Ordinary Shares in the foreseeable future. We currently intend to retain any earnings for future operations and expansion.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sale of Ordinary Shares or Private Warrants by the Selling Securityholders in the offering as described in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receive up to an aggregate of approximately $241.5 million from the exercise of the Warrants, assuming the exercise in full of all of the Warrants for cash. We will additionally receive up to an aggregate of approximately $5.2 million from the exercise of the 2025 Options, if such 2025 Options are exercised. We will receive further proceeds of $30 million from the exercise of the 2026 Warrants, if such 2026 Warrants are exercised. We expect to use the net proceeds from the exercise of the Warrants, the 2025 Options and the 2026 Warrants for general corporate purposes. 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restrictions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Ordinary Shares and Private Warrants offered by this prospectus may be offered and sold at prevailing market prices, privately negotiated prices or such other prices as the Selling Securityholders may determine. See the section titled “</w:t>
      </w:r>
      <w:r>
        <w:rPr>
          <w:rFonts w:ascii="Times New Roman;Times;serif" w:hAnsi="Times New Roman;Times;serif"/>
          <w:b w:val="false"/>
          <w:i/>
          <w:caps w:val="false"/>
          <w:smallCaps w:val="false"/>
          <w:color w:val="000000"/>
          <w:spacing w:val="4"/>
          <w:sz w:val="20"/>
          <w:bdr w:val="single" w:sz="8" w:space="1" w:color="000000"/>
        </w:rPr>
        <w:t>Plan of Distribution</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Ordinary Shares and Private Warrants offered by the Selling Securityholders pursuant to this prospectus will be sold by the Selling Securityholders for their respective accounts. We will not receive any of the proceeds from such sales.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Market for our Ordinary </w:t>
      </w:r>
      <w:r>
        <w:rPr>
          <w:rFonts w:ascii="Times New Roman;Times;serif" w:hAnsi="Times New Roman;Times;serif"/>
          <w:b/>
          <w:i/>
          <w:caps w:val="false"/>
          <w:smallCaps w:val="false"/>
          <w:color w:val="000000"/>
          <w:sz w:val="20"/>
          <w:bdr w:val="single" w:sz="8" w:space="1" w:color="000000"/>
        </w:rPr>
        <w:br/>
      </w:r>
      <w:r>
        <w:rPr>
          <w:rFonts w:ascii="Times New Roman;Times;serif" w:hAnsi="Times New Roman;Times;serif"/>
          <w:b/>
          <w:i/>
          <w:caps w:val="false"/>
          <w:smallCaps w:val="false"/>
          <w:color w:val="000000"/>
          <w:spacing w:val="-4"/>
          <w:sz w:val="20"/>
          <w:bdr w:val="single" w:sz="8" w:space="1" w:color="000000"/>
        </w:rPr>
        <w:t>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ordinary shares are listed on Nasdaq under the symbol “SHMD” and our Public Warrants are listed under the symbol “SHMD.W”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Investing in our securities involves a high degree of risk. 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for a description of certain of the risks you should consider before investing in our ordinary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F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96"/>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 OF SCHMID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Financial Data of SCHMID Group N.V.</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 The summary financial information as of June 30, 2026 and for the six months ended June 30, 2026 and 2025 has been derived from the unaudited condensed consolidated interim financial statements of SCHMID included elsewhere in this prospectus, which have been prepared in accordance with IAS 34 “Interim Financial Reporting”. The results for the six months ended June 30, 2026 are not necessarily indicative of the results to be expected for the full year 2026 or any other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summary historical financial information should be read together with the consolidated financial statements and accompanying notes and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The summary historical financial information in this section is not intended to replace our consolidated financial statements and the related notes. Our historical results are not necessarily indicative of our future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six months ended June 30, 2026 and 2025</w:t>
      </w:r>
      <w:r>
        <w:rPr>
          <w:rFonts w:ascii="Times New Roman;Times;serif" w:hAnsi="Times New Roman;Times;serif"/>
          <w:b/>
          <w:i w:val="false"/>
          <w:caps w:val="false"/>
          <w:smallCaps w:val="false"/>
          <w:color w:val="000000"/>
          <w:spacing w:val="4"/>
          <w:sz w:val="20"/>
          <w:bdr w:val="single" w:sz="8" w:space="1" w:color="000000"/>
        </w:rPr>
        <w:t xml:space="preserve"> </w:t>
      </w:r>
    </w:p>
    <w:tbl>
      <w:tblPr>
        <w:tblW w:w="7423" w:type="dxa"/>
        <w:jc w:val="left"/>
        <w:tblInd w:w="1393" w:type="dxa"/>
        <w:tblLayout w:type="fixed"/>
        <w:tblCellMar>
          <w:top w:w="0" w:type="dxa"/>
          <w:left w:w="0" w:type="dxa"/>
          <w:bottom w:w="28" w:type="dxa"/>
          <w:right w:w="0" w:type="dxa"/>
        </w:tblCellMar>
      </w:tblPr>
      <w:tblGrid>
        <w:gridCol w:w="4347"/>
        <w:gridCol w:w="109"/>
        <w:gridCol w:w="109"/>
        <w:gridCol w:w="109"/>
        <w:gridCol w:w="109"/>
        <w:gridCol w:w="916"/>
        <w:gridCol w:w="109"/>
        <w:gridCol w:w="109"/>
        <w:gridCol w:w="109"/>
        <w:gridCol w:w="109"/>
        <w:gridCol w:w="109"/>
        <w:gridCol w:w="916"/>
        <w:gridCol w:w="109"/>
        <w:gridCol w:w="154"/>
      </w:tblGrid>
      <w:tr>
        <w:trPr/>
        <w:tc>
          <w:tcPr>
            <w:tcW w:w="43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Basic and diluted loss per share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SCHMID had total assets of €127.2 million (December 31, 2025: €106.3 million), cash and cash equivalents of €2.3 million (December 31, 2025: €1.6 million), current financial liabilities of €28.2 million (December 31, 2025: €87.1 million), non-current financial liabilities of €54.5 million (December 31, 2025: €71.5 million) and total equity of €(30.8) million (December 31, 2025: €(132.2) million). For the six months ended June 30, 2026, cash used in operating activities was €29.3 million, cash used in investing activities was €2.5 million and cash provided by financing activities was €32.6 million.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years ended</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December 31, 2025, 2024 and 2023</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IF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by the selling securityholders and other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66,637,954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131,052,850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30,926,893 Ordinary Shares they together hold and control make up 50.18%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contribution of shares rather than cash. In addition, Christian Schmid, Anette Schmid and Schmid Grundstücke GmbH &amp; Co KG (which is controlled by them) were issued Ordinary Shares against set-off of liabilities at a share price of $7.3309.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set off debt owed to them by Pegasus in exchange for Ordinary Shares, at an effective price of $5.10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$21 million have been converted at share prices ranging from $2.9974 to $6.1573 per share. The 2026 Warrants are issued in two tranches and are also subject to an exercise price of $8.0125 per Ordinary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Lastly, the Company issued 2029 Convertible Notes with aggregate principal amount of $20 million which are subject to a floating rate conversion price capped at a floor conversion price of $1.93 and a maximum conversion price of $10.50 per Ordinary Shares.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$3.3150 as of September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Technology,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markets and industries in which we operate, we face intense competition and our failure to compete successfully in product development may have an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some of our competitors are small divisions of large, international businesses, these competitors may have access to greater resources than we do and may therefore be better able to withstand a change in conditions within our industry or the economy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reputation of our brand is an important company asset and is key to our ability to remain a trusted supplier of specialty products, equipment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maintained a strong reputation in the electronics industries for more than 50 years. Our products, equipment and services are associated with long-lasting and reliable high quality.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products, we have established ourselves as one of the leaders in quality and innovation in the markets in which we operate. For that reason, our customers are willing to pay above market prices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profitability could suffer if our cost management strategies are unsuccessful, or our competitors develop an advantageous cost structure that we cannot match.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rates of growth, and our business, financial condition, and results of operations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continuously develop new, improved and more cost-effective technologies and products, this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 customers and their direct and indirect customers face numerous competitive challenges, which may materially adversely affect their business and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revenue, earnings, and other operating results have fluctuated in the past and may fluctuate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demand for our products fluctuates as a result of economic conditions or for other reasons, our revenue and profitability could be impacted. Our future operating results will depend on many factors,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political, and macroeconomic changes, and the overall global economy;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wars or public health crises;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expectations for inflation, unemployment levels, and energy or other commodity prices;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our customers’ and their customers’ products;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forecast our customers’ demand for our products accurately;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anticipate secular trends that affect demand for our products and the degree to which those trends materialize;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cost savings and improve yields and margins on our new and existing products; and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capacity efficiently or acquire additional capacity in response to customer demand.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our future operating results could be adversely affected by one or more of the factors set forth above or other similar factors. If our future operating results are below the expectations of stock market analysts or our investors, our stock price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disruptions to our supply chain, significant increase in material costs, or shortages of critical components, could adversely affect our business and result in increased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drivers of the electronics market include the large investments related to the fast growing artificial intelligence industry, specifically into servers, datacentres and electronic components such as chips. If this growth decreases or investments decrease or don’t create the expected returns our growth and financial results may be negatively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 For example, for the six months ended June 30, 2026 our gross margin of 21.2% was lower than anticipated at that revenue level given the product mix shift towards our lower gross margin business in China, and on August 25, 2026 we lowered our full-year 2026 Adjusted EBITDA margin guidance to 6 to 9% from more than 12% while confirming our revenue guidance of more than €100 million. There can be no assurance that our updated guidance will be met.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Difficult and volatile conditions in the capital, credit and commodities markets and in the overall economy could have a material adverse effect on our business, financial condition, results of operations,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volatility in commodity prices, we may encounter difficulty in achieving sustained market acceptance of past or future price increases, which could have a material adverse effect on our business, financial condition, results of operations, and cash flows;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respond to market conditions, we may need to seek waivers from certain provisions in financing agreements, and in such case, there can be no assurance that we can obtain such waivers at a reasonable cost, if at all;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result in our key customers experiencing financial difficulties and/or electing to limit spending, which in turn could result in decreased sales and earnings for us.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exchange rate fluctuations and volatility in global currency markets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costs and the majority of our revenues are denominated in currencies other than the Euro, with most of our non-Euro denominated revenues being in RMB and USD while most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costs being denominated in Euro. While most of our RMB revenues are matched by RMB costs, a weakening of the USD against the EUR and to a lesser extent a weaking of the RMB against the EUR, could have a negative effect on our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Natural disasters, catastrophes, fire, or other unexpected events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retain existing key customers, or if our key customers fail to grow their own sales in the future, our business, results of operations, and financial condition could be materially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financial condition, and results of operations could be adversely affected by decreases in the average selling prices of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required to record an impairment charge on our accounts receivable if we are unable to collect the outstanding balances from our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financial, geopolitical, epidemiological, or other conditions could result in business disruptions which could seriously harm our future revenue and financial condition and increase our costs and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global operations subject us to increased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trade disputes that could result in tariffs or other protectionist measures;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instability, including regime changes, and corruption; </w:t>
      </w:r>
      <w:r>
        <mc:AlternateContent>
          <mc:Choice Requires="wps">
            <w:drawing>
              <wp:anchor behindDoc="0" distT="73660" distB="0" distL="508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terrorism and military actions in response to such acts; </w:t>
      </w:r>
      <w:r>
        <mc:AlternateContent>
          <mc:Choice Requires="wps">
            <w:drawing>
              <wp:anchor behindDoc="0" distT="7366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and negative impact on our global logistics requirements; </w:t>
      </w:r>
      <w:r>
        <mc:AlternateContent>
          <mc:Choice Requires="wps">
            <w:drawing>
              <wp:anchor behindDoc="0" distT="74930" distB="0" distL="508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changes in regulatory environments and government interference in the economy; </w:t>
      </w:r>
      <w:r>
        <mc:AlternateContent>
          <mc:Choice Requires="wps">
            <w:drawing>
              <wp:anchor behindDoc="0" distT="74930" distB="0" distL="508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economic sanctions laws and regulations, including regulatory exemptions that currently authorize certain of our limited dealings involving sanctioned countries; </w:t>
      </w:r>
      <w:r>
        <mc:AlternateContent>
          <mc:Choice Requires="wps">
            <w:drawing>
              <wp:anchor behindDoc="0" distT="74930" distB="0" distL="508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increasingly stringent laws related to privacy and consumer and data protection, including the EU General Data Protection Regulation and US State privacy and security breach notification laws; </w:t>
      </w:r>
      <w:r>
        <mc:AlternateContent>
          <mc:Choice Requires="wps">
            <w:drawing>
              <wp:anchor behindDoc="0" distT="74930" distB="0" distL="508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unrest, crime, strikes, riots and civil disturbances; </w:t>
      </w:r>
      <w:r>
        <mc:AlternateContent>
          <mc:Choice Requires="wps">
            <w:drawing>
              <wp:anchor behindDoc="0" distT="74930" distB="0" distL="508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tax regimes, including with respect to the imposition of confiscatory taxes, other unexpected taxes, or withholding taxes on remittances and other payments by our partnerships or subsidiaries; </w:t>
      </w:r>
      <w:r>
        <mc:AlternateContent>
          <mc:Choice Requires="wps">
            <w:drawing>
              <wp:anchor behindDoc="0" distT="7493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labor regulations, particularly in Germany and China where we have a significant number of employees; </w:t>
      </w:r>
      <w:r>
        <mc:AlternateContent>
          <mc:Choice Requires="wps">
            <w:drawing>
              <wp:anchor behindDoc="0" distT="7493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rising wages and rates of inflation; </w:t>
      </w:r>
      <w:r>
        <mc:AlternateContent>
          <mc:Choice Requires="wps">
            <w:drawing>
              <wp:anchor behindDoc="0" distT="74930" distB="0" distL="508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foreign currency exchange rates and foreign exchange controls and restrictions on repatriation of funds; </w:t>
      </w:r>
      <w:r>
        <mc:AlternateContent>
          <mc:Choice Requires="wps">
            <w:drawing>
              <wp:anchor behindDoc="0" distT="7493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outbreak of disease pandemics and responsive governmental measures; </w:t>
      </w:r>
      <w:r>
        <mc:AlternateContent>
          <mc:Choice Requires="wps">
            <w:drawing>
              <wp:anchor behindDoc="0" distT="7493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collect payments, or seek recourse under, or comply with ambiguous or vague commercial or other laws; </w:t>
      </w:r>
      <w:r>
        <mc:AlternateContent>
          <mc:Choice Requires="wps">
            <w:drawing>
              <wp:anchor behindDoc="0" distT="7493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obtaining, or denial of, export licenses or delay or interruption of the transportation of our products; </w:t>
      </w:r>
      <w:r>
        <mc:AlternateContent>
          <mc:Choice Requires="wps">
            <w:drawing>
              <wp:anchor behindDoc="0" distT="7493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protections for intellectual property rights; </w:t>
      </w:r>
      <w:r>
        <mc:AlternateContent>
          <mc:Choice Requires="wps">
            <w:drawing>
              <wp:anchor behindDoc="0" distT="7493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risk of cybersecurity incidents and cyberattacks from third-party and state actors and privacy violations; </w:t>
      </w:r>
      <w:r>
        <mc:AlternateContent>
          <mc:Choice Requires="wps">
            <w:drawing>
              <wp:anchor behindDoc="0" distT="7493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attracting and retaining qualified management and employees; </w:t>
      </w:r>
      <w:r>
        <mc:AlternateContent>
          <mc:Choice Requires="wps">
            <w:drawing>
              <wp:anchor behindDoc="0" distT="7493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credit risk and different financial conditions of customers and distributors may necessitate longer payment cycles of accounts receivable or result in increased bad debt write-offs (including due to bankruptcy) or additions to reserves; </w:t>
      </w:r>
      <w:r>
        <mc:AlternateContent>
          <mc:Choice Requires="wps">
            <w:drawing>
              <wp:anchor behindDoc="0" distT="7493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business practices, which may require us to enter into agreements that include non-standard terms; and </w:t>
      </w:r>
      <w:r>
        <mc:AlternateContent>
          <mc:Choice Requires="wps">
            <w:drawing>
              <wp:anchor behindDoc="0" distT="7493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penetrating new markets due to entrenched competitors, lack of recognition of our brand, and lack of local acceptance of our products and services. </w:t>
      </w:r>
      <w:r>
        <mc:AlternateContent>
          <mc:Choice Requires="wps">
            <w:drawing>
              <wp:anchor behindDoc="0" distT="0" distB="0" distL="508000" distR="0" simplePos="0" locked="0" layoutInCell="1" allowOverlap="1" relativeHeight="118">
                <wp:simplePos x="0" y="0"/>
                <wp:positionH relativeFrom="column">
                  <wp:align>left</wp:align>
                </wp:positionH>
                <wp:positionV relativeFrom="line">
                  <wp:posOffset>635</wp:posOffset>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foregoing factors or any combination thereof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insured against all potential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use and operate certain portions of our facilities may be limited by the validity of, or a default or termination under, our real property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operations and assets in foreign jurisdictions may be subject to significant political and economic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presented by the foreign legal systems could limit the legal protections available to us and subject us to legal risks, which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increases in labor costs in China could have an adverse impact on our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Chinese government’s policy on foreign investment in China may adversely affect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Chinese government may enact further restrictive measures in the future which could adversely affect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obtain additional capital on commercially reasonable terms may be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capital on commercially reasonable terms, it could: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funds available to us for purposes such as working capital, capital expenditures, research and development, strategic acquisitions, and other general corporate purposes; </w:t>
      </w:r>
      <w:r>
        <mc:AlternateContent>
          <mc:Choice Requires="wps">
            <w:drawing>
              <wp:anchor behindDoc="0" distT="6731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introduce new products or exploit business opportunities;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vulnerability to economic downturns and competitive pressures in the markets in which we operate; and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competitive disadvantage.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may need to engage in equity or debt financings to secure additional funds. On January 18, 2026 the Company entered into an investment agreement in relation to the issuance of 2028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portion of the 2028 Convertible Notes and the 2029 Convertible Notes has been converted.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we entered into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The Company has utilized the SEPA and, as of date of this registration statement, has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Regulation and Litigation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results may be affected by tariffs, border adjustment taxes or other adverse trade restrictions.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international scope of our operations and our corporate and financing structure may expose us to potentially adverse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comply with trade restrictions such as economic sanctions and export controls could negatively impact our reputation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Non-compliance with anti-corruption, anti-bribery, anti-money laundering or financial and economic sanctions laws could subject us to whistleblower complaints, adverse media coverage, investigations,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adversely affected by changes in legislation and regulation, which may impact how we provide products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litigious environment, which may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environmental, health and safety laws and regulations, we could become subject to fines or penalties or incur costs that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climate change legislation could negatively impact our results of operations or limit our ability to operate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information security and privacy concerns could subject us to penalties, damage our reputation and brand, and harm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which became effective in 2018, and the State of California adopted the California Consumer Privacy Act of 2018 (“</w:t>
      </w:r>
      <w:r>
        <w:rPr>
          <w:rFonts w:ascii="Times New Roman;Times;serif" w:hAnsi="Times New Roman;Times;serif"/>
          <w:b/>
          <w:i w:val="false"/>
          <w:caps w:val="false"/>
          <w:smallCaps w:val="false"/>
          <w:color w:val="000000"/>
          <w:spacing w:val="-4"/>
          <w:sz w:val="20"/>
        </w:rPr>
        <w:t>CCPA</w:t>
      </w:r>
      <w:r>
        <w:rPr>
          <w:rFonts w:ascii="Times New Roman;Times;serif" w:hAnsi="Times New Roman;Times;serif"/>
          <w:b w:val="false"/>
          <w:i w:val="false"/>
          <w:caps w:val="false"/>
          <w:smallCaps w:val="false"/>
          <w:color w:val="000000"/>
          <w:spacing w:val="4"/>
          <w:sz w:val="20"/>
        </w:rPr>
        <w:t xml:space="preserve">”);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proceedings against us by governmental entities or others, and damage to our reputation and credibility, and could have a negative impact on revenues and profits.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Employee Matters, Managing Growth, and Relationships with Suppliers and Other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continue to attract, motivate, and retain members of our senior management team and qualified employees, we may not be able to support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successfully execute on our growth initiatives, business strategies, or operating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employees may engage in misconduct or other improper activities, including noncompliance with regulatory standards and requirements, internal codes of conduct, and insider trading prohibition.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ourselves or asserting our rights) such misconduct or actions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upon our information technology systems, which are subject to interruption and failure.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SCHMID’s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know-how and innovations may not be adequately protected.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patent applications may not be successful, which may have a material adverse effect on our ability to prevent others from commercially exploiting products similar to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defend ourselves against patent or trademark infringement claims, which may be time- consuming and would cause us to incur substantial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Being a Public Company listed on a U.S.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spring of 2025 the Company failed to finalize its financial reporting for 2024 or publish its annual report on Form 20-F in a timely manner due to delays in resolving accounting issues, as well as liquidity issues facing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a majority of the Board consist of independent directors; </w:t>
      </w:r>
      <w:r>
        <mc:AlternateContent>
          <mc:Choice Requires="wps">
            <w:drawing>
              <wp:anchor behindDoc="0" distT="6985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nominating and corporate governance committee that is composed entirely of independent directors with a written charter addressing the committee’s purpose and responsibilities; </w:t>
      </w:r>
      <w:r>
        <mc:AlternateContent>
          <mc:Choice Requires="wps">
            <w:drawing>
              <wp:anchor behindDoc="0" distT="6985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compensation committee that is composed entirely of independent directors with a written charter addressing the committee’s purpose and responsibilities; and </w:t>
      </w:r>
      <w:r>
        <mc:AlternateContent>
          <mc:Choice Requires="wps">
            <w:drawing>
              <wp:anchor behindDoc="0" distT="6985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an annual performance evaluation of the nominating and corporate governance committee and compensation committee. </w:t>
      </w:r>
      <w:r>
        <mc:AlternateContent>
          <mc:Choice Requires="wps">
            <w:drawing>
              <wp:anchor behindDoc="0" distT="6985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Anette Schmid and Christian Schmid jointly have the power to control the outcome of shareholder actions in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Anette Schmid and Christian Schmid jointly held 50.18% of our outstanding Ordinary Shares not taking into account 5 million non-vested earn-out shares held by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20" w:after="283"/>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z w:val="15"/>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them which are contractually restricted from voting (53.91%)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and trading volume of our Ordinary Shares and Public Warrants may be volatile and could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our reduced SEC reporting requirements may make our shares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obligations under the Sarbanes-Oxley Act may require substantial financial and management resources and shareholders may have fewer advantages until we cease to be an emerging growth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prior to the Business Combination, we were not a publicly reporting company required to comply with Section 404 of the Sarbanes-Oxley Act (“Section 404”). Our management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rights of shareholders in companies subject to Dutch corporate law differ in material respects from the rights of shareholders of corporations incorporated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Dutch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obligated to, and do not, comply with all best practice provisions of the 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Dutch Corporate Governance Code (the “</w:t>
      </w:r>
      <w:r>
        <w:rPr>
          <w:rFonts w:ascii="Times New Roman;Times;serif" w:hAnsi="Times New Roman;Times;serif"/>
          <w:b/>
          <w:i w:val="false"/>
          <w:caps w:val="false"/>
          <w:smallCaps w:val="false"/>
          <w:color w:val="000000"/>
          <w:spacing w:val="-4"/>
          <w:sz w:val="20"/>
        </w:rPr>
        <w:t>DCGC</w:t>
      </w:r>
      <w:r>
        <w:rPr>
          <w:rFonts w:ascii="Times New Roman;Times;serif" w:hAnsi="Times New Roman;Times;serif"/>
          <w:b w:val="false"/>
          <w:i w:val="false"/>
          <w:caps w:val="false"/>
          <w:smallCaps w:val="false"/>
          <w:color w:val="000000"/>
          <w:spacing w:val="4"/>
          <w:sz w:val="20"/>
        </w:rPr>
        <w:t xml:space="preserve">”). The DCGC contains both principles and best practice provisions on corporate governance that regulate relations between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listed on the NASDAQ. Any such non-compliance may affect your rights as a shareholder, and you may not have the same level of protection as a shareholder in a Dutch company that fully complies with the DCGC.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not be able to exercise pre-emptive rights and, as a result, may experience substantial dilution upon future issuances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notes of $1 million to $2 million in each case, a total of 4,292,579 shares have been issued. Shareholders may continue to be diluted if the holders chose to convert further notes in the future. Currently $9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under Dutch law and our Articles of Association may limit 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may have difficulty enforcing civil liabilities against us or the members of our management and our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German and European insolvency laws are substantially different from U.S. insolvency laws and may offer our shareholders less protection than they would have under U.S. insolvency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be subject to limitations on transfers of their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Articles of Association include sole and exclusive forum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residency, including for purposes of the German-Dutch tax treaty, could be challenged, which could result in additional tax liabilities, compliance burdens, and adverse financial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in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utilize our net operating loss and tax credit carryforwards to offset future taxable income may be subject to certain limitations, including losses as a result of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changes to tax laws could materially and adversely affect us and reduce net returns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 countries where we have operations and where we are organized or deemed a resident for tax purposes, and increase the complexity, burden, and cost of tax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or become a PFIC, which could result in adverse U.S. federal income tax consequences to U.S. holders of Ordinary Shares or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SO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Ordinary Shares and Private Warrants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The likelihood that the holders of the Warrants will exercise them, and therefore that we should 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additionally receive up to an aggregate of approximately $5.2 million from the exercise of the 2025 Options, if such 2025 Options are exercised. The 2025 Options are exercisable at a strike price of $4.1956 per share. The 2025 Options cannot be exercised cashless.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receive further proceeds based on the 2026 Warrants if such 2026 Warrants are exercised. The 2026 Warrants may be exercised at the exercise price of $8.0125 per Ordinary Share which would provide proceeds to us of approximately $30 million based on the 3,744,150 warrants outstanding. The 2026 Warrants may be exercised cashless.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proceeds for our Public Warrants, Private Warrants, 2025 Options and 2026 Warrants is conditional of such instruments being exercised for cash. Investors should thus not rely on the receipt of any such proceeds or set-off of liabilities for purposes of evaluating our liquidity.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use the net proceeds from the exercise of the Warrants, the 2025 Options and the 2026 Warrants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OFFERING PRICE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Private Warrants offered hereby is determined by reference to the exercise price of the Private Warrants of $11.50 per share. The Ordinary Shares and the Public Warrants are listed on the Nasdaq Global Select Market under the symbol “SHMD” and “SHMD.W,”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2025 Options is determined by the reference to the strike price for such options of $4.1956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2026 Warrants is determined by the following mechanism: The warrants are exercisable until December 15, 2028, exercisable for cash or, at the Company’s election, on a cashless basis. In relation to the warrants issued on January 21, 2026 and March 5, 2026, the offering price of the Ordinary Shares underlying such 3,744,150 warrants is determined by reference to the strike price of $8.0125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2025 Convertible Loan is determined by reference to the conversion price of $2.15 per Ordinary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offering price of the Ordinary Shares underlying the 2028 Convertible Notes is determined by the conversion price mechanism in the indenture, which provides for a floor conversion price of $1.93 and a maximum conversion price of $9.65 per Ordinary Share. As of the date of this prospectus, $18.0 million in principal amount remains outstanding.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management share and option bonus plans can currently not be determined, as the relevant strike prices are set by the board of directors of the Company, respectively, are contractually tied to the future share price of our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currently determine the price or prices at which shares of our Ordinary Shares or Private Warrants may be sold by the selling securityholders under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F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Private Warrants are currently listed on the Nasdaq Global Select Market under the symbols “SHMD” and “SHMD.W,” respectively. We currently do not intend to list the Private Warrants offered hereby on any stock exchange or stock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ordinary shares and we do not anticipate paying any dividends on our ordinary shares for the foreseeable future. We currently intend to retain any earnings for future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A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our capitalization as of June 30, 2026.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also sets out an “as adjusted” column showing the effects of the following transactions completed after June 30, 2026: (a) the issuance of the 2029 Convertible Notes in an aggregate principal amount of $20 million on July 14, 2026, and (b) the conversion of $1.0 million and $2.0 million of 2028 Convertible Notes (plus accrued interest) into Ordinary Shares on August 5, 2026 and September  17, 2026 respectively. The issuance of shares to XJ Harbour HK Limited on January 16, 2026, the issuance of the 2028 Convertible Notes and the conversion of $18 million thereof through June 30, 2026, the issuance of 4,958,481 Ordinary Shares against the set-off of €30.75 million of indebtedness on May 23, 2026 and the shares issued under the SEPA through June 30, 2026 are reflected in the actual amounts as of June 30, 2026. The “as adjusted” column does not show the effects of certain other smaller transactions such as issuances of shares to managers and board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results do not necessarily indicate our expected results for any future periods. </w:t>
      </w:r>
    </w:p>
    <w:tbl>
      <w:tblPr>
        <w:tblW w:w="8172" w:type="dxa"/>
        <w:jc w:val="left"/>
        <w:tblInd w:w="1393" w:type="dxa"/>
        <w:tblLayout w:type="fixed"/>
        <w:tblCellMar>
          <w:top w:w="0" w:type="dxa"/>
          <w:left w:w="0" w:type="dxa"/>
          <w:bottom w:w="28" w:type="dxa"/>
          <w:right w:w="0" w:type="dxa"/>
        </w:tblCellMar>
      </w:tblPr>
      <w:tblGrid>
        <w:gridCol w:w="5096"/>
        <w:gridCol w:w="109"/>
        <w:gridCol w:w="109"/>
        <w:gridCol w:w="109"/>
        <w:gridCol w:w="109"/>
        <w:gridCol w:w="916"/>
        <w:gridCol w:w="109"/>
        <w:gridCol w:w="109"/>
        <w:gridCol w:w="109"/>
        <w:gridCol w:w="109"/>
        <w:gridCol w:w="109"/>
        <w:gridCol w:w="916"/>
        <w:gridCol w:w="109"/>
        <w:gridCol w:w="154"/>
      </w:tblGrid>
      <w:tr>
        <w:trPr/>
        <w:tc>
          <w:tcPr>
            <w:tcW w:w="5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(As </w:t>
            </w:r>
            <w:r>
              <w:rPr/>
              <w:br/>
            </w:r>
            <w:r>
              <w:rPr>
                <w:spacing w:val="-3"/>
              </w:rPr>
              <w:t xml:space="preserve">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283"/>
              <w:jc w:val="left"/>
              <w:rPr/>
            </w:pPr>
            <w:r>
              <w:rPr>
                <w:spacing w:val="-4"/>
              </w:rPr>
              <w:t>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2029 Convertible Notes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17,553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Other current and non-current financial liabilities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Total financial liabilities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97,578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Equity attributable to 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 converted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Non-controlling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Total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(28,160)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(as adjusted) includes the net proceeds from the 2029 Convertible Notes with an initial principal amount of $20 million, issued at 99% of principal amount, less $1 million of fees, shown at an exchange rate of €1 to $1.1394. Cash and cash equivalents amounted to approximately €18.3 million as of August 31, 2026.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2028 Convertible Notes with a principal amount of $12 million outstanding as of June 30, 2026; as adjusted: $9 million following the conversion of $3.0 million principal amount on August 5 and September 17, 2026, shown at an exchange rate of €1 to $1.1394.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2029 Convertible Notes with a principal amount of $20 million issued on July 14, 2026, shown at an exchange rate of €1 to $1.1394.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liabilities includes other current and non-current financial liabilities.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financial liabilities do not include lease liabilities of €8.3 million as of June 30, 2026 (non-current: €7.0 million; current: €1.4 million). In addition, they also do not include certain other liabilities which are not financial liabilities.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conversion of $3.0 million principal amount on July 5 and August 21, 2026, shown at an exchange rate of €1 to $1.1394.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OF SCHMID AND CERTAIN INFORMATION ABOUT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indicates otherwise, the terms “Company”, “SCHMID,” “we,” “our” or “us” as used herein refers to Gebr. Schmid GmbH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and modified semi additive processes (“</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and applied for patents for the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customers include large, global original equipment manufacturer (“</w:t>
      </w:r>
      <w:r>
        <w:rPr>
          <w:rFonts w:ascii="Times New Roman;Times;serif" w:hAnsi="Times New Roman;Times;serif"/>
          <w:b/>
          <w:i w:val="false"/>
          <w:caps w:val="false"/>
          <w:smallCaps w:val="false"/>
          <w:color w:val="000000"/>
          <w:spacing w:val="-4"/>
          <w:sz w:val="20"/>
        </w:rPr>
        <w:t>OEM</w:t>
      </w:r>
      <w:r>
        <w:rPr>
          <w:rFonts w:ascii="Times New Roman;Times;serif" w:hAnsi="Times New Roman;Times;serif"/>
          <w:b w:val="false"/>
          <w:i w:val="false"/>
          <w:caps w:val="false"/>
          <w:smallCaps w:val="false"/>
          <w:color w:val="000000"/>
          <w:spacing w:val="4"/>
          <w:sz w:val="20"/>
        </w:rPr>
        <w:t xml:space="preserve">”)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Business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our revenue by country (based on customer location) for the fiscal year 2025: </w:t>
      </w:r>
    </w:p>
    <w:tbl>
      <w:tblPr>
        <w:tblW w:w="5221"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graphic provides an overview of our key product lines and the processes where our machines are used (our machines are used in the process steps marked dark blue):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257800" cy="3124200"/>
            <wp:effectExtent l="0" t="0" r="0" b="0"/>
            <wp:docPr id="1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 descr=""/>
                    <pic:cNvPicPr>
                      <a:picLocks noChangeAspect="1" noChangeArrowheads="1"/>
                    </pic:cNvPicPr>
                  </pic:nvPicPr>
                  <pic:blipFill>
                    <a:blip r:embed="rId2"/>
                    <a:stretch>
                      <a:fillRect/>
                    </a:stretch>
                  </pic:blipFill>
                  <pic:spPr bwMode="auto">
                    <a:xfrm>
                      <a:off x="0" y="0"/>
                      <a:ext cx="5257800" cy="3124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C+ Line are vertical spin-process machines for developing, flash-etching and surface treatment. </w:t>
      </w:r>
      <w:r>
        <mc:AlternateContent>
          <mc:Choice Requires="wps">
            <w:drawing>
              <wp:anchor behindDoc="0" distT="1092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V+ Line are machines for a vertical inline process for developing, etching and stripping applications.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P+ Line are machines for high-end single panel electroplating tools.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CMP is a full format chemical mechanical polishing equipment for leveling copper.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PlasmaLine are vertical inline and cluster plasma etching and sputtering machines.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InfinityLine A+ is used for automation of process equipment for fully automatic loading and unloading.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H+ Line are machines for a horizontal inline processing for multiple processes and applications.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equipment includes various special equipment for horizontal inline processing and software solutions for such equipment.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Customers in 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ET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i w:val="false"/>
          <w:caps w:val="false"/>
          <w:smallCaps w:val="false"/>
          <w:color w:val="000000"/>
          <w:spacing w:val="-4"/>
          <w:sz w:val="20"/>
        </w:rPr>
        <w:t>ESG</w:t>
      </w:r>
      <w:r>
        <w:rPr>
          <w:rFonts w:ascii="Times New Roman;Times;serif" w:hAnsi="Times New Roman;Times;serif"/>
          <w:b w:val="false"/>
          <w:i w:val="false"/>
          <w:caps w:val="false"/>
          <w:smallCaps w:val="false"/>
          <w:color w:val="000000"/>
          <w:spacing w:val="4"/>
          <w:sz w:val="20"/>
        </w:rPr>
        <w:t xml:space="preserve">”)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ET technology can (i) increase production yields with reduced facility requirements, (ii) enable new 3D packaging solutions that cover ratification intelligence and photonic applications,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Sales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8001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Procurement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local and imported parts, but also commodities. We have long-standing relationships with our most trusted suppliers and employ specified and diligent processes for qualifying new suppliers.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Research and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research and development (“</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basic research activities, we collaborate with customers, strategic partners and leading research institutions worldwide in the electronics, photovoltaics and energy storage sectors.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Electronics.</w:t>
      </w:r>
      <w:r>
        <w:rPr>
          <w:rFonts w:ascii="Times New Roman;Times;serif" w:hAnsi="Times New Roman;Times;serif"/>
          <w:b w:val="false"/>
          <w:i w:val="false"/>
          <w:caps w:val="false"/>
          <w:smallCaps w:val="false"/>
          <w:color w:val="000000"/>
          <w:spacing w:val="4"/>
          <w:sz w:val="20"/>
        </w:rPr>
        <w:t xml:space="preserve">   Our R&amp;D efforts in the electronics market focus on advancing applications for the new 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Photovoltaics.</w:t>
      </w:r>
      <w:r>
        <w:rPr>
          <w:rFonts w:ascii="Times New Roman;Times;serif" w:hAnsi="Times New Roman;Times;serif"/>
          <w:b w:val="false"/>
          <w:i w:val="false"/>
          <w:caps w:val="false"/>
          <w:smallCaps w:val="false"/>
          <w:color w:val="000000"/>
          <w:spacing w:val="4"/>
          <w:sz w:val="20"/>
        </w:rPr>
        <w:t xml:space="preserve">   In photovoltaics, our R&amp;D activities relate primarily to the enhancement and expansion of the next generation of our InfinityLine systems for alkaline structuring and polishing.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more than 150 scientists, researchers and engineers globally, working across multiple laboratories equipped with advanced technologies and research infrastructure, more than 30 of which work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developed additional revenue opportunities through paid R&amp;D engagements. We expect licensing revenue to increase over time as our installed base expands.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734 employees. As of June 30, 2026, we had approximately 800 employees. The biggest departments are production, engineering, sales and procurement. We have not experienced any work stoppages, slowdowns or other serious labor problems that have materially impeded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Safety and Environmental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Times;serif" w:hAnsi="Times New Roman;Times;serif"/>
          <w:b w:val="false"/>
          <w:i/>
          <w:caps w:val="false"/>
          <w:smallCaps w:val="false"/>
          <w:color w:val="000000"/>
          <w:spacing w:val="4"/>
          <w:sz w:val="20"/>
        </w:rPr>
        <w:t>(Lieferkettensorgfaltspflichtengesetz</w:t>
      </w:r>
      <w:r>
        <w:rPr>
          <w:rFonts w:ascii="Times New Roman;Times;serif" w:hAnsi="Times New Roman;Times;serif"/>
          <w:b w:val="false"/>
          <w:i w:val="false"/>
          <w:caps w:val="false"/>
          <w:smallCaps w:val="false"/>
          <w:color w:val="000000"/>
          <w:spacing w:val="4"/>
          <w:sz w:val="20"/>
        </w:rPr>
        <w:t xml:space="preserve">), we have nevertheless implemented a Code of Conduct for our employees and suppliers that aims to ensure that working conditions in our supply chain are safe and 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general course of business, we sometimes face legal proceedings and claims against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subsidiary SCHMID China Ltd. (“</w:t>
      </w:r>
      <w:r>
        <w:rPr>
          <w:rFonts w:ascii="Times New Roman;Times;serif" w:hAnsi="Times New Roman;Times;serif"/>
          <w:b/>
          <w:i w:val="false"/>
          <w:caps w:val="false"/>
          <w:smallCaps w:val="false"/>
          <w:color w:val="000000"/>
          <w:spacing w:val="-4"/>
          <w:sz w:val="20"/>
        </w:rPr>
        <w:t>SCL</w:t>
      </w:r>
      <w:r>
        <w:rPr>
          <w:rFonts w:ascii="Times New Roman;Times;serif" w:hAnsi="Times New Roman;Times;serif"/>
          <w:b w:val="false"/>
          <w:i w:val="false"/>
          <w:caps w:val="false"/>
          <w:smallCaps w:val="false"/>
          <w:color w:val="000000"/>
          <w:spacing w:val="4"/>
          <w:sz w:val="20"/>
        </w:rPr>
        <w:t xml:space="preserve">”)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2025, Gebr. SCHMID GmbH announced that it has filed a lawsuit against Shenzhen China Science &amp; Technology Co., Ltd. (“</w:t>
      </w:r>
      <w:r>
        <w:rPr>
          <w:rFonts w:ascii="Times New Roman;Times;serif" w:hAnsi="Times New Roman;Times;serif"/>
          <w:b/>
          <w:i w:val="false"/>
          <w:caps w:val="false"/>
          <w:smallCaps w:val="false"/>
          <w:color w:val="000000"/>
          <w:spacing w:val="-4"/>
          <w:sz w:val="20"/>
        </w:rPr>
        <w:t>China SC</w:t>
      </w:r>
      <w:r>
        <w:rPr>
          <w:rFonts w:ascii="Times New Roman;Times;serif" w:hAnsi="Times New Roman;Times;serif"/>
          <w:b w:val="false"/>
          <w:i w:val="false"/>
          <w:caps w:val="false"/>
          <w:smallCaps w:val="false"/>
          <w:color w:val="000000"/>
          <w:spacing w:val="4"/>
          <w:sz w:val="20"/>
        </w:rPr>
        <w:t xml:space="preserve">”) over allegations of trademark infringement and unauthorized copying of proprietary technology. The lawsuit involves, in particular, a claim for injunctive relief against China SC for use of the SCHMID Group’s intellectual property and for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2025, Validus Broker Dealer Investment Management Company LLC (“</w:t>
      </w:r>
      <w:r>
        <w:rPr>
          <w:rFonts w:ascii="Times New Roman;Times;serif" w:hAnsi="Times New Roman;Times;serif"/>
          <w:b/>
          <w:i w:val="false"/>
          <w:caps w:val="false"/>
          <w:smallCaps w:val="false"/>
          <w:color w:val="000000"/>
          <w:spacing w:val="-4"/>
          <w:sz w:val="20"/>
        </w:rPr>
        <w:t>Validus Broker Dealer</w:t>
      </w:r>
      <w:r>
        <w:rPr>
          <w:rFonts w:ascii="Times New Roman;Times;serif" w:hAnsi="Times New Roman;Times;serif"/>
          <w:b w:val="false"/>
          <w:i w:val="false"/>
          <w:caps w:val="false"/>
          <w:smallCaps w:val="false"/>
          <w:color w:val="000000"/>
          <w:spacing w:val="4"/>
          <w:sz w:val="20"/>
        </w:rPr>
        <w:t xml:space="preserve">”)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diagram depicts our organizational structure as of the date of this annual report (including the material subsidiaries):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4676775" cy="4600575"/>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
                    <a:stretch>
                      <a:fillRect/>
                    </a:stretch>
                  </pic:blipFill>
                  <pic:spPr bwMode="auto">
                    <a:xfrm>
                      <a:off x="0" y="0"/>
                      <a:ext cx="4676775" cy="460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list of SCHMID’s subsidiaries see Exhibit 8.1 “</w:t>
      </w:r>
      <w:r>
        <w:rPr>
          <w:rFonts w:ascii="Times New Roman;Times;serif" w:hAnsi="Times New Roman;Times;serif"/>
          <w:b w:val="false"/>
          <w:i/>
          <w:caps w:val="false"/>
          <w:smallCaps w:val="false"/>
          <w:color w:val="000000"/>
          <w:spacing w:val="4"/>
          <w:sz w:val="20"/>
        </w:rPr>
        <w:t>List of Subsidiaries of SCHMID N.V.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New China Manufacturing Campus</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Construction is expected to commence following completion of the final land transfer and permitting process and the conclusion of a final, binding agreement. SCHMID currently expects to begin operations at the new facility approximately in the fourth quarter of 2027.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DO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performance and future success depend on several factors which have affected our previous performance in the periods for which financial information is presented in this registration statement. These factors include: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growth in our key PCB market and Advanced Packaging 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customer base and new applications. Due to positive feedback from our customers, we expect to receive orders for our ET technology as well as for our TGV Etching system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in Orders from our Core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Trends affecting the Demand for our Customers’ End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Macroeconomic and Geopolitical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has prepared IFRS financial statements and segment reporting. See note 6 of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Components of 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certain components of our consolidated statements of profit and loss and certain factors that impact those items: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includes personnel expenses, material expenses, depreciation and amortization, and certain other expenses such as costs for outward freight, production-related short-term leases, and facility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Administration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principally consists of foreign currency gains and other miscellaneous income such as government grants.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foreign currency losses, other taxes, disposal of assets, and miscellaneous other items. Miscellaneous other items mainly include banking fees and other service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Six Months Ended June 30, 2026 and 2025</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results of operations for the six months ended June 30, 2026 and 2025.</w:t>
      </w:r>
      <w:r>
        <w:rPr>
          <w:rFonts w:ascii="Times New Roman;Times;serif" w:hAnsi="Times New Roman;Times;serif"/>
          <w:b w:val="false"/>
          <w:i w:val="false"/>
          <w:caps w:val="false"/>
          <w:smallCaps w:val="false"/>
          <w:color w:val="000000"/>
          <w:sz w:val="20"/>
        </w:rPr>
        <w:t xml:space="preserve"> </w:t>
      </w:r>
    </w:p>
    <w:tbl>
      <w:tblPr>
        <w:tblW w:w="5883" w:type="dxa"/>
        <w:jc w:val="left"/>
        <w:tblInd w:w="1393" w:type="dxa"/>
        <w:tblLayout w:type="fixed"/>
        <w:tblCellMar>
          <w:top w:w="0" w:type="dxa"/>
          <w:left w:w="0" w:type="dxa"/>
          <w:bottom w:w="28" w:type="dxa"/>
          <w:right w:w="0" w:type="dxa"/>
        </w:tblCellMar>
      </w:tblPr>
      <w:tblGrid>
        <w:gridCol w:w="2807"/>
        <w:gridCol w:w="109"/>
        <w:gridCol w:w="109"/>
        <w:gridCol w:w="109"/>
        <w:gridCol w:w="109"/>
        <w:gridCol w:w="916"/>
        <w:gridCol w:w="109"/>
        <w:gridCol w:w="109"/>
        <w:gridCol w:w="109"/>
        <w:gridCol w:w="109"/>
        <w:gridCol w:w="109"/>
        <w:gridCol w:w="916"/>
        <w:gridCol w:w="109"/>
        <w:gridCol w:w="154"/>
      </w:tblGrid>
      <w:tr>
        <w:trPr/>
        <w:tc>
          <w:tcPr>
            <w:tcW w:w="2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000000"/>
            </w:tcBorders>
            <w:tcMar>
              <w:bottom w:w="50" w:type="dxa"/>
            </w:tcMar>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bottom w:val="single" w:sz="2" w:space="0" w:color="FFFFFF"/>
            </w:tcBorders>
            <w:tcMar>
              <w:bottom w:w="50" w:type="dxa"/>
            </w:tcMar>
            <w:vAlign w:val="center"/>
          </w:tcPr>
          <w:p>
            <w:pPr>
              <w:pStyle w:val="TableContents"/>
              <w:bidi w:val="0"/>
              <w:spacing w:before="0" w:after="0"/>
              <w:jc w:val="left"/>
              <w:rPr/>
            </w:pPr>
            <w:r>
              <w:rPr>
                <w:spacing w:val="4"/>
              </w:rPr>
              <w:t>Cost of sales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283"/>
              <w:jc w:val="left"/>
              <w:rPr/>
            </w:pPr>
            <w:r>
              <w:rPr>
                <w:spacing w:val="4"/>
              </w:rPr>
              <w:t>Selling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pPr>
            <w:r>
              <w:rPr>
                <w:spacing w:val="4"/>
              </w:rPr>
              <w:t>General administration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pPr>
            <w:r>
              <w:rPr>
                <w:spacing w:val="4"/>
              </w:rPr>
              <w:t>Research and development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pPr>
            <w:r>
              <w:rPr>
                <w:spacing w:val="4"/>
              </w:rPr>
              <w:t>Other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pPr>
            <w:r>
              <w:rPr>
                <w:spacing w:val="4"/>
              </w:rPr>
              <w:t>Other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638" w:type="dxa"/>
        <w:jc w:val="left"/>
        <w:tblInd w:w="1393" w:type="dxa"/>
        <w:tblLayout w:type="fixed"/>
        <w:tblCellMar>
          <w:top w:w="0" w:type="dxa"/>
          <w:left w:w="0" w:type="dxa"/>
          <w:bottom w:w="28" w:type="dxa"/>
          <w:right w:w="0" w:type="dxa"/>
        </w:tblCellMar>
      </w:tblPr>
      <w:tblGrid>
        <w:gridCol w:w="3562"/>
        <w:gridCol w:w="109"/>
        <w:gridCol w:w="109"/>
        <w:gridCol w:w="109"/>
        <w:gridCol w:w="109"/>
        <w:gridCol w:w="916"/>
        <w:gridCol w:w="109"/>
        <w:gridCol w:w="109"/>
        <w:gridCol w:w="109"/>
        <w:gridCol w:w="109"/>
        <w:gridCol w:w="109"/>
        <w:gridCol w:w="916"/>
        <w:gridCol w:w="109"/>
        <w:gridCol w:w="154"/>
      </w:tblGrid>
      <w:tr>
        <w:trPr/>
        <w:tc>
          <w:tcPr>
            <w:tcW w:w="3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000000"/>
            </w:tcBorders>
            <w:tcMar>
              <w:bottom w:w="50" w:type="dxa"/>
            </w:tcMar>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Share of loss from equity investees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2"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(46,793)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(10,090)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38" w:type="dxa"/>
            <w:gridSpan w:val="14"/>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9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revenues increased from €16.9 million in the six months ended June 30, 2025 to €46.0 million in the six months ended June 30, 2026 (first quarter 2026: €18.2 million; second quarter 2026: €27.7 million). Revenues of the segment Technical Equipment &amp; Processes increased from €10.7 million to €39.4 million, spare parts and services revenues increased from €5.9 million to €6.4 million and licensing and other revenues amounted to €0.2 million. More than half of our revenues in the six months ended June 30, 2026 were generated in China, which continued to perform stronger than expected, while demand for machines manufactured in our German plant only recently accelerated. Revenues in the six months ended June 30, 2025 had been affected by limited and delayed order intake caused by global trade frictions and uncertainty about tariffs.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our order backlog for equipment amounted to €54.8 million (December 31, 2025: €50.9 million) and increased to €95.0 million as of August 21, 2026. Order backlog figures relate exclusively to orders for equipment and do not include orders associated with services or spare parts. Order backlog is expected to be realized within 12 months.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cost of sales increased from €18.5 million in the six months ended June 30, 2025 to €36.2 million in the six months ended June 30, 2026, reflecting the significantly higher revenue volume.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€(1.6) million in the six months ended June 30, 2025 to €9.8 million in the six months ended June 30, 2026. As a result, our gross profit margin increased from (9.7)% in the six months ended June 30, 2025 to 21.2%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€5.8 million in the six months ended June 30, 2025 to €5.4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 and administration expenses increased from €5.5 million in the six months ended June 30, 2025 to €8.5 million in the six months ended June 30, 2026, driven by the various reorganization programs, including share-based compensation of €1.4 million (with front-loaded expense recognition relative to the two</w:t>
        <w:noBreakHyphen/>
        <w:t>year service period of the awards), “Sprint” restructuring costs of €0.4 million and advisory expenses of €1.4 million related to the financings, the debt-to-equity swaps, two Form 20-F filings within three months and various registration statement filings.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Research and development expenses increased from €1.6 million in the six months ended June 30, 2025 to €2.4 million in the six months ended June 30, 2026. The increase in research and development expenses was primarily attributable to higher expenditure on projects that had not yet met the criteria for capitalization and were therefore expensed as incurred.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income decreased from €6.9 million in the six months ended June 30, 2025 to €1.3 million in the six months ended June 30, 2026. Other income in the six months ended June 30, 2025 had benefited from foreign exchange gains of €6.3 million.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expenses increased from €0.3 million in the six months ended June 30, 2025 to €2.7 million in the six months ended June 30, 2026, mainly reflecting a net foreign exchange loss of €1.7 million in the six months ended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incurred an operating loss of €7.8 million in the six months ended June 30, 2025 and an operating loss of €8.0 million in the six months ended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financial result changed from a net expense of €2.0 million for the six months ended June 30, 2025 to a net expense of €38.7 million for the six months ended June 30, 2026. The financial result for the six months ended June 30, 2026 was impacted mostly by non-cash effects related primarily to the accounting treatment of the XJ Harbour liability converted into shares on January 16, 2026 and, to a lesser extent, to the fair-value movements of the Company’s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Income tax expense was €1.0 million in the six months ended June 30, 2026, compared to €0.1 million in the six months ended June 30,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year ended December 31, 2025 and 2024. </w:t>
      </w:r>
    </w:p>
    <w:tbl>
      <w:tblPr>
        <w:tblW w:w="7401" w:type="dxa"/>
        <w:jc w:val="left"/>
        <w:tblInd w:w="1393" w:type="dxa"/>
        <w:tblLayout w:type="fixed"/>
        <w:tblCellMar>
          <w:top w:w="0" w:type="dxa"/>
          <w:left w:w="0" w:type="dxa"/>
          <w:bottom w:w="28" w:type="dxa"/>
          <w:right w:w="0" w:type="dxa"/>
        </w:tblCellMar>
      </w:tblPr>
      <w:tblGrid>
        <w:gridCol w:w="4325"/>
        <w:gridCol w:w="109"/>
        <w:gridCol w:w="109"/>
        <w:gridCol w:w="109"/>
        <w:gridCol w:w="109"/>
        <w:gridCol w:w="916"/>
        <w:gridCol w:w="109"/>
        <w:gridCol w:w="109"/>
        <w:gridCol w:w="109"/>
        <w:gridCol w:w="109"/>
        <w:gridCol w:w="109"/>
        <w:gridCol w:w="916"/>
        <w:gridCol w:w="109"/>
        <w:gridCol w:w="154"/>
      </w:tblGrid>
      <w:tr>
        <w:trPr/>
        <w:tc>
          <w:tcPr>
            <w:tcW w:w="43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(50,928)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(48,791)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16,017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(81,772)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(72,244)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(5,712)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Share of profit (loss) in joint ventures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(71,141)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(85,596)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(84,104)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uncertainty about tariffs. Orders started to come back strongly during Q2 of the year with revenues rebouncing in Q3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services revenue increased from €3.9 million in the year ended December 31, 2024 to €4.1 million in the year ended December 31,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 </w:t>
      </w:r>
    </w:p>
    <w:tbl>
      <w:tblPr>
        <w:tblW w:w="5221" w:type="dxa"/>
        <w:jc w:val="left"/>
        <w:tblInd w:w="1393" w:type="dxa"/>
        <w:tblLayout w:type="fixed"/>
        <w:tblCellMar>
          <w:top w:w="0" w:type="dxa"/>
          <w:left w:w="0" w:type="dxa"/>
          <w:bottom w:w="3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2025, our order backlog for machine sales amounted to €50.9 million, and the order backlog for spare parts and services amounted to €1.3 million.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€48.8 million in the year ended December 31, 2024 to €50.9 million in the year ended December 31, 2025. This was mainly attributable to an increase in material expenses.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€13.0 million in the year ended December 31, 2024 to €12.0 million in the year ended December 31, 2025. This was mainly attributable to a significant decrease in the amount of sales commissions paid 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decreased from €4.0 million during the year ended December 31, 2024 to €2.8 million in the year ended December 31, 2025. The personnel expenses were the most significant contributor to the decrease.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decreased to €0.6 million in 2025 from €2.6 million in 2024, primarily due to a decrease in foreign currency losses from €2.3 million in 2024 to €0.4 million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€0.04 million in 2025, compared to an income tax benefit of €1.5 million in 2024. The change reflects differences in the recognition of deferred income tax effects and the absence of comparable tax benefits recognized in the prior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Non-IFRS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Adjusted EBITDA reconciled to our net income (loss) for the period, the closest IFRS measure for each period presented. Adjusted EBITDA for the six months ended June 30, 2025 has been recalculated under the Company’s current definition (as previously published, without adjustment for foreign exchange effects, Adjusted EBITDA for the six months ended June 30, 2025 was €(5.3) million): </w:t>
      </w:r>
    </w:p>
    <w:tbl>
      <w:tblPr>
        <w:tblW w:w="8812" w:type="dxa"/>
        <w:jc w:val="left"/>
        <w:tblInd w:w="1393" w:type="dxa"/>
        <w:tblLayout w:type="fixed"/>
        <w:tblCellMar>
          <w:top w:w="0" w:type="dxa"/>
          <w:left w:w="0" w:type="dxa"/>
          <w:bottom w:w="28" w:type="dxa"/>
          <w:right w:w="0" w:type="dxa"/>
        </w:tblCellMar>
      </w:tblPr>
      <w:tblGrid>
        <w:gridCol w:w="2978"/>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58"/>
      </w:tblGrid>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0" w:type="dxa"/>
            <w:gridSpan w:val="10"/>
            <w:tcBorders/>
            <w:tcMar>
              <w:bottom w:w="0" w:type="dxa"/>
            </w:tcMar>
            <w:vAlign w:val="center"/>
          </w:tcPr>
          <w:p>
            <w:pPr>
              <w:pStyle w:val="TableContents"/>
              <w:bidi w:val="0"/>
              <w:spacing w:before="0" w:after="0"/>
              <w:jc w:val="center"/>
              <w:rPr>
                <w:spacing w:val="-3"/>
              </w:rPr>
            </w:pPr>
            <w:r>
              <w:rPr>
                <w:spacing w:val="-3"/>
              </w:rPr>
              <w:t xml:space="preserve">(in € thousands) </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b/>
              </w:rPr>
            </w:pPr>
            <w:r>
              <w:rPr>
                <w:b/>
                <w:spacing w:val="-4"/>
              </w:rPr>
              <w:t>Net income (loss) for the period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4" w:type="dxa"/>
            <w:tcBorders/>
            <w:shd w:fill="CCEEFF" w:val="clear"/>
            <w:tcMar>
              <w:bottom w:w="0" w:type="dxa"/>
            </w:tcMar>
            <w:vAlign w:val="center"/>
          </w:tcPr>
          <w:p>
            <w:pPr>
              <w:pStyle w:val="TableContents"/>
              <w:bidi w:val="0"/>
              <w:spacing w:before="0" w:after="0"/>
              <w:jc w:val="right"/>
              <w:rPr>
                <w:b/>
              </w:rPr>
            </w:pPr>
            <w:r>
              <w:rPr>
                <w:b/>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4" w:type="dxa"/>
            <w:tcBorders/>
            <w:shd w:fill="CCEEFF" w:val="clear"/>
            <w:tcMar>
              <w:bottom w:w="0" w:type="dxa"/>
            </w:tcMar>
            <w:vAlign w:val="center"/>
          </w:tcPr>
          <w:p>
            <w:pPr>
              <w:pStyle w:val="TableContents"/>
              <w:bidi w:val="0"/>
              <w:spacing w:before="0" w:after="0"/>
              <w:jc w:val="right"/>
              <w:rPr>
                <w:b/>
              </w:rPr>
            </w:pPr>
            <w:r>
              <w:rPr>
                <w:b/>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(1,492)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2,433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7,315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Share of profit (loss) in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w:t>
            </w:r>
            <w:r>
              <w:rPr>
                <w:spacing w:val="4"/>
              </w:rPr>
              <w:t>Sprint”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Share-based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Capital structure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Foreign exchange (gains)/losses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(6,326)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(5,874)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Shareholder loan waiver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Listing and related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bottom w:val="single" w:sz="2" w:space="0" w:color="FFFFFF"/>
            </w:tcBorders>
            <w:tcMar>
              <w:bottom w:w="50" w:type="dxa"/>
            </w:tcMar>
            <w:vAlign w:val="center"/>
          </w:tcPr>
          <w:p>
            <w:pPr>
              <w:pStyle w:val="TableContents"/>
              <w:bidi w:val="0"/>
              <w:spacing w:before="0" w:after="0"/>
              <w:jc w:val="left"/>
              <w:rPr/>
            </w:pPr>
            <w:r>
              <w:rPr>
                <w:spacing w:val="4"/>
              </w:rPr>
              <w:t>Income from SES transaction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(3,703)</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b/>
              </w:rPr>
            </w:pPr>
            <w:r>
              <w:rPr>
                <w:b/>
                <w:spacing w:val="-4"/>
              </w:rPr>
              <w:t>Total Adjusted EBITDA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(11,584)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Adjusted EBITDA definition for the six months periods ended June 30, 2026 and ended June 30, 2025 have been adjusted compared to the full year Adjusted EBITDA definitions for the years ended December 31, 2025 and ended December 31, 2024 to in particular exclude non-cash expenses related to our IPO, foreign exchange gains and losses and certain other adjustments. The Company intends to use this definition for Adjusted EBITDA going forward. </w:t>
      </w:r>
      <w:r>
        <mc:AlternateContent>
          <mc:Choice Requires="wps">
            <w:drawing>
              <wp:anchor behindDoc="0" distT="10033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of our financial statements included elsewhere in this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relates to share and option awards covering the 2026 and 2027 service periods. Capital structure restructuring costs primarily relate to the exceptional volume of financing and regulatory filing activity during the first half of 2026, including multiple Form F-1 registration statements and Form 20-F filings undertaken as part of the Company’s Nasdaq compliance process, together with associated legal, advisory, consulting and printing costs, and costs related to the debt-to-equity conversions; financing costs that are capitalized and amortized over the respective financing terms are excluded. Foreign exchange gains and losses primarily reflect the impact of currency movements and currency conversion transactions during the period and are excluded because they are primarily driven by exchange rate movements and the timing of currency conversions rather than by underlying operating performance. Shareholder loan waiver relates to the gain resulting from €5 million loan waiver by SCHMID’s shareholders. Listing and related expenses in 2024 relates to the share listing expenses of €71,631 thousand as well as other legal and advisory costs associated with the listing of €1,765 thousand. SES deconsolidation is attributable to the partial disposal and deconsolidation of SCHMID Energy Systems GmbH (SES).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result for the six months ended June 30, 2026 includes non-cash effects related primarily to the accounting treatment of the XJ Harbour liability converted into shares on January 16, 2026 and, to a lesser extent, to the fair-value movements of the Company’s warrants. This registration statement includes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 and Operational and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principally finance our operations through cash generated from the sale of machines, spare parts and services. We also have relied on debt and related-party financing. As of December 31, 2025, and 2024, cash and cash equivalents were €1.6 million and €3.8 million, respectively. As of June 30, 2026, cash and cash equivalents were €2.3 million. Following the closing of the $20.0 million 2029 Convertible Notes on July 14, 2026, cash and cash equivalents were approximately €14.3 million as of July 31, 2026; in addition, approximately $21 million remained available at the Company’s discretion under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Under its “Sprint” cost saving program, management identified more than 40 full-time equivalents across German overhead functions for reduction during the first half of 2026, with most departures taking place in the third quarter of 2026, and expects €4 million in annual savings to take full effect during the second half of 2026; the Company has since entered the next phase, “Sprint II”, a purchasing cost reduction program targeting savings of approximately 5% of material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December 31, 2025, current financial liabilities totaled €87.1 million and non-current financial liabilities totaled €71.5 million. Trade and related party payables totaled €38.1 million, and current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June 30, 2026, current financial liabilities totaled €28.2 million and non-current financial liabilities totaled €54.5 million (December 31, 2025: €87.1 million and €71.5 million, respectively). Trade payables and other financial liabilities totaled €37.8 million (December 31, 2025: €38.1 million), and current contract liabilities were €11.9 million (December 31, 2025: €13.6 million). Total equity was €(30.8) million as of June 30, 2026 compared to €(132.2) million as of December 31, 2025, reflecting the conversion of the XJ Harbour liability into shares on January 16, 2026, the set-off of €30.75 million of shareholder and related-party liabilities against the issuance of Ordinary Shares on May 23, 2026, the conversion of $18 million of 2028 Convertible Notes and the issuance of shares under the SEPA, partially offset by the net loss for the period. Financial debt was reduced by close to €30 million between December 31, 2025 and June 30, 2026.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on September 17, 2026 a further $2 million of 2028 Convertible Notes was converted, leaving $9 million outstanding, and on July 14, 2026 the $20 million 2029 Convertible Notes were funded. The 2029 Convertible Notes can only be converted once all of the 2028 Convertible Notes have been converted.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increased by €26.1 million in the six months ended June 30, 2026, from an unusually low negative working capital as of December 31, 2025 to a more normalized level of approximately €14 million as of June 30, 2026; the Company expects working capital to be at the same level or lower by year-end 2026. Based on the current business plan, the existing order backlog and contractually agreed milestone payments, the Company expects its available liquidity, together with cash flows from operations, to be sufficient to fund its operations and to meet its obligations as they fall due for at least the next twelve months. The Company does not currently anticipate further drawdowns under the SEPA in 2026 and does not plan to incur additional indebtedness at the level of SCHMID Group N.V. or Gebr. Schmid GmbH. The new Chinese manufacturing campus is expected to require approximately €11 million of expenditure, to be financed primarily through local project financing. This financing and potential local bank loans or working capital financing from Chinese banks without any security from SCHMID Group N.V. or Gebr. Schmid GmbH are permitted under the Company’s existing financing arrangements up to a maximum of €20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cash flows for each period presented (in € thousands): </w:t>
      </w:r>
    </w:p>
    <w:tbl>
      <w:tblPr>
        <w:tblW w:w="8812" w:type="dxa"/>
        <w:jc w:val="left"/>
        <w:tblInd w:w="1393" w:type="dxa"/>
        <w:tblLayout w:type="fixed"/>
        <w:tblCellMar>
          <w:top w:w="0" w:type="dxa"/>
          <w:left w:w="0" w:type="dxa"/>
          <w:bottom w:w="28" w:type="dxa"/>
          <w:right w:w="0" w:type="dxa"/>
        </w:tblCellMar>
      </w:tblPr>
      <w:tblGrid>
        <w:gridCol w:w="3205"/>
        <w:gridCol w:w="109"/>
        <w:gridCol w:w="109"/>
        <w:gridCol w:w="110"/>
        <w:gridCol w:w="110"/>
        <w:gridCol w:w="897"/>
        <w:gridCol w:w="110"/>
        <w:gridCol w:w="110"/>
        <w:gridCol w:w="110"/>
        <w:gridCol w:w="110"/>
        <w:gridCol w:w="110"/>
        <w:gridCol w:w="775"/>
        <w:gridCol w:w="110"/>
        <w:gridCol w:w="109"/>
        <w:gridCol w:w="109"/>
        <w:gridCol w:w="111"/>
        <w:gridCol w:w="111"/>
        <w:gridCol w:w="780"/>
        <w:gridCol w:w="111"/>
        <w:gridCol w:w="111"/>
        <w:gridCol w:w="111"/>
        <w:gridCol w:w="111"/>
        <w:gridCol w:w="111"/>
        <w:gridCol w:w="780"/>
        <w:gridCol w:w="111"/>
        <w:gridCol w:w="171"/>
      </w:tblGrid>
      <w:tr>
        <w:trPr/>
        <w:tc>
          <w:tcPr>
            <w:tcW w:w="32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2" w:type="dxa"/>
            <w:gridSpan w:val="10"/>
            <w:tcBorders>
              <w:bottom w:val="single" w:sz="2" w:space="0" w:color="000000"/>
            </w:tcBorders>
            <w:tcMar>
              <w:bottom w:w="30" w:type="dxa"/>
            </w:tcMar>
            <w:vAlign w:val="center"/>
          </w:tcPr>
          <w:p>
            <w:pPr>
              <w:pStyle w:val="TableContents"/>
              <w:bidi w:val="0"/>
              <w:spacing w:before="0" w:after="0"/>
              <w:jc w:val="center"/>
              <w:rPr/>
            </w:pPr>
            <w:r>
              <w:rPr>
                <w:spacing w:val="-3"/>
              </w:rPr>
              <w:t>Six Months 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8"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Year ended December 31, </w:t>
            </w:r>
          </w:p>
        </w:tc>
        <w:tc>
          <w:tcPr>
            <w:tcW w:w="171" w:type="dxa"/>
            <w:tcBorders>
              <w:bottom w:val="single" w:sz="2" w:space="0" w:color="FFFFFF"/>
            </w:tcBorders>
            <w:vAlign w:val="center"/>
          </w:tcPr>
          <w:p>
            <w:pPr>
              <w:pStyle w:val="TableContents"/>
              <w:bidi w:val="0"/>
              <w:spacing w:before="0" w:after="283"/>
              <w:jc w:val="left"/>
              <w:rPr/>
            </w:pPr>
            <w:r>
              <w:rPr/>
              <w:t>​</w:t>
            </w:r>
          </w:p>
        </w:tc>
      </w:tr>
      <w:tr>
        <w:trPr/>
        <w:tc>
          <w:tcPr>
            <w:tcW w:w="32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7" w:type="dxa"/>
            <w:gridSpan w:val="4"/>
            <w:tcBorders>
              <w:bottom w:val="single" w:sz="2" w:space="0" w:color="000000"/>
            </w:tcBorders>
            <w:tcMar>
              <w:bottom w:w="30" w:type="dxa"/>
            </w:tcMar>
            <w:vAlign w:val="center"/>
          </w:tcPr>
          <w:p>
            <w:pPr>
              <w:pStyle w:val="TableContents"/>
              <w:bidi w:val="0"/>
              <w:spacing w:before="0" w:after="0"/>
              <w:jc w:val="center"/>
              <w:rPr/>
            </w:pPr>
            <w:r>
              <w:rPr>
                <w:spacing w:val="-3"/>
              </w:rPr>
              <w:t>2026</w:t>
            </w:r>
            <w:r>
              <w:rPr/>
              <w:t xml:space="preserv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5" w:type="dxa"/>
            <w:gridSpan w:val="4"/>
            <w:tcBorders>
              <w:bottom w:val="single" w:sz="2" w:space="0" w:color="000000"/>
            </w:tcBorders>
            <w:tcMar>
              <w:bottom w:w="30" w:type="dxa"/>
            </w:tcMar>
            <w:vAlign w:val="center"/>
          </w:tcPr>
          <w:p>
            <w:pPr>
              <w:pStyle w:val="TableContents"/>
              <w:bidi w:val="0"/>
              <w:spacing w:before="0" w:after="0"/>
              <w:jc w:val="center"/>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2025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2024 </w:t>
            </w:r>
          </w:p>
        </w:tc>
        <w:tc>
          <w:tcPr>
            <w:tcW w:w="171" w:type="dxa"/>
            <w:tcBorders>
              <w:bottom w:val="single" w:sz="2" w:space="0" w:color="FFFFFF"/>
            </w:tcBorders>
            <w:vAlign w:val="center"/>
          </w:tcPr>
          <w:p>
            <w:pPr>
              <w:pStyle w:val="TableContents"/>
              <w:bidi w:val="0"/>
              <w:spacing w:before="0" w:after="283"/>
              <w:jc w:val="left"/>
              <w:rPr/>
            </w:pPr>
            <w:r>
              <w:rPr/>
              <w:t>​</w:t>
            </w:r>
          </w:p>
        </w:tc>
      </w:tr>
      <w:tr>
        <w:trPr/>
        <w:tc>
          <w:tcPr>
            <w:tcW w:w="3205" w:type="dxa"/>
            <w:tcBorders/>
            <w:shd w:fill="CCEEFF" w:val="clear"/>
            <w:tcMar>
              <w:bottom w:w="0" w:type="dxa"/>
            </w:tcMar>
            <w:vAlign w:val="center"/>
          </w:tcPr>
          <w:p>
            <w:pPr>
              <w:pStyle w:val="TableContents"/>
              <w:bidi w:val="0"/>
              <w:spacing w:before="0" w:after="283"/>
              <w:jc w:val="left"/>
              <w:rPr/>
            </w:pPr>
            <w:r>
              <w:rPr>
                <w:spacing w:val="-4"/>
              </w:rPr>
              <w:t>Cash flow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95"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3205"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(29,328)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5" w:type="dxa"/>
            <w:tcBorders/>
            <w:tcMar>
              <w:bottom w:w="0" w:type="dxa"/>
            </w:tcMar>
            <w:vAlign w:val="center"/>
          </w:tcPr>
          <w:p>
            <w:pPr>
              <w:pStyle w:val="TableContents"/>
              <w:bidi w:val="0"/>
              <w:spacing w:before="0" w:after="283"/>
              <w:jc w:val="right"/>
              <w:rPr/>
            </w:pPr>
            <w:r>
              <w:rPr/>
              <w:t>1,056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(2,578)</w:t>
            </w:r>
          </w:p>
        </w:tc>
        <w:tc>
          <w:tcPr>
            <w:tcW w:w="11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r>
      <w:tr>
        <w:trPr/>
        <w:tc>
          <w:tcPr>
            <w:tcW w:w="32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(2,520)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5" w:type="dxa"/>
            <w:tcBorders/>
            <w:shd w:fill="CCEEFF" w:val="clear"/>
            <w:tcMar>
              <w:bottom w:w="0" w:type="dxa"/>
            </w:tcMar>
            <w:vAlign w:val="center"/>
          </w:tcPr>
          <w:p>
            <w:pPr>
              <w:pStyle w:val="TableContents"/>
              <w:bidi w:val="0"/>
              <w:spacing w:before="0" w:after="283"/>
              <w:jc w:val="right"/>
              <w:rPr/>
            </w:pPr>
            <w:r>
              <w:rPr/>
              <w:t>(2,530)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(6,227)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(4,054)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r>
      <w:tr>
        <w:trPr/>
        <w:tc>
          <w:tcPr>
            <w:tcW w:w="3205" w:type="dxa"/>
            <w:tcBorders>
              <w:bottom w:val="single" w:sz="2" w:space="0" w:color="FFFFFF"/>
            </w:tcBorders>
            <w:tcMar>
              <w:bottom w:w="30" w:type="dxa"/>
            </w:tcMar>
            <w:vAlign w:val="center"/>
          </w:tcPr>
          <w:p>
            <w:pPr>
              <w:pStyle w:val="TableContents"/>
              <w:bidi w:val="0"/>
              <w:spacing w:before="0" w:after="0"/>
              <w:ind w:left="200" w:right="0" w:hanging="0"/>
              <w:jc w:val="left"/>
              <w:rPr>
                <w:spacing w:val="4"/>
              </w:rPr>
            </w:pPr>
            <w:r>
              <w:rPr>
                <w:spacing w:val="4"/>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000000"/>
            </w:tcBorders>
            <w:tcMar>
              <w:bottom w:w="30" w:type="dxa"/>
            </w:tcMar>
            <w:vAlign w:val="center"/>
          </w:tcPr>
          <w:p>
            <w:pPr>
              <w:pStyle w:val="TableContents"/>
              <w:bidi w:val="0"/>
              <w:spacing w:before="0" w:after="283"/>
              <w:jc w:val="right"/>
              <w:rPr/>
            </w:pPr>
            <w:r>
              <w:rPr/>
              <w:t>​</w:t>
            </w:r>
          </w:p>
        </w:tc>
        <w:tc>
          <w:tcPr>
            <w:tcW w:w="897" w:type="dxa"/>
            <w:tcBorders>
              <w:bottom w:val="single" w:sz="2" w:space="0" w:color="000000"/>
            </w:tcBorders>
            <w:tcMar>
              <w:bottom w:w="30" w:type="dxa"/>
            </w:tcMar>
            <w:vAlign w:val="center"/>
          </w:tcPr>
          <w:p>
            <w:pPr>
              <w:pStyle w:val="TableContents"/>
              <w:bidi w:val="0"/>
              <w:spacing w:before="0" w:after="283"/>
              <w:jc w:val="right"/>
              <w:rPr/>
            </w:pPr>
            <w:r>
              <w:rPr/>
              <w:t>32,566</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000000"/>
            </w:tcBorders>
            <w:tcMar>
              <w:bottom w:w="30" w:type="dxa"/>
            </w:tcMar>
            <w:vAlign w:val="center"/>
          </w:tcPr>
          <w:p>
            <w:pPr>
              <w:pStyle w:val="TableContents"/>
              <w:bidi w:val="0"/>
              <w:spacing w:before="0" w:after="283"/>
              <w:jc w:val="right"/>
              <w:rPr/>
            </w:pPr>
            <w:r>
              <w:rPr/>
              <w:t>​</w:t>
            </w:r>
          </w:p>
        </w:tc>
        <w:tc>
          <w:tcPr>
            <w:tcW w:w="775" w:type="dxa"/>
            <w:tcBorders>
              <w:bottom w:val="single" w:sz="2" w:space="0" w:color="000000"/>
            </w:tcBorders>
            <w:tcMar>
              <w:bottom w:w="30" w:type="dxa"/>
            </w:tcMar>
            <w:vAlign w:val="center"/>
          </w:tcPr>
          <w:p>
            <w:pPr>
              <w:pStyle w:val="TableContents"/>
              <w:bidi w:val="0"/>
              <w:spacing w:before="0" w:after="283"/>
              <w:jc w:val="right"/>
              <w:rPr/>
            </w:pPr>
            <w:r>
              <w:rPr/>
              <w:t>139</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30" w:type="dxa"/>
            </w:tcMar>
            <w:vAlign w:val="center"/>
          </w:tcPr>
          <w:p>
            <w:pPr>
              <w:pStyle w:val="TableContents"/>
              <w:bidi w:val="0"/>
              <w:spacing w:before="0" w:after="283"/>
              <w:jc w:val="right"/>
              <w:rPr/>
            </w:pPr>
            <w:r>
              <w:rPr/>
              <w:t>​</w:t>
            </w:r>
          </w:p>
        </w:tc>
        <w:tc>
          <w:tcPr>
            <w:tcW w:w="780" w:type="dxa"/>
            <w:tcBorders>
              <w:bottom w:val="single" w:sz="2" w:space="0" w:color="000000"/>
            </w:tcBorders>
            <w:tcMar>
              <w:bottom w:w="30" w:type="dxa"/>
            </w:tcMar>
            <w:vAlign w:val="center"/>
          </w:tcPr>
          <w:p>
            <w:pPr>
              <w:pStyle w:val="TableContents"/>
              <w:bidi w:val="0"/>
              <w:spacing w:before="0" w:after="283"/>
              <w:jc w:val="right"/>
              <w:rPr/>
            </w:pPr>
            <w:r>
              <w:rPr/>
              <w:t>2,923</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30" w:type="dxa"/>
            </w:tcMar>
            <w:vAlign w:val="center"/>
          </w:tcPr>
          <w:p>
            <w:pPr>
              <w:pStyle w:val="TableContents"/>
              <w:bidi w:val="0"/>
              <w:spacing w:before="0" w:after="283"/>
              <w:jc w:val="right"/>
              <w:rPr/>
            </w:pPr>
            <w:r>
              <w:rPr/>
              <w:t>​</w:t>
            </w:r>
          </w:p>
        </w:tc>
        <w:tc>
          <w:tcPr>
            <w:tcW w:w="780" w:type="dxa"/>
            <w:tcBorders>
              <w:bottom w:val="single" w:sz="2" w:space="0" w:color="000000"/>
            </w:tcBorders>
            <w:tcMar>
              <w:bottom w:w="30" w:type="dxa"/>
            </w:tcMar>
            <w:vAlign w:val="center"/>
          </w:tcPr>
          <w:p>
            <w:pPr>
              <w:pStyle w:val="TableContents"/>
              <w:bidi w:val="0"/>
              <w:spacing w:before="0" w:after="283"/>
              <w:jc w:val="right"/>
              <w:rPr/>
            </w:pPr>
            <w:r>
              <w:rPr/>
              <w:t>3,959</w:t>
            </w:r>
          </w:p>
        </w:tc>
        <w:tc>
          <w:tcPr>
            <w:tcW w:w="111"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r>
      <w:tr>
        <w:trPr/>
        <w:tc>
          <w:tcPr>
            <w:tcW w:w="3205" w:type="dxa"/>
            <w:tcBorders/>
            <w:shd w:fill="CCEEFF" w:val="clear"/>
            <w:tcMar>
              <w:bottom w:w="0" w:type="dxa"/>
            </w:tcMar>
            <w:vAlign w:val="center"/>
          </w:tcPr>
          <w:p>
            <w:pPr>
              <w:pStyle w:val="TableContents"/>
              <w:bidi w:val="0"/>
              <w:spacing w:before="0" w:after="0"/>
              <w:jc w:val="left"/>
              <w:rPr>
                <w:b/>
              </w:rPr>
            </w:pPr>
            <w:r>
              <w:rPr>
                <w:b/>
                <w:spacing w:val="-4"/>
              </w:rPr>
              <w:t>Net increase (decrease) in 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97" w:type="dxa"/>
            <w:tcBorders>
              <w:bottom w:val="double" w:sz="8" w:space="0" w:color="000000"/>
            </w:tcBorders>
            <w:shd w:fill="CCEEFF" w:val="clear"/>
            <w:tcMar>
              <w:bottom w:w="30" w:type="dxa"/>
            </w:tcMar>
            <w:vAlign w:val="center"/>
          </w:tcPr>
          <w:p>
            <w:pPr>
              <w:pStyle w:val="TableContents"/>
              <w:bidi w:val="0"/>
              <w:spacing w:before="0" w:after="283"/>
              <w:jc w:val="right"/>
              <w:rPr/>
            </w:pPr>
            <w:r>
              <w:rPr/>
              <w:t>718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775" w:type="dxa"/>
            <w:tcBorders>
              <w:bottom w:val="double" w:sz="8" w:space="0" w:color="000000"/>
            </w:tcBorders>
            <w:shd w:fill="CCEEFF" w:val="clear"/>
            <w:tcMar>
              <w:bottom w:w="30" w:type="dxa"/>
            </w:tcMar>
            <w:vAlign w:val="center"/>
          </w:tcPr>
          <w:p>
            <w:pPr>
              <w:pStyle w:val="TableContents"/>
              <w:bidi w:val="0"/>
              <w:spacing w:before="0" w:after="283"/>
              <w:jc w:val="right"/>
              <w:rPr/>
            </w:pPr>
            <w:r>
              <w:rPr/>
              <w:t>(1,335)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30" w:type="dxa"/>
            </w:tcMar>
            <w:vAlign w:val="center"/>
          </w:tcPr>
          <w:p>
            <w:pPr>
              <w:pStyle w:val="TableContents"/>
              <w:bidi w:val="0"/>
              <w:spacing w:before="0" w:after="0"/>
              <w:jc w:val="right"/>
              <w:rPr/>
            </w:pPr>
            <w:r>
              <w:rPr/>
              <w:t>​</w:t>
            </w:r>
          </w:p>
        </w:tc>
        <w:tc>
          <w:tcPr>
            <w:tcW w:w="780" w:type="dxa"/>
            <w:tcBorders>
              <w:bottom w:val="double" w:sz="8" w:space="0" w:color="000000"/>
            </w:tcBorders>
            <w:shd w:fill="CCEEFF" w:val="clear"/>
            <w:tcMar>
              <w:bottom w:w="30" w:type="dxa"/>
            </w:tcMar>
            <w:vAlign w:val="center"/>
          </w:tcPr>
          <w:p>
            <w:pPr>
              <w:pStyle w:val="TableContents"/>
              <w:bidi w:val="0"/>
              <w:spacing w:before="0" w:after="0"/>
              <w:jc w:val="right"/>
              <w:rPr>
                <w:b/>
              </w:rPr>
            </w:pPr>
            <w:r>
              <w:rPr>
                <w:b/>
              </w:rPr>
              <w:t>(2,055)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30" w:type="dxa"/>
            </w:tcMar>
            <w:vAlign w:val="center"/>
          </w:tcPr>
          <w:p>
            <w:pPr>
              <w:pStyle w:val="TableContents"/>
              <w:bidi w:val="0"/>
              <w:spacing w:before="0" w:after="0"/>
              <w:jc w:val="right"/>
              <w:rPr/>
            </w:pPr>
            <w:r>
              <w:rPr/>
              <w:t>​</w:t>
            </w:r>
          </w:p>
        </w:tc>
        <w:tc>
          <w:tcPr>
            <w:tcW w:w="780" w:type="dxa"/>
            <w:tcBorders>
              <w:bottom w:val="double" w:sz="8" w:space="0" w:color="000000"/>
            </w:tcBorders>
            <w:shd w:fill="CCEEFF" w:val="clear"/>
            <w:tcMar>
              <w:bottom w:w="30" w:type="dxa"/>
            </w:tcMar>
            <w:vAlign w:val="center"/>
          </w:tcPr>
          <w:p>
            <w:pPr>
              <w:pStyle w:val="TableContents"/>
              <w:bidi w:val="0"/>
              <w:spacing w:before="0" w:after="0"/>
              <w:jc w:val="right"/>
              <w:rPr>
                <w:b/>
              </w:rPr>
            </w:pPr>
            <w:r>
              <w:rPr>
                <w:b/>
              </w:rPr>
              <w:t>(2,673)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net cash used in investing activities amounted to €6.2 million, compared to €4.1 million of net cash used in investing activities in the year ended December 31, 2024.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in net cash outflows was primarily attributable to higher purchases of intangible assets and property, plant and equipment, partially offset by limited proceeds from disposals of financial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cash and cash equivalents decreased by €2.1 million during 2025, compared to a decrease of €2.7 million during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Cash used in operating activities for the six months ended June 30, 2026 was €29.3 million, mainly driven by spending on working capital of €26.1 million (changes in trade and other receivables of €(16.7) million, inventories of €(5.3) million and trade and related party payables of €(3.5) million), reflecting the increase from an unusually low negative working capital as of December 31, 2025 to a more normalized level of approximately €14 million as of June 30, 2026. Cash used in investing activities for the six months ended June 30, 2026 was €2.5 million, of which €0.8 million related to investments in property, plant and equipment. Cash provided by financing activities for the six months ended June 30, 2026 was €32.6 million, of which €33.1 million was generated from the 2028 Convertible Notes and the SEPA financing, partially offset by repayments of borrowings, lease payments and interest paid. As a result, cash and cash equivalents increased by €0.7 million to €2.3 million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Cash flow from operating activities for the six months ended June 30, 2025 was €1.1 million, as operating losses were compensated by an increase in payables and working capital inflow. Cash used in investing activities for the six months ended June 30, 2025 was €2.5 million, of which €0.8 million related to investments in property, plant and equipment. Cash provided by financing activities for the six months ended June 30, 2025 was €0.1 million. As a result, cash and cash equivalents decreased by €1.3 million to €2.5 million as of June 30,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fund our operations primarily through operating activities and through debt and equity financing arrangements. During 2025 and 2026 and subsequent to year-end,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Schmid Group did not have any off-balance sheet arrangements as defined in Item 303(a)(4)(ii)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Outlook and Trend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AI-server boards, which require highly demanding HDI and ultra-high layer-count PCB architectures. On June 16, 2026, we announced a combined order intake of more than €26 million between mid-May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order book figures relate exclusively to orders for equipment and do not include orders associated with services or spare parts. Order intake was €13.6 million in the first quarter of 2026 and €30.7 million in the second quarter of 2026; orders received in the third quarter through August 21, 2026 amounted to €52.3 million, bringing order intake to €96.6 million year-to-date as of August 21, 2026. The order backlog stood at €54.8 million as of June 30, 2026 and at €95.0 million as of August 21, 2026. As anticipated, order intake in the first quarter of 2026 was seasonally weak, and the Company has seen a significant pick-up, in particular in China, since the second quarter of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25, 2026, based on the weaker than expected first-half financial results and on orders and current visibility on second-half performance, the Company confirmed its full-year 2026 revenue guidance of more than €100 million and lowered its full-year 2026 Adjusted EBITDA margin guidance to 6 to 9% (the previously communicated full-year 2026 Adjusted EBITDA margin guidance was that such margin would be more than 12%), (see “— Non-IFRS Financial Information”). Given order visibility, the Company expects a significant pick-up of revenues for its German plant in the second half of 2026, leading to roughly an equal split of revenues between its two plants in the second half of 2026 and a higher-margin product mix. While 2026 is expected to remain a transition year in terms of overall financial performance, management believes that the restructuring and operational groundwork of the first half of 2026, together with the order momentum, positions the Company for a good second half of 2026 and a promising 2027 financial performance in terms of growth and margins.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and SCHMID expects to reach an annual run-rate of cost savings of € 4 million. More than 40 full-time equivalents across German overhead functions were identified for reduction during the first half of 2026, with most departures taking place in the third quarter of 2026, and the savings are expected to take full effect during the second half of 2026; “Sprint” restructuring costs of €0.4 million were incurred in the six months ended June 30, 2026. Having executed “Sprint”, the Company has entered the next phase, “Sprint II”, a purchasing cost reduction program targeting savings of approximately 5% of material expenses; the majority of these savings are expected to be realized by year-end 2026 and the remaining savings are expected to be captured as design-to-cost improvements are implemented. Additionally SCHMID is implementing measures to reduce its listing-related expenses in 2026, with further reductions expected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sustained improvement in order momentum and enhanced business visibility, management increased its full-year 2026 order intake guidance on July 14, 2026 from approximately €114 million to a range of €125 to €150 million and, on August 25, 2026, maintained that guidance range while indicating that it now expects to be in the upper half of that range. Our forecast for our order intake is based on three reinforcing growth factors that position SCHMID in its growing global target market: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 </w:t>
      </w:r>
      <w:r>
        <mc:AlternateContent>
          <mc:Choice Requires="wps">
            <w:drawing>
              <wp:anchor behindDoc="0" distT="0" distB="0" distL="254000" distR="0" simplePos="0" locked="0" layoutInCell="1" allowOverlap="1" relativeHeight="153">
                <wp:simplePos x="0" y="0"/>
                <wp:positionH relativeFrom="column">
                  <wp:align>left</wp:align>
                </wp:positionH>
                <wp:positionV relativeFrom="line">
                  <wp:posOffset>635</wp:posOffset>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on critical accounting estimates, see the notes of the Company’s consolidated financial statements, which are included in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MA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Senior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about SCHMID’s management is based on the provisions of SCHMID’s Articles of Association, which is included as an exhibit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names and positions of those individuals are SCHMID’s directors and executive officers. </w:t>
      </w:r>
    </w:p>
    <w:tbl>
      <w:tblPr>
        <w:tblW w:w="7820" w:type="dxa"/>
        <w:jc w:val="left"/>
        <w:tblInd w:w="1393" w:type="dxa"/>
        <w:tblLayout w:type="fixed"/>
        <w:tblCellMar>
          <w:top w:w="0" w:type="dxa"/>
          <w:left w:w="0" w:type="dxa"/>
          <w:bottom w:w="50" w:type="dxa"/>
          <w:right w:w="0" w:type="dxa"/>
        </w:tblCellMar>
      </w:tblPr>
      <w:tblGrid>
        <w:gridCol w:w="2476"/>
        <w:gridCol w:w="109"/>
        <w:gridCol w:w="109"/>
        <w:gridCol w:w="4972"/>
        <w:gridCol w:w="154"/>
      </w:tblGrid>
      <w:tr>
        <w:trPr/>
        <w:tc>
          <w:tcPr>
            <w:tcW w:w="2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72"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SCHMID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Prof. Dr.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Chairman, 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spacing w:val="4"/>
              </w:rPr>
              <w:t>Non-executive Director (independent)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the Schmid Group consists of six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for each of the directors and executive officers of the Company is Robert-Bosch-Str. 32-36, 72250 Freudenstadt,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Christian Schmid</w:t>
      </w:r>
      <w:r>
        <w:rPr>
          <w:rFonts w:ascii="Times New Roman;Times;serif" w:hAnsi="Times New Roman;Times;serif"/>
          <w:b w:val="false"/>
          <w:i w:val="false"/>
          <w:caps w:val="false"/>
          <w:smallCaps w:val="false"/>
          <w:color w:val="000000"/>
          <w:spacing w:val="4"/>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Arthur Schuetz</w:t>
      </w:r>
      <w:r>
        <w:rPr>
          <w:rFonts w:ascii="Times New Roman;Times;serif" w:hAnsi="Times New Roman;Times;serif"/>
          <w:b w:val="false"/>
          <w:i w:val="false"/>
          <w:caps w:val="false"/>
          <w:smallCaps w:val="false"/>
          <w:color w:val="000000"/>
          <w:spacing w:val="4"/>
          <w:sz w:val="20"/>
        </w:rPr>
        <w:t xml:space="preserve"> serves as the Company’s Chief Financial Officer. He was appointed as of January 1, 2026. Mr. Schuetz obtained a Masters degree in economics from the University of Bonn and spent time at Hitotsubashi University Tokyo and University of Freiburg. He has over 20 years of experience in finance and banking. Mr. Schuetz started in investment banking at Flemings in London, and worked at JP Morgan for about ten years, followed by Morgan Stanley for about twelve years. At Morgan Stanley he transferred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for the biography of Christian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Anette Schmid</w:t>
      </w:r>
      <w:r>
        <w:rPr>
          <w:rFonts w:ascii="Times New Roman;Times;serif" w:hAnsi="Times New Roman;Times;serif"/>
          <w:b w:val="false"/>
          <w:i w:val="false"/>
          <w:caps w:val="false"/>
          <w:smallCaps w:val="false"/>
          <w:color w:val="000000"/>
          <w:spacing w:val="4"/>
          <w:sz w:val="20"/>
        </w:rPr>
        <w:t xml:space="preserve"> 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Prof. Dr. Sir Ralf Speth</w:t>
      </w:r>
      <w:r>
        <w:rPr>
          <w:rFonts w:ascii="Times New Roman;Times;serif" w:hAnsi="Times New Roman;Times;serif"/>
          <w:b w:val="false"/>
          <w:i w:val="false"/>
          <w:caps w:val="false"/>
          <w:smallCaps w:val="false"/>
          <w:color w:val="000000"/>
          <w:spacing w:val="4"/>
          <w:sz w:val="20"/>
        </w:rPr>
        <w:t xml:space="preserve"> 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Stefan Berger</w:t>
      </w:r>
      <w:r>
        <w:rPr>
          <w:rFonts w:ascii="Times New Roman;Times;serif" w:hAnsi="Times New Roman;Times;serif"/>
          <w:b w:val="false"/>
          <w:i w:val="false"/>
          <w:caps w:val="false"/>
          <w:smallCaps w:val="false"/>
          <w:color w:val="000000"/>
          <w:spacing w:val="4"/>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Boo-Keun Yoon</w:t>
      </w:r>
      <w:r>
        <w:rPr>
          <w:rFonts w:ascii="Times New Roman;Times;serif" w:hAnsi="Times New Roman;Times;serif"/>
          <w:b w:val="false"/>
          <w:i w:val="false"/>
          <w:caps w:val="false"/>
          <w:smallCaps w:val="false"/>
          <w:color w:val="000000"/>
          <w:spacing w:val="4"/>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Annedore Streyl</w:t>
      </w:r>
      <w:r>
        <w:rPr>
          <w:rFonts w:ascii="Times New Roman;Times;serif" w:hAnsi="Times New Roman;Times;serif"/>
          <w:b w:val="false"/>
          <w:i w:val="false"/>
          <w:caps w:val="false"/>
          <w:smallCaps w:val="false"/>
          <w:color w:val="000000"/>
          <w:spacing w:val="4"/>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information regarding the diversity of the Board as of the date of this prospectus: </w:t>
      </w:r>
    </w:p>
    <w:tbl>
      <w:tblPr>
        <w:tblW w:w="8812" w:type="dxa"/>
        <w:jc w:val="left"/>
        <w:tblInd w:w="1393" w:type="dxa"/>
        <w:tblLayout w:type="fixed"/>
        <w:tblCellMar>
          <w:top w:w="0" w:type="dxa"/>
          <w:left w:w="0" w:type="dxa"/>
          <w:bottom w:w="50" w:type="dxa"/>
          <w:right w:w="0" w:type="dxa"/>
        </w:tblCellMar>
      </w:tblPr>
      <w:tblGrid>
        <w:gridCol w:w="5638"/>
        <w:gridCol w:w="109"/>
        <w:gridCol w:w="109"/>
        <w:gridCol w:w="2801"/>
        <w:gridCol w:w="155"/>
      </w:tblGrid>
      <w:tr>
        <w:trPr/>
        <w:tc>
          <w:tcPr>
            <w:tcW w:w="5638" w:type="dxa"/>
            <w:tcBorders>
              <w:bottom w:val="single" w:sz="2" w:space="0" w:color="000000"/>
            </w:tcBorders>
            <w:vAlign w:val="center"/>
          </w:tcPr>
          <w:p>
            <w:pPr>
              <w:pStyle w:val="TableContents"/>
              <w:bidi w:val="0"/>
              <w:spacing w:before="0" w:after="0"/>
              <w:jc w:val="left"/>
              <w:rPr>
                <w:spacing w:val="-3"/>
              </w:rPr>
            </w:pPr>
            <w:r>
              <w:rPr>
                <w:spacing w:val="-3"/>
              </w:rPr>
              <w:t xml:space="preserve">Board Diversity Matrix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1"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Country of Principal Executive Offices: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Foreign Private Issuer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Yes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Disclosure Prohibited under Home Country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Total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6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Female: 2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Male: 4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Non-Binary: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Did not disclosure gender: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Underrepresented Individual in Home Country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1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Did Not Disclose Demographic Background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spacing w:val="4"/>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Leadership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made any determination on the diversity of our leadership team as of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are siblings.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Board Members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10D-1 promulgated under the Exchange Act and Nasdaq Listing Rule 5608, we adopted an Incentive Compensation Recoupment Policy which is filed herewith as Exhibit 99.2.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Arrangements with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fixed compensation as CEO of the Company was approved by resolution as of April 30, 2024 and includes: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626,373 and an annual fee of EUR 70,000; and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allowances of schooling costs, travelling expenses and a company car, if requested by Mr. Schmid. </w:t>
      </w:r>
      <w:r>
        <mc:AlternateContent>
          <mc:Choice Requires="wps">
            <w:drawing>
              <wp:anchor behindDoc="0" distT="0" distB="0" distL="25400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variable compensation for 2025 was set by the Compensation Committee and included the following short-term and long-term incentive plans: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 </w:t>
      </w:r>
      <w:r>
        <mc:AlternateContent>
          <mc:Choice Requires="wps">
            <w:drawing>
              <wp:anchor behindDoc="0" distT="8001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targets set for the short-term and long-term incentive plans were not reached in 2025 and as a result no payments were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Arthur Schuetz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Arthur Schuetz has been appointed as CFO in December 2025 and has served as CFO since January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Julia Natterer served as CFO of the Company until January 1, 2026.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195,612 until April 1, 2025 when it was increased to EUR 196,812, and an annual service fee of EUR 35,000;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allowances: a company car, if requested by Ms. Julia Natterer. </w:t>
      </w:r>
      <w:r>
        <mc:AlternateContent>
          <mc:Choice Requires="wps">
            <w:drawing>
              <wp:anchor behindDoc="0" distT="8001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Arthur Schuetz serves as CFO of the Company and Ms. Natterer is CFO of Gebr. Schmid GmbH.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Helmut Rauch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Service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Christian Schmid. The services agreement provides for, among other things, a service fee of €70,000.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Service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Julia Natterer. The services agreement provided for, among other things, a service fee of €35,000.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Non-Executive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Stefan Berger: EUR 90,000;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Ralf Speth: EUR 165,000;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EUR 115,000;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Boo-Keun Yoon: EUR 90,000, and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will receive a fixed annual fee of EUR 95,000; </w:t>
      </w:r>
      <w:r>
        <mc:AlternateContent>
          <mc:Choice Requires="wps">
            <w:drawing>
              <wp:anchor behindDoc="0" distT="76200" distB="0" distL="508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 </w:t>
      </w:r>
      <w:r>
        <mc:AlternateContent>
          <mc:Choice Requires="wps">
            <w:drawing>
              <wp:anchor behindDoc="0" distT="76200" distB="0" distL="508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short-term bonus of up to 50% of the annual base salary based on the Company’s consolidated EBIT margin and certain individual targets set out by the management: </w:t>
      </w:r>
      <w:r>
        <mc:AlternateContent>
          <mc:Choice Requires="wps">
            <w:drawing>
              <wp:anchor behindDoc="0" distT="0" distB="0" distL="508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10,000 for each percentage point of consolidated EBIT margin achieved by the Company (on a pro rata basis, i.e. if the Company’s consolidated EBIT margin is 1.5%, Ms Anette Schmid will receive EUR 15,000); and </w:t>
      </w:r>
      <w:r>
        <mc:AlternateContent>
          <mc:Choice Requires="wps">
            <w:drawing>
              <wp:anchor behindDoc="0" distT="77470" distB="0" distL="762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 </w:t>
      </w:r>
      <w:r>
        <mc:AlternateContent>
          <mc:Choice Requires="wps">
            <w:drawing>
              <wp:anchor behindDoc="0" distT="77470" distB="0" distL="762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 </w:t>
      </w:r>
      <w:r>
        <mc:AlternateContent>
          <mc:Choice Requires="wps">
            <w:drawing>
              <wp:anchor behindDoc="0" distT="77470" distB="0" distL="762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car, if requested by Ms Anette Schmid. </w:t>
      </w:r>
      <w:r>
        <mc:AlternateContent>
          <mc:Choice Requires="wps">
            <w:drawing>
              <wp:anchor behindDoc="0" distT="7620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Home Country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one executive director and five non-executive directors. The total number of directors, including the number of executive directors and non-executive directors, may be increased or decreased pursuant to a resolution of the Board. The Board is a one-tier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at all times overrule the binding nature of each nomination by at least a two-thirds (2/3) majority of the votes cast, provided such majority represents more than half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Term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Directors have been appointed for four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three standing committees, including Audit Committee, Compensation Committee and Nomination and Corporate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consists of Dr. Annedore Streyl, Boo-Keun Yoon and Stefan Berger. The audit committee will assist the Board in overseeing the Company’s accounting and financial reporting processes and the audits of its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governed by a charter that complies with applicable NASDAQ rules and that is posted on the Company’s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governed by a charter that complies with applicable NASDAQ rules and that is posted on the Company’s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committee is governed by a charter that is posted on our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As of June 30, 2026, we had approximately 800 employees. We have not experienced any work stoppages, and we consider our relationship with our employees to be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EO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as Pegasus Topco B.V. on February 7, 2023 as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the consummation of the Business Combination, we converted into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b w:val="false"/>
          <w:i/>
          <w:caps w:val="false"/>
          <w:smallCaps w:val="false"/>
          <w:color w:val="000000"/>
          <w:spacing w:val="4"/>
          <w:sz w:val="20"/>
        </w:rPr>
        <w:t>Kamer van Koophandel</w:t>
      </w:r>
      <w:r>
        <w:rPr>
          <w:rFonts w:ascii="Times New Roman;Times;serif" w:hAnsi="Times New Roman;Times;serif"/>
          <w:b w:val="false"/>
          <w:i w:val="false"/>
          <w:caps w:val="false"/>
          <w:smallCaps w:val="false"/>
          <w:color w:val="000000"/>
          <w:spacing w:val="4"/>
          <w:sz w:val="20"/>
        </w:rPr>
        <w:t xml:space="preserve">) in the Netherlands under number 89188276.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subject to, and have been created under, Dutch law. Set forth below is a summary of relevant information concerning the material provisions of the articles of association and applicable Dutch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is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Schmid has a one-tier board structure, which consists of six members, one executive director and five non- executive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issued share capital of the Company amounts to €666,379.54, divided into 66,637,954 ordinary shares with a nominal value of €0.01 each. The authorized share capital of the Company amounts to €1,686,250.00.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Issued and Outstanding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issued and outstanding share capital as of the date of this registration statement consisted 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66,637,954 Ordinary Shares (including 5,000,000 earn-out shares, which have been issued but have not vested and are subject to cancellation)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Convertible Loan, 2028 Convertible Notes, Warrants, 2025 Options, 2026 Warrants and 2029 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several outstanding instruments that may be converted, or exercised for cash or, with respect to certain instruments, on a cashless basis; including 2025 Convertible Loan, 2028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2025 Options, 2026 Warrants and 2029 Convertible Notes. The shares to be issued in relation to these instruments from time to time by us would amount to an aggregate of up to 64,414,896.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Loan Facility with Black Forest Special Situations 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of up to €7,500,000 was set to be drawn down early in 2026, but was not utilized due to the Company issuing 2028 Convertible Notes (see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Agreement with Black Forest Special Situations 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30 Million 7.00% Senior Convertible Notes due 2028 (the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the Company’s indirect 100% owned Chinese subsidiaries SCHMID Technology (Guangdong) Co., Ltd. (STG) and SCHMID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Trading (Zhongshan) Co. Ltd. to incur new indebtedness in an aggregate principal amount not to exceed EUR 20,000,000 (or its equivalent).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issued in connection with the 2028 Convertible Notes (the 2026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also issued 3,744,150 warrants to the investor to purchase shares of the Company. The warrants are exercisable until December 15, 2028, at an exercise price of $8.0125 for cash or, at the Company’s election, on a cashless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in relation to the 2024 Business Combination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Public Warrants and Private Warrants, see “</w:t>
      </w:r>
      <w:r>
        <w:rPr>
          <w:rFonts w:ascii="Times New Roman;Times;serif" w:hAnsi="Times New Roman;Times;serif"/>
          <w:b w:val="false"/>
          <w:i/>
          <w:caps w:val="false"/>
          <w:smallCaps w:val="false"/>
          <w:color w:val="000000"/>
          <w:spacing w:val="4"/>
          <w:sz w:val="20"/>
        </w:rPr>
        <w:t xml:space="preserve">Description of Securities — Public Warrants”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Description of Securities — Private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20 Million 5.000% Senior Convertible Notes due 2029 (the 2029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 and negative covenants, issuer call provisions, change of control protections, mandatory redemption events, and events of default customary for transactions of this type. </w:t>
      </w:r>
    </w:p>
    <w:p>
      <w:pPr>
        <w:pStyle w:val="TextBody"/>
        <w:bidi w:val="0"/>
        <w:spacing w:lineRule="atLeast" w:line="240" w:before="22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Authorization of Issuance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following the extraordinary shareholders meeting held on December 31, 2025 the Board is authorized to </w:t>
      </w:r>
    </w:p>
    <w:p>
      <w:pPr>
        <w:pStyle w:val="TextBody"/>
        <w:bidi w:val="0"/>
        <w:spacing w:lineRule="atLeast" w:line="240" w:before="12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color w:val="000000"/>
          <w:spacing w:val="-4"/>
          <w:sz w:val="20"/>
        </w:rPr>
        <w:t>Warrants Assumption Delegation”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color w:val="000000"/>
          <w:spacing w:val="-4"/>
          <w:sz w:val="20"/>
        </w:rPr>
        <w:t>Employee Delegation”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747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color w:val="000000"/>
          <w:spacing w:val="-4"/>
          <w:sz w:val="20"/>
        </w:rPr>
        <w:t>General Delegation”</w:t>
      </w:r>
      <w:r>
        <w:rPr>
          <w:rFonts w:ascii="Times New Roman;Times;serif" w:hAnsi="Times New Roman;Times;serif"/>
          <w:b w:val="false"/>
          <w:i w:val="false"/>
          <w:caps w:val="false"/>
          <w:smallCaps w:val="false"/>
          <w:color w:val="000000"/>
          <w:spacing w:val="4"/>
          <w:sz w:val="20"/>
        </w:rPr>
        <w:t xml:space="preserve">), with effect from Closing.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transfers of Shares (other than in book-entry form) require a written deed of transfer and, unless Schmid is a party to the deed of transfer, an acknowledgement by or proper service upon Schmid to be effective.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 </w:t>
      </w:r>
    </w:p>
    <w:p>
      <w:pPr>
        <w:pStyle w:val="TextBody"/>
        <w:bidi w:val="0"/>
        <w:spacing w:lineRule="atLeast" w:line="240" w:before="22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Shares are registered shares. </w:t>
      </w:r>
    </w:p>
    <w:p>
      <w:pPr>
        <w:pStyle w:val="TextBody"/>
        <w:bidi w:val="0"/>
        <w:spacing w:lineRule="atLeast" w:line="240" w:before="22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and Repurchase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Schmid may not subscribe for newly issued Shares. Schmid may acquire Shares, subject to applicable provisions and restrictions of Dutch law and the articles of association, to the extent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capital, reduced by the acquisition price of the Shares, is not less than the sum of the issued and paid-up capital and the reserves to be maintained pursuant to Dutch law or the articles of association; </w:t>
      </w:r>
      <w:r>
        <mc:AlternateContent>
          <mc:Choice Requires="wps">
            <w:drawing>
              <wp:anchor behindDoc="0" distT="7747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transaction contemplated, at least one Share remains outstanding and is not held by Schmid; and </w:t>
      </w:r>
      <w:r>
        <mc:AlternateContent>
          <mc:Choice Requires="wps">
            <w:drawing>
              <wp:anchor behindDoc="0" distT="7747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 </w:t>
      </w:r>
      <w:r>
        <mc:AlternateContent>
          <mc:Choice Requires="wps">
            <w:drawing>
              <wp:anchor behindDoc="0" distT="7747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Shares acquired gratuitously (</w:t>
      </w:r>
      <w:r>
        <w:rPr>
          <w:rFonts w:ascii="Times New Roman;Times;serif" w:hAnsi="Times New Roman;Times;serif"/>
          <w:b w:val="false"/>
          <w:i/>
          <w:caps w:val="false"/>
          <w:smallCaps w:val="false"/>
          <w:color w:val="000000"/>
          <w:spacing w:val="4"/>
          <w:sz w:val="20"/>
        </w:rPr>
        <w:t>om niet</w:t>
      </w:r>
      <w:r>
        <w:rPr>
          <w:rFonts w:ascii="Times New Roman;Times;serif" w:hAnsi="Times New Roman;Times;serif"/>
          <w:b w:val="false"/>
          <w:i w:val="false"/>
          <w:caps w:val="false"/>
          <w:smallCaps w:val="false"/>
          <w:color w:val="000000"/>
          <w:spacing w:val="4"/>
          <w:sz w:val="20"/>
        </w:rPr>
        <w:t>) or under universal title of succession (</w:t>
      </w:r>
      <w:r>
        <w:rPr>
          <w:rFonts w:ascii="Times New Roman;Times;serif" w:hAnsi="Times New Roman;Times;serif"/>
          <w:b w:val="false"/>
          <w:i/>
          <w:caps w:val="false"/>
          <w:smallCaps w:val="false"/>
          <w:color w:val="000000"/>
          <w:spacing w:val="4"/>
          <w:sz w:val="20"/>
        </w:rPr>
        <w:t>onder algemene titel</w:t>
      </w:r>
      <w:r>
        <w:rPr>
          <w:rFonts w:ascii="Times New Roman;Times;serif" w:hAnsi="Times New Roman;Times;serif"/>
          <w:b w:val="false"/>
          <w:i w:val="false"/>
          <w:caps w:val="false"/>
          <w:smallCaps w:val="false"/>
          <w:color w:val="000000"/>
          <w:spacing w:val="4"/>
          <w:sz w:val="20"/>
        </w:rPr>
        <w:t xml:space="preserve">)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Meetings and 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DCGC, the Board may invoke a statutory cooling-off period up to a maximum of 250 days (</w:t>
      </w:r>
      <w:r>
        <w:rPr>
          <w:rFonts w:ascii="Times New Roman;Times;serif" w:hAnsi="Times New Roman;Times;serif"/>
          <w:b w:val="false"/>
          <w:i/>
          <w:caps w:val="false"/>
          <w:smallCaps w:val="false"/>
          <w:color w:val="000000"/>
          <w:spacing w:val="4"/>
          <w:sz w:val="20"/>
        </w:rPr>
        <w:t>wettelijke bedenktijd</w:t>
      </w:r>
      <w:r>
        <w:rPr>
          <w:rFonts w:ascii="Times New Roman;Times;serif" w:hAnsi="Times New Roman;Times;serif"/>
          <w:b w:val="false"/>
          <w:i w:val="false"/>
          <w:caps w:val="false"/>
          <w:smallCaps w:val="false"/>
          <w:color w:val="000000"/>
          <w:spacing w:val="4"/>
          <w:sz w:val="20"/>
        </w:rPr>
        <w:t xml:space="preserve">) as set out in the Dutch Civil Code. For the Company, the statutory cooling-off period will apply in case: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requesting the Board to have the General Meeting consider a proposal for the appointment, suspension or dismissal of one or more directors, or a proposal for the amendment of one or more provisions in the articles of association relating thereto; or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offer for shares in the capital of the Company is announced or made without the bidder and the Company having been reached agreement about the offer; and </w:t>
      </w:r>
      <w:r>
        <mc:AlternateContent>
          <mc:Choice Requires="wps">
            <w:drawing>
              <wp:anchor behindDoc="0" distT="7747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if the Board also considers the relevant situation to be substantially contrary to the interests of the Company and its affiliated enterprises. </w:t>
      </w:r>
      <w:r>
        <mc:AlternateContent>
          <mc:Choice Requires="wps">
            <w:drawing>
              <wp:anchor behindDoc="0" distT="7747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invokes such cooling-off period, this causes the powers of the General Meeting to appoint, suspend or dismiss directors (and to amend the articles of association in this respect) being suspended.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cooling-off period has a maximum term of 250 days, calculated from: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latest date on which shareholders may request an item to be placed on the agenda of the next General Meeting (which is 60 days before the day of the meeting); </w:t>
      </w:r>
      <w:r>
        <mc:AlternateContent>
          <mc:Choice Requires="wps">
            <w:drawing>
              <wp:anchor behindDoc="0" distT="7747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day on which the public offer is made; or </w:t>
      </w:r>
      <w:r>
        <mc:AlternateContent>
          <mc:Choice Requires="wps">
            <w:drawing>
              <wp:anchor behindDoc="0" distT="7747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court in preliminary relief proceedings has granted authority to shareholders holding at least 10% of the issued share capital to convoke a General Meeting.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shareholders who solely or jointly hold 3% of the issued share capital may request the Enterprise Chamber of the Court of Appeal in Amsterdam (</w:t>
      </w:r>
      <w:r>
        <w:rPr>
          <w:rFonts w:ascii="Times New Roman;Times;serif" w:hAnsi="Times New Roman;Times;serif"/>
          <w:b w:val="false"/>
          <w:i/>
          <w:caps w:val="false"/>
          <w:smallCaps w:val="false"/>
          <w:color w:val="000000"/>
          <w:spacing w:val="4"/>
          <w:sz w:val="20"/>
        </w:rPr>
        <w:t>Ondernemingskamer van het Gerechtshof te Amsterdam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“Enterprise Chamber”) to terminate the cooling-off period. The Enterprise Chamber must rule in favor of the request if the shareholders can demonstrate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in light of the circumstances at hand when the cooling-off period was invoked, could not reasonably have concluded that the relevant proposal or hostile offer constituted a material conflict with the interests of our Company and its business; </w:t>
      </w:r>
      <w:r>
        <mc:AlternateContent>
          <mc:Choice Requires="wps">
            <w:drawing>
              <wp:anchor behindDoc="0" distT="7874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cannot reasonably believe that a continuation of the cooling-off period would contribute to careful policy-making; and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registered shares may further be provided notice of the meeting in writing at their addresses as stated in our shareholders’ register.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articles of association and Dutch law, the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the articles of association, and in each case without prejudice to the Voting Cap (as defined hereinafter) being applicable to any shareholder: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confers the right to cast 1 vote in a General Meeting.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chairman of the General Meeting) of a shareholder, which proxy holder does not need to be a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blank votes (votes where no choice has been made) and invalid votes shall not be counted as votes cast.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 </w:t>
      </w:r>
      <w:r>
        <mc:AlternateContent>
          <mc:Choice Requires="wps">
            <w:drawing>
              <wp:anchor behindDoc="0" distT="10033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 subsections j, n, s, aa, bb, dd, mm or nn; </w:t>
      </w:r>
      <w:r>
        <mc:AlternateContent>
          <mc:Choice Requires="wps">
            <w:drawing>
              <wp:anchor behindDoc="0" distT="7493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 paragraph 2 or paragraph 3, to the extent it concerns a change of the nominal value of the Shares; </w:t>
      </w:r>
      <w:r>
        <mc:AlternateContent>
          <mc:Choice Requires="wps">
            <w:drawing>
              <wp:anchor behindDoc="0" distT="7493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4A; </w:t>
      </w:r>
      <w:r>
        <mc:AlternateContent>
          <mc:Choice Requires="wps">
            <w:drawing>
              <wp:anchor behindDoc="0" distT="7620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7 paragraph 1 or paragraph 2; </w:t>
      </w:r>
      <w:r>
        <mc:AlternateContent>
          <mc:Choice Requires="wps">
            <w:drawing>
              <wp:anchor behindDoc="0" distT="7620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16 paragraph 10, paragraph 11 or paragraph 12; </w:t>
      </w:r>
      <w:r>
        <mc:AlternateContent>
          <mc:Choice Requires="wps">
            <w:drawing>
              <wp:anchor behindDoc="0" distT="7620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22 paragraph 5; </w:t>
      </w:r>
      <w:r>
        <mc:AlternateContent>
          <mc:Choice Requires="wps">
            <w:drawing>
              <wp:anchor behindDoc="0" distT="7620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26 paragraph 4; and </w:t>
      </w:r>
      <w:r>
        <mc:AlternateContent>
          <mc:Choice Requires="wps">
            <w:drawing>
              <wp:anchor behindDoc="0" distT="7620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 </w:t>
      </w:r>
      <w:r>
        <mc:AlternateContent>
          <mc:Choice Requires="wps">
            <w:drawing>
              <wp:anchor behindDoc="0" distT="10160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 — Merger, Demerger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Squeeze Out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addresses of all minority shareholders are known to the majority shareholder acquiring the shares, the majority shareholder is required to publish the same in a newspaper with a national circulation.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sale or transfer of all of our assets (see “</w:t>
      </w:r>
      <w:r>
        <w:rPr>
          <w:rFonts w:ascii="Times New Roman;Times;serif" w:hAnsi="Times New Roman;Times;serif"/>
          <w:b w:val="false"/>
          <w:i/>
          <w:caps w:val="false"/>
          <w:smallCaps w:val="false"/>
          <w:color w:val="000000"/>
          <w:spacing w:val="4"/>
          <w:sz w:val="20"/>
        </w:rPr>
        <w:t>Certain Other Major Transactions</w:t>
      </w:r>
      <w:r>
        <w:rPr>
          <w:rFonts w:ascii="Times New Roman;Times;serif" w:hAnsi="Times New Roman;Times;serif"/>
          <w:b w:val="false"/>
          <w:i w:val="false"/>
          <w:caps w:val="false"/>
          <w:smallCaps w:val="false"/>
          <w:color w:val="000000"/>
          <w:spacing w:val="4"/>
          <w:sz w:val="20"/>
        </w:rPr>
        <w:t>” below) and our dissolution or liquidation is subject to approval by a majority of the votes cast in our General Meeting (see “</w:t>
      </w:r>
      <w:r>
        <w:rPr>
          <w:rFonts w:ascii="Times New Roman;Times;serif" w:hAnsi="Times New Roman;Times;serif"/>
          <w:b w:val="false"/>
          <w:i/>
          <w:caps w:val="false"/>
          <w:smallCaps w:val="false"/>
          <w:color w:val="000000"/>
          <w:spacing w:val="4"/>
          <w:sz w:val="20"/>
        </w:rPr>
        <w:t>Amendment of Articles of Association — Merger, Demerger and Dissolution”</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Other Major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association and Dutch law provide that resolutions of the Board concerning a material change in our identity, character or business are subject to the approval of the General Meeting. Such changes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business/enterprise to a third party; </w:t>
      </w:r>
      <w:r>
        <mc:AlternateContent>
          <mc:Choice Requires="wps">
            <w:drawing>
              <wp:anchor behindDoc="0" distT="7239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 </w:t>
      </w:r>
      <w:r>
        <mc:AlternateContent>
          <mc:Choice Requires="wps">
            <w:drawing>
              <wp:anchor behindDoc="0" distT="7239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 </w:t>
      </w:r>
      <w:r>
        <mc:AlternateContent>
          <mc:Choice Requires="wps">
            <w:drawing>
              <wp:anchor behindDoc="0" distT="7239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We do not anticipate paying any dividends on Shares for the foreseeable future. See the section entitled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Controls and other Provisions relating to non-Dutch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subject to the 1977 Sanction Act (</w:t>
      </w:r>
      <w:r>
        <w:rPr>
          <w:rFonts w:ascii="Times New Roman;Times;serif" w:hAnsi="Times New Roman;Times;serif"/>
          <w:b w:val="false"/>
          <w:i/>
          <w:caps w:val="false"/>
          <w:smallCaps w:val="false"/>
          <w:color w:val="000000"/>
          <w:spacing w:val="4"/>
          <w:sz w:val="20"/>
        </w:rPr>
        <w:t>Sanctiewet 1977</w:t>
      </w:r>
      <w:r>
        <w:rPr>
          <w:rFonts w:ascii="Times New Roman;Times;serif" w:hAnsi="Times New Roman;Times;serif"/>
          <w:b w:val="false"/>
          <w:i w:val="false"/>
          <w:caps w:val="false"/>
          <w:smallCaps w:val="false"/>
          <w:color w:val="000000"/>
          <w:spacing w:val="4"/>
          <w:sz w:val="20"/>
        </w:rPr>
        <w:t xml:space="preserve">)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there were 11,250,000 Public Warrants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$18.00.</w:t>
      </w:r>
      <w:r>
        <w:rPr>
          <w:rFonts w:ascii="Times New Roman;Times;serif" w:hAnsi="Times New Roman;Times;serif"/>
          <w:b w:val="false"/>
          <w:i w:val="false"/>
          <w:caps w:val="false"/>
          <w:smallCaps w:val="false"/>
          <w:color w:val="000000"/>
          <w:spacing w:val="4"/>
          <w:sz w:val="20"/>
        </w:rPr>
        <w:t xml:space="preserve"> We may call the outstanding Public Warrants for redemption: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not less than 30 days’ prior written notice of redemption to each Public Warrant holder; and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Public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foregoing conditions are satisfied and we issue a notice of redemption of the Public Warrants, each Public Warrant holder will be entitled to exercise his, her or its Public Warrant prior to the scheduled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$10.00</w:t>
      </w:r>
      <w:r>
        <w:rPr>
          <w:rFonts w:ascii="Times New Roman;Times;serif" w:hAnsi="Times New Roman;Times;serif"/>
          <w:b w:val="false"/>
          <w:i w:val="false"/>
          <w:caps w:val="false"/>
          <w:smallCaps w:val="false"/>
          <w:color w:val="000000"/>
          <w:spacing w:val="4"/>
          <w:sz w:val="20"/>
        </w:rPr>
        <w:t xml:space="preserve">. We may redeem the outstanding Public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2"/>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0" distB="0" distL="254000" distR="0" simplePos="0" locked="0" layoutInCell="1" allowOverlap="1" relativeHeight="206">
                <wp:simplePos x="0" y="0"/>
                <wp:positionH relativeFrom="column">
                  <wp:align>left</wp:align>
                </wp:positionH>
                <wp:positionV relativeFrom="line">
                  <wp:posOffset>635</wp:posOffset>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Reference Value equals or exceeds $10.00 per share (subject to adjustment as described below); and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Reference Value is less than $18.00 per share (subject to adjustment as described below), the Private Warrants must also be concurrently called for redemption on the same terms as the outstanding Public Warrants, as described above.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22" w:type="dxa"/>
        <w:jc w:val="left"/>
        <w:tblInd w:w="1393" w:type="dxa"/>
        <w:tblLayout w:type="fixed"/>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Redemption Date </w:t>
            </w:r>
            <w:r>
              <w:rPr/>
              <w:br/>
            </w:r>
            <w:r>
              <w:rPr>
                <w:spacing w:val="-3"/>
              </w:rPr>
              <w:t xml:space="preserve">(period to expiration of Public Warrants)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01" w:type="dxa"/>
            <w:gridSpan w:val="52"/>
            <w:tcBorders>
              <w:bottom w:val="single" w:sz="2" w:space="0" w:color="000000"/>
            </w:tcBorders>
            <w:vAlign w:val="center"/>
          </w:tcPr>
          <w:p>
            <w:pPr>
              <w:pStyle w:val="TableContents"/>
              <w:bidi w:val="0"/>
              <w:spacing w:before="0" w:after="0"/>
              <w:jc w:val="center"/>
              <w:rPr>
                <w:spacing w:val="-3"/>
              </w:rPr>
            </w:pPr>
            <w:r>
              <w:rPr>
                <w:spacing w:val="-3"/>
              </w:rPr>
              <w:t xml:space="preserve">Fair Market Value of Class A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$18.00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45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15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of Public Warrant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Warrants are subject to the same terms and conditions outlined above under “— </w:t>
      </w:r>
      <w:r>
        <w:rPr>
          <w:rFonts w:ascii="Times New Roman;Times;serif" w:hAnsi="Times New Roman;Times;serif"/>
          <w:b w:val="false"/>
          <w:i/>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disclosure obligations under Dutch and U.S. law and the rules of Nasdaq. The following is a description of the general disclosure obligations of public companies under Dutch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law and the rules of Nasdaq as such laws and rules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Reporting Under Dutch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the “FRSA”) applies to our financial reporting. Under the FRSA, the Dutch Authority for the Financial Markets (</w:t>
      </w:r>
      <w:r>
        <w:rPr>
          <w:rFonts w:ascii="Times New Roman;Times;serif" w:hAnsi="Times New Roman;Times;serif"/>
          <w:b w:val="false"/>
          <w:i/>
          <w:caps w:val="false"/>
          <w:smallCaps w:val="false"/>
          <w:color w:val="000000"/>
          <w:spacing w:val="4"/>
          <w:sz w:val="20"/>
        </w:rPr>
        <w:t>Autoriteit Financiële Markten</w:t>
      </w:r>
      <w:r>
        <w:rPr>
          <w:rFonts w:ascii="Times New Roman;Times;serif" w:hAnsi="Times New Roman;Times;serif"/>
          <w:b w:val="false"/>
          <w:i w:val="false"/>
          <w:caps w:val="false"/>
          <w:smallCaps w:val="false"/>
          <w:color w:val="000000"/>
          <w:spacing w:val="4"/>
          <w:sz w:val="20"/>
        </w:rPr>
        <w:t xml:space="preserve">,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Periodic Reporting Under U.S. Securities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Insider Trading and Market Manipulation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Netherlands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2016, the Regulation (EU) No 596/2014 of the European Parliament and of the Council of April 16, 2014 (the “MAR”) replaced all of the Dutch market abuse rules. It could be that in future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 will be traded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in Germany (being a member state of the EU). The trading of these Ordinary Shares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can be implemented without our approval. These open markets in Germany are qualified as multilateral trading facilities (“MTFs”) or organized trading facilities (“OTFs”) within the scope of the MAR.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and Reporting Obligations of Directors, Officers and Shareholders of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DCGC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Civil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Civil Code provides for certain disclosure obligations in our annual accounts. Information on directors’ remuneration and rights to acquire Shares must be disclosed in our annual accounts.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Warrant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total number of ordinary shares then outstanding; or </w:t>
      </w:r>
      <w:r>
        <mc:AlternateContent>
          <mc:Choice Requires="wps">
            <w:drawing>
              <wp:anchor behindDoc="0" distT="6985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ordinary shares during the four calendar weeks preceding the filing of a notice on Form 144 with respect to the sale. </w:t>
      </w:r>
      <w:r>
        <mc:AlternateContent>
          <mc:Choice Requires="wps">
            <w:drawing>
              <wp:anchor behindDoc="0" distT="6985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us.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the Use of Rule 144 by Shell Companies or Former Shell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6985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6985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r>
        <mc:AlternateContent>
          <mc:Choice Requires="wps">
            <w:drawing>
              <wp:anchor behindDoc="0" distT="6985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 </w:t>
      </w:r>
      <w:r>
        <mc:AlternateContent>
          <mc:Choice Requires="wps">
            <w:drawing>
              <wp:anchor behindDoc="0" distT="6985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R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also Note 37 of our consolidated financial statements included elsewhere in this prospectus for a description of certain transactions with related parties required to be disclosed under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are holders of private warrants and are major shareholders of the Company, see “</w:t>
      </w:r>
      <w:r>
        <w:rPr>
          <w:rFonts w:ascii="Times New Roman;Times;serif" w:hAnsi="Times New Roman;Times;serif"/>
          <w:b w:val="false"/>
          <w:i/>
          <w:caps w:val="false"/>
          <w:smallCaps w:val="false"/>
          <w:color w:val="000000"/>
          <w:spacing w:val="4"/>
          <w:sz w:val="20"/>
        </w:rPr>
        <w:t>Principal Securityholders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directors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b w:val="false"/>
          <w:i/>
          <w:caps w:val="false"/>
          <w:smallCaps w:val="false"/>
          <w:color w:val="000000"/>
          <w:spacing w:val="4"/>
          <w:sz w:val="20"/>
        </w:rPr>
        <w:t>Description of Securities — Share Capital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same time as the signing of the two-tranche term loan facility, the Company received a cash injection of €200,000 from Christine Schmid, a related party to Anette Schmid and Christian Schmid on December 15, 2025. The agreed interest rate is 5% and the loan has a maturity of 15 months. The €200,000 were injected into the Company alongside the Company’s conclusion of the term loan facility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our remuneration agreements with members of the Board and senior management, see the section titled “</w:t>
      </w:r>
      <w:r>
        <w:rPr>
          <w:rFonts w:ascii="Times New Roman;Times;serif" w:hAnsi="Times New Roman;Times;serif"/>
          <w:b w:val="false"/>
          <w:i/>
          <w:caps w:val="false"/>
          <w:smallCaps w:val="false"/>
          <w:color w:val="000000"/>
          <w:spacing w:val="4"/>
          <w:sz w:val="20"/>
        </w:rPr>
        <w:t>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R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Major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regarding the beneficial ownership of Schmid Group Shares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ordinary shares;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person named below is c/o SCHMID Group., Robert-Bosch-Str. 32-36, 72250 Freudenstadt, Germany. </w:t>
      </w:r>
    </w:p>
    <w:tbl>
      <w:tblPr>
        <w:tblW w:w="8812" w:type="dxa"/>
        <w:jc w:val="left"/>
        <w:tblInd w:w="1393" w:type="dxa"/>
        <w:tblLayout w:type="fixed"/>
        <w:tblCellMar>
          <w:top w:w="0" w:type="dxa"/>
          <w:left w:w="0" w:type="dxa"/>
          <w:bottom w:w="28" w:type="dxa"/>
          <w:right w:w="0" w:type="dxa"/>
        </w:tblCellMar>
      </w:tblPr>
      <w:tblGrid>
        <w:gridCol w:w="3301"/>
        <w:gridCol w:w="109"/>
        <w:gridCol w:w="109"/>
        <w:gridCol w:w="109"/>
        <w:gridCol w:w="109"/>
        <w:gridCol w:w="1186"/>
        <w:gridCol w:w="109"/>
        <w:gridCol w:w="109"/>
        <w:gridCol w:w="109"/>
        <w:gridCol w:w="109"/>
        <w:gridCol w:w="109"/>
        <w:gridCol w:w="822"/>
        <w:gridCol w:w="109"/>
        <w:gridCol w:w="109"/>
        <w:gridCol w:w="109"/>
        <w:gridCol w:w="223"/>
        <w:gridCol w:w="223"/>
        <w:gridCol w:w="1368"/>
        <w:gridCol w:w="226"/>
        <w:gridCol w:w="155"/>
      </w:tblGrid>
      <w:tr>
        <w:trPr/>
        <w:tc>
          <w:tcPr>
            <w:tcW w:w="3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3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September 21,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Voting</w:t>
            </w:r>
            <w:r>
              <w:rPr/>
              <w:t xml:space="preserve"> </w:t>
              <w:br/>
            </w:r>
            <w:r>
              <w:rPr>
                <w:spacing w:val="-3"/>
              </w:rPr>
              <w:t>Power</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Share Ownership</w:t>
            </w:r>
            <w:r>
              <w:rPr/>
              <w:t xml:space="preserve"> </w:t>
              <w:br/>
            </w:r>
            <w:r>
              <w:rPr>
                <w:spacing w:val="-3"/>
              </w:rPr>
              <w:t>(Disposition Power)</w:t>
            </w:r>
            <w:r>
              <w:rPr>
                <w:spacing w:val="-2"/>
                <w:sz w:val="10"/>
              </w:rPr>
              <w:t>(5)</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283"/>
              <w:jc w:val="left"/>
              <w:rPr/>
            </w:pPr>
            <w:r>
              <w:rPr>
                <w:b/>
                <w:spacing w:val="-4"/>
              </w:rPr>
              <w:t>Executive Officers and Directors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26.15%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14,809,556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24.03%</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Prof. Sir Ralf Speth</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269,311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0.44%</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Dr. Stefan Berger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177,084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Arthur Schuetz</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0.05%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Boo-Keun Yoon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0.04%</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283"/>
              <w:jc w:val="left"/>
              <w:rPr/>
            </w:pPr>
            <w:r>
              <w:rPr>
                <w:spacing w:val="-4"/>
              </w:rPr>
              <w:t>5</w:t>
            </w:r>
            <w:r>
              <w:rPr>
                <w:i/>
                <w:spacing w:val="-4"/>
              </w:rPr>
              <w:t>% and Greater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Christian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16,117,337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26.15%</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jc w:val="left"/>
              <w:rPr/>
            </w:pPr>
            <w:r>
              <w:rPr>
                <w:spacing w:val="4"/>
              </w:rPr>
              <w:t>Anette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14,809,556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24.03%</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XJ Harbour HK Limited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10,162,575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16.49%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does not own any shares as of the date of this registration statement. </w:t>
      </w:r>
      <w:r>
        <mc:AlternateContent>
          <mc:Choice Requires="wps">
            <w:drawing>
              <wp:anchor behindDoc="0" distT="1003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On August 7, 2026, Christian Schmid transferred 330,000 of his own and private Ordinary </w:t>
      </w:r>
      <w:r>
        <mc:AlternateContent>
          <mc:Choice Requires="wps">
            <w:drawing>
              <wp:anchor behindDoc="0" distT="495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to his children, 110,000 Ordinary Shares each. Christian Schmid retains sole voting and dispositive power over the shares.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caps w:val="false"/>
          <w:smallCaps w:val="false"/>
          <w:color w:val="000000"/>
          <w:spacing w:val="4"/>
          <w:sz w:val="20"/>
        </w:rPr>
        <w:t>Erbengemeinschaft</w:t>
      </w:r>
      <w:r>
        <w:rPr>
          <w:rFonts w:ascii="Times New Roman;Times;serif" w:hAnsi="Times New Roman;Times;serif"/>
          <w:b w:val="false"/>
          <w:i w:val="false"/>
          <w:caps w:val="false"/>
          <w:smallCaps w:val="false"/>
          <w:color w:val="000000"/>
          <w:spacing w:val="4"/>
          <w:sz w:val="20"/>
        </w:rPr>
        <w:t xml:space="preserve">), which has now been dissolved. They have voted their shares jointly in the past and are expected to continue to do so. Combined they hold 30,926,893 Ordinary shares and 5,000,000 non-voting earn-out shares, amounting to 50.18%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 </w:t>
      </w:r>
      <w:r>
        <mc:AlternateContent>
          <mc:Choice Requires="wps">
            <w:drawing>
              <wp:anchor behindDoc="0" distT="5080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 calculation and share ownership (disposition power) calculation is based on the total number of shares outstanding on the date of this registration statement, which is 61,637,954 shares (i.e. 66,637,954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 </w:t>
      </w:r>
      <w:r>
        <mc:AlternateContent>
          <mc:Choice Requires="wps">
            <w:drawing>
              <wp:anchor behindDoc="0" distT="5080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 filed by XJ Harbour HK Limited on May 12, 2026.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and the 2029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The 2025 share options were granted to Black Forest Special Situations I, which would own less than 5% of the outstanding capital if it were to exercise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fact that some of our shares are held by brokers and other nominees, the number of our shares held by, and the number of, beneficial holders with addresses in the U.S. is not fully ascertainable. As of September 10, 2026, according to the records of our transfer agent Continental Stock Transfer &amp; Trust Company, 60,802,389 shares were held through Cede &amp; Co, the nominee of The Depository Trust Company, in whose name all shares held in “street name” are held in the U.S. Overall.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ESE"/>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resale from time to time by the selling securityholders or their permitted transferees and certain other investors of (i) up to 89,341,198 Ordinary Shares including (a) 42,729,539 of our Ordinary Shares issued to certain selling securityholders in connection with the Business Combination (including 5,000,000 non-vested earn-out shares) and to XJ Harbour in a private placement on January 16, 2026 which remain unsold by such selling securityholders, (b) up to 21,000,000 of our Ordinary Shares to be issued upon the exercise of our Warrants, (c) up to 15,544,042 of our Ordinary Shares to be issued upon the conversion of the 2028 Convertible Notes, (d) up to 6,217,617 of our Ordinary Shares to be issued upon the exercise of the 2026 Warrants, (e) up to 1,600,000 of our Ordinary Shares to be issued upon the conversion of the 2025 Convertible Loan, (f) up to 1,250,000 of our Ordinary Shares to be issued upon the exercise of the 2025 Options, and (g) up to 1,000,000 of our Ordinary Shares that are issuable to certain members of management based on contractually agreed share and option bonus incentive plans, and (ii) up to 9,750,000 Private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from time to time offer and sell any or all of the Ordinary Shares set forth below pursuant to this prospectus. When we refer to the “selling securityholders” in this prospectus, we mean the persons listed in the tables below, and the pledgees, donees, transferees, assignees, successors and others who later come to hold any of the selling securityholders’ interest in our securities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is prepared based on information provided to us by the selling securityholders. It sets forth the name and address of the selling securityholders, the aggregate number of Ordinary Shares that the selling securityholders may offer pursuant to this prospectus, and the beneficial ownership of the selling securityholders both before and after the offering. We have based percentage ownership prior to this offering on 66,637,954 Ordinary Shares (including 5,000,000 non-vested, but existing earn-out shares) as of the date of this registration statement. In calculating percentages of Ordinary Shares owned by a particular selling securityholder, we did not assume the exercise of any selling securityholder’s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or Private Warrants registered on its behalf. A selling securityholder may sell all, some or none of such securities in this offering. See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securities registered for resale in this registration statement are issuable upon conversion of our 2028 Convertible Notes and the exercise of the 2026 Warrants. As set out in the investment agreement concluded with Linden Advisors LP dated January 18, 2026, funding of a portion of such financing, i.e. the second tranche of the 2028 Convertible Notes, is conditioned upon the effectiveness of this registration statement. The registration of such securities is being undertaken to satisfy contractual registration rights granted to the investors under the investment agreement and related registration rights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selling securityholders identified below, this prospectus also relates to the resale of up to 11,250,000 Ordinary Shares issuable upon exercise of the Public Warrants, which Public Warrants are held in the public float.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785" w:type="dxa"/>
        <w:jc w:val="left"/>
        <w:tblInd w:w="543" w:type="dxa"/>
        <w:tblLayout w:type="fixed"/>
        <w:tblCellMar>
          <w:top w:w="0" w:type="dxa"/>
          <w:left w:w="0" w:type="dxa"/>
          <w:bottom w:w="28" w:type="dxa"/>
          <w:right w:w="0" w:type="dxa"/>
        </w:tblCellMar>
      </w:tblPr>
      <w:tblGrid>
        <w:gridCol w:w="1549"/>
        <w:gridCol w:w="109"/>
        <w:gridCol w:w="109"/>
        <w:gridCol w:w="109"/>
        <w:gridCol w:w="109"/>
        <w:gridCol w:w="1186"/>
        <w:gridCol w:w="109"/>
        <w:gridCol w:w="109"/>
        <w:gridCol w:w="109"/>
        <w:gridCol w:w="109"/>
        <w:gridCol w:w="109"/>
        <w:gridCol w:w="1066"/>
        <w:gridCol w:w="109"/>
        <w:gridCol w:w="109"/>
        <w:gridCol w:w="109"/>
        <w:gridCol w:w="109"/>
        <w:gridCol w:w="109"/>
        <w:gridCol w:w="646"/>
        <w:gridCol w:w="109"/>
        <w:gridCol w:w="109"/>
        <w:gridCol w:w="109"/>
        <w:gridCol w:w="109"/>
        <w:gridCol w:w="109"/>
        <w:gridCol w:w="1186"/>
        <w:gridCol w:w="109"/>
        <w:gridCol w:w="109"/>
        <w:gridCol w:w="109"/>
        <w:gridCol w:w="109"/>
        <w:gridCol w:w="109"/>
        <w:gridCol w:w="1066"/>
        <w:gridCol w:w="109"/>
        <w:gridCol w:w="109"/>
        <w:gridCol w:w="109"/>
        <w:gridCol w:w="152"/>
        <w:gridCol w:w="152"/>
        <w:gridCol w:w="483"/>
        <w:gridCol w:w="153"/>
        <w:gridCol w:w="109"/>
        <w:gridCol w:w="109"/>
        <w:gridCol w:w="152"/>
        <w:gridCol w:w="152"/>
        <w:gridCol w:w="483"/>
        <w:gridCol w:w="153"/>
        <w:gridCol w:w="109"/>
        <w:gridCol w:w="109"/>
        <w:gridCol w:w="109"/>
        <w:gridCol w:w="109"/>
        <w:gridCol w:w="346"/>
        <w:gridCol w:w="109"/>
        <w:gridCol w:w="154"/>
      </w:tblGrid>
      <w:tr>
        <w:trPr/>
        <w:tc>
          <w:tcPr>
            <w:tcW w:w="1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15" w:type="dxa"/>
            <w:gridSpan w:val="16"/>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owned </w:t>
            </w:r>
            <w:r>
              <w:rPr/>
              <w:br/>
            </w:r>
            <w:r>
              <w:rPr>
                <w:spacing w:val="-3"/>
              </w:rPr>
              <w:t xml:space="preserve">before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24"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Maximum number of </w:t>
            </w:r>
            <w:r>
              <w:rPr/>
              <w:br/>
            </w:r>
            <w:r>
              <w:rPr>
                <w:spacing w:val="-3"/>
              </w:rPr>
              <w:t>securities to be sold</w:t>
            </w:r>
            <w:r>
              <w:rPr>
                <w:spacing w:val="-2"/>
                <w:sz w:val="10"/>
              </w:rPr>
              <w:t>(19)</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89"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Securities owned </w:t>
            </w:r>
            <w:r>
              <w:rPr/>
              <w:br/>
            </w:r>
            <w:r>
              <w:rPr>
                <w:spacing w:val="-3"/>
              </w:rPr>
              <w:t>after the Offering</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the Selling Securityholders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Private </w:t>
            </w:r>
            <w:r>
              <w:rPr/>
              <w:br/>
            </w:r>
            <w:r>
              <w:rPr>
                <w:spacing w:val="-3"/>
              </w:rPr>
              <w:t xml:space="preserve">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(20)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Private </w:t>
            </w:r>
            <w:r>
              <w:rPr/>
              <w:br/>
            </w:r>
            <w:r>
              <w:rPr>
                <w:spacing w:val="-3"/>
              </w:rPr>
              <w:t xml:space="preserve">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Private</w:t>
            </w:r>
            <w:r>
              <w:rPr/>
              <w:t xml:space="preserve"> </w:t>
              <w:br/>
            </w:r>
            <w:r>
              <w:rPr>
                <w:spacing w:val="-3"/>
              </w:rPr>
              <w:t xml:space="preserve">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C. Schmid Beteiligung GmbH &amp; Co. KG</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18,820,000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Schmid Aequitas GmbH &amp; Co. KG</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14,990,000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Pegasus Digital Mobility Sponsor LLC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756,964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7,756,964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XJ Harbour HK Limited</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10,162,575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10,162,575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Black Forest Special Situations I</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Linden Capital L.P.</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20,866,530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Crown Managed Accounts SPC</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PCH Manager Fund, SPC</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Dr. Stefan Berger</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65,581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65,581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65,581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John Doherty</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118,325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Jeffrey H. Foster</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F. Jeremey Mistry</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Steven Norris</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Sir Ralf Speth</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145,538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145,538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Florian Wolf</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pPr>
            <w:r>
              <w:rPr>
                <w:spacing w:val="4"/>
              </w:rPr>
              <w:t>Arthur Schuetz</w:t>
            </w:r>
            <w:r>
              <w:rPr>
                <w:spacing w:val="3"/>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pPr>
            <w:r>
              <w:rPr>
                <w:spacing w:val="4"/>
              </w:rPr>
              <w:t>Helmut Rauch</w:t>
            </w:r>
            <w:r>
              <w:rPr>
                <w:spacing w:val="3"/>
                <w:sz w:val="13"/>
              </w:rPr>
              <w:t>(18)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w:t>
      </w:r>
      <w:r>
        <mc:AlternateContent>
          <mc:Choice Requires="wps">
            <w:drawing>
              <wp:anchor behindDoc="0" distT="88900" distB="0" distL="0" distR="0" simplePos="0" locked="0" layoutInCell="1" allowOverlap="1" relativeHeight="226">
                <wp:simplePos x="0" y="0"/>
                <wp:positionH relativeFrom="column">
                  <wp:align>left</wp:align>
                </wp:positionH>
                <wp:positionV relativeFrom="line">
                  <wp:align>top</wp:align>
                </wp:positionV>
                <wp:extent cx="3048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the sale of all securities offered in this prospectus. </w:t>
      </w:r>
      <w:r>
        <mc:AlternateContent>
          <mc:Choice Requires="wps">
            <w:drawing>
              <wp:anchor behindDoc="0" distT="38100" distB="0" distL="0" distR="0" simplePos="0" locked="0" layoutInCell="1" allowOverlap="1" relativeHeight="227">
                <wp:simplePos x="0" y="0"/>
                <wp:positionH relativeFrom="column">
                  <wp:align>left</wp:align>
                </wp:positionH>
                <wp:positionV relativeFrom="line">
                  <wp:align>top</wp:align>
                </wp:positionV>
                <wp:extent cx="3048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C. Schmid Beteiligung GmbH &amp; Co. KG is Robert-Bosch-Str. 32-36, 72250 Freudenstadt, Germany. The Ordinary Shares listed include 2,500,000 unvested, but existing earn-out shares originally issued to Christian Schmid. The maximum number of securities to be sold by C. Schmid Beteiligung GmbH &amp; Co. KG includes 1,000,000 ordinary shares issuable upon exercise of private warrants. </w:t>
      </w:r>
      <w:r>
        <mc:AlternateContent>
          <mc:Choice Requires="wps">
            <w:drawing>
              <wp:anchor behindDoc="0" distT="38100" distB="0" distL="0" distR="0" simplePos="0" locked="0" layoutInCell="1" allowOverlap="1" relativeHeight="228">
                <wp:simplePos x="0" y="0"/>
                <wp:positionH relativeFrom="column">
                  <wp:align>left</wp:align>
                </wp:positionH>
                <wp:positionV relativeFrom="line">
                  <wp:align>top</wp:align>
                </wp:positionV>
                <wp:extent cx="3048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Schmid Aequitas GmbH &amp; Co. KG is Robert-Bosch-Str. 32-36, 72250 Freudenstadt, Germany. The Ordinary Shares listed include 2,500,000 unvested, but existing earn-out shares originally issued to Anette Schmid. The maximum number of securities to be sold by Schmid Aequitas GmbH &amp; Co. KG includes 1,000,000 ordinary shares issuable upon exercise of private warrants. </w:t>
      </w:r>
      <w:r>
        <mc:AlternateContent>
          <mc:Choice Requires="wps">
            <w:drawing>
              <wp:anchor behindDoc="0" distT="38100" distB="0" distL="0" distR="0" simplePos="0" locked="0" layoutInCell="1" allowOverlap="1" relativeHeight="229">
                <wp:simplePos x="0" y="0"/>
                <wp:positionH relativeFrom="column">
                  <wp:align>left</wp:align>
                </wp:positionH>
                <wp:positionV relativeFrom="line">
                  <wp:align>top</wp:align>
                </wp:positionV>
                <wp:extent cx="3048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Pegasus Digital Mobility Sponsor LLC is 660 Steamboat Rd FL 1, Greenwich CT 06830-7150. Pegasus Digital Mobility Sponsor LLC also holds further existing shares which are, however, already registered for realse. In addition, 2,000,000 warrants that are held by Pegasus Digital Mobility Sponsor LLC are contractually required to be transferred to Christian Schmid and Anette Schmid and are currently held by Pegasus Digital Mobility Sponsor LLC at the Company’s Share Transfer Agent Continental. </w:t>
      </w:r>
      <w:r>
        <mc:AlternateContent>
          <mc:Choice Requires="wps">
            <w:drawing>
              <wp:anchor behindDoc="0" distT="38100" distB="0" distL="0" distR="0" simplePos="0" locked="0" layoutInCell="1" allowOverlap="1" relativeHeight="230">
                <wp:simplePos x="0" y="0"/>
                <wp:positionH relativeFrom="column">
                  <wp:align>left</wp:align>
                </wp:positionH>
                <wp:positionV relativeFrom="line">
                  <wp:align>top</wp:align>
                </wp:positionV>
                <wp:extent cx="3048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XJ Harbour HK Limited is RM 76, 5/F, United Centre, 95 Queensway, Hong Kong. The Ordinary Shares held by XJ Harbour HK Limited were issued to XJ Harbour HK Limited as follows (i) 1,406,361 ordinary shares issued in a private placement in 2024 and (ii) 12,540,539 ordinary shares issued in a private placement contractually agreed in November 2025 and then issued on January 16, 2026. XJ Harbour HK Limited has since sold parts of its shares. All such shares are being registered for resale pursuant to this prospectus. </w:t>
      </w:r>
      <w:r>
        <mc:AlternateContent>
          <mc:Choice Requires="wps">
            <w:drawing>
              <wp:anchor behindDoc="0" distT="38100" distB="0" distL="0" distR="0" simplePos="0" locked="0" layoutInCell="1" allowOverlap="1" relativeHeight="231">
                <wp:simplePos x="0" y="0"/>
                <wp:positionH relativeFrom="column">
                  <wp:align>left</wp:align>
                </wp:positionH>
                <wp:positionV relativeFrom="line">
                  <wp:align>top</wp:align>
                </wp:positionV>
                <wp:extent cx="3048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Black Forest Special Situations I is 71 Fort Street, George Town, Grand Cayman KY1-1106, Cayman Islands. Black Forst Special Situations I, if it exercises its conversion right under the 2025 Convertible Loan, may receive up to 1,600,000 Ordinary Shares issuable (calculated </w:t>
      </w:r>
      <w:r>
        <mc:AlternateContent>
          <mc:Choice Requires="wps">
            <w:drawing>
              <wp:anchor behindDoc="0" distT="38100" distB="0" distL="0" distR="0" simplePos="0" locked="0" layoutInCell="1" allowOverlap="1" relativeHeight="232">
                <wp:simplePos x="0" y="0"/>
                <wp:positionH relativeFrom="column">
                  <wp:align>left</wp:align>
                </wp:positionH>
                <wp:positionV relativeFrom="line">
                  <wp:align>top</wp:align>
                </wp:positionV>
                <wp:extent cx="3048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€2.5 million convertible loan at a fixed conversion price of $2.15 per share, using a EUR-USD exchange rate of approximately €1.00 to $1.38) and may further receive up to 1,250,000 Ordinary Shares upon the exercise of the 2025 Options. </w:t>
      </w:r>
    </w:p>
    <w:p>
      <w:pPr>
        <w:pStyle w:val="TextBody"/>
        <w:bidi w:val="0"/>
        <w:spacing w:lineRule="atLeast" w:line="240" w:before="66"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Linden Capital L.P. is c/o Linden Advisors LP, 590 Madison Avenue, 32nd Floor, New York, NY 10022, United States. The maximum number of shares registered for resale is calculated as follows: (i) 14,904,664 Ordinary Shares issuable upon conversion of the 2028 Convertible Notes and (ii) 5,961,866 ordinary shares issuable upon exercise of the 2026 Warrants. The allocation reflects the purchaser’s pro rata portion of the aggregate initial $30,000,000 principal amount of 2028 Convertible Notes issued pursuant to the Investment Agreement. </w:t>
      </w:r>
      <w:r>
        <mc:AlternateContent>
          <mc:Choice Requires="wps">
            <w:drawing>
              <wp:anchor behindDoc="0" distT="41910" distB="0" distL="0" distR="0" simplePos="0" locked="0" layoutInCell="1" allowOverlap="1" relativeHeight="233">
                <wp:simplePos x="0" y="0"/>
                <wp:positionH relativeFrom="column">
                  <wp:align>left</wp:align>
                </wp:positionH>
                <wp:positionV relativeFrom="line">
                  <wp:align>top</wp:align>
                </wp:positionV>
                <wp:extent cx="3048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Crown Managed Accounts SPC is Grand Pavilion Commercial Centre, 802 West Bay Road, George Town, Grand Cayman, Cayman Islands. The maximum number of shares registered for resale is calculated as follows: (i) 281,865 ordinary shares issuable upon conversion of the 2028 Convertible Notes and (ii) 112,746 ordinary shares issuable upon exercise of the 2026 Warrants. The allocation reflects the purchaser’s pro rata portion of the aggregate initial $30,000,000 principal amount of 2028 Convertible Notes issued pursuant to the Investment Agreement. </w:t>
      </w:r>
      <w:r>
        <mc:AlternateContent>
          <mc:Choice Requires="wps">
            <w:drawing>
              <wp:anchor behindDoc="0" distT="41910" distB="0" distL="0" distR="0" simplePos="0" locked="0" layoutInCell="1" allowOverlap="1" relativeHeight="234">
                <wp:simplePos x="0" y="0"/>
                <wp:positionH relativeFrom="column">
                  <wp:align>left</wp:align>
                </wp:positionH>
                <wp:positionV relativeFrom="line">
                  <wp:align>top</wp:align>
                </wp:positionV>
                <wp:extent cx="3048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PCH Manager Fund, SPC is One Nexus Way, Camana Bay, Grand Cayman, Cayman Islands, KY1-9005. The maximum number of shares registered for resale is calculated as follows: (i) 357,514 ordinary shares issuable upon conversion of the 2028 Convertible Notes and (ii) 143,005 ordinary shares issuable upon exercise of the 2026 Warrants. The allocation reflects the purchaser’s pro rata portion of the aggregate initial $30,000,000 principal amount of 2028 Convertible Notes issued pursuant to the Investment Agreement. </w:t>
      </w:r>
      <w:r>
        <mc:AlternateContent>
          <mc:Choice Requires="wps">
            <w:drawing>
              <wp:anchor behindDoc="0" distT="41910" distB="0" distL="0" distR="0" simplePos="0" locked="0" layoutInCell="1" allowOverlap="1" relativeHeight="235">
                <wp:simplePos x="0" y="0"/>
                <wp:positionH relativeFrom="column">
                  <wp:align>left</wp:align>
                </wp:positionH>
                <wp:positionV relativeFrom="line">
                  <wp:align>top</wp:align>
                </wp:positionV>
                <wp:extent cx="3048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Dr. Stefan Berger is Ohlmuellerstrasse 2, 81541 Munich, Germany. </w:t>
      </w:r>
      <w:r>
        <mc:AlternateContent>
          <mc:Choice Requires="wps">
            <w:drawing>
              <wp:anchor behindDoc="0" distT="41910" distB="0" distL="0" distR="0" simplePos="0" locked="0" layoutInCell="1" allowOverlap="1" relativeHeight="236">
                <wp:simplePos x="0" y="0"/>
                <wp:positionH relativeFrom="column">
                  <wp:align>left</wp:align>
                </wp:positionH>
                <wp:positionV relativeFrom="line">
                  <wp:align>top</wp:align>
                </wp:positionV>
                <wp:extent cx="3048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John Doherty is 7500 W Sunrise Blvd, Plantation, Florida 33313-4497, United States. </w:t>
      </w:r>
      <w:r>
        <mc:AlternateContent>
          <mc:Choice Requires="wps">
            <w:drawing>
              <wp:anchor behindDoc="0" distT="41910" distB="0" distL="0" distR="0" simplePos="0" locked="0" layoutInCell="1" allowOverlap="1" relativeHeight="237">
                <wp:simplePos x="0" y="0"/>
                <wp:positionH relativeFrom="column">
                  <wp:align>left</wp:align>
                </wp:positionH>
                <wp:positionV relativeFrom="line">
                  <wp:align>top</wp:align>
                </wp:positionV>
                <wp:extent cx="3048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Jeffrey H. Foster is 133 26TH Ave N, Saint Peterseburg, Florida 33704-3457, United States. </w:t>
      </w:r>
      <w:r>
        <mc:AlternateContent>
          <mc:Choice Requires="wps">
            <w:drawing>
              <wp:anchor behindDoc="0" distT="40640" distB="0" distL="0" distR="0" simplePos="0" locked="0" layoutInCell="1" allowOverlap="1" relativeHeight="238">
                <wp:simplePos x="0" y="0"/>
                <wp:positionH relativeFrom="column">
                  <wp:align>left</wp:align>
                </wp:positionH>
                <wp:positionV relativeFrom="line">
                  <wp:align>top</wp:align>
                </wp:positionV>
                <wp:extent cx="3048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F. Jeremey Mistry is 125 Queen’s Road, Richmond, Greater London, TW 10-6HF, United Kingdom. </w:t>
      </w:r>
      <w:r>
        <mc:AlternateContent>
          <mc:Choice Requires="wps">
            <w:drawing>
              <wp:anchor behindDoc="0" distT="40640" distB="0" distL="0" distR="0" simplePos="0" locked="0" layoutInCell="1" allowOverlap="1" relativeHeight="239">
                <wp:simplePos x="0" y="0"/>
                <wp:positionH relativeFrom="column">
                  <wp:align>left</wp:align>
                </wp:positionH>
                <wp:positionV relativeFrom="line">
                  <wp:align>top</wp:align>
                </wp:positionV>
                <wp:extent cx="3048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Steven Norris is 5-8 The Sanctuary, London SWIP-3JS, United Kingdom. </w:t>
      </w:r>
      <w:r>
        <mc:AlternateContent>
          <mc:Choice Requires="wps">
            <w:drawing>
              <wp:anchor behindDoc="0" distT="40640" distB="0" distL="0" distR="0" simplePos="0" locked="0" layoutInCell="1" allowOverlap="1" relativeHeight="240">
                <wp:simplePos x="0" y="0"/>
                <wp:positionH relativeFrom="column">
                  <wp:align>left</wp:align>
                </wp:positionH>
                <wp:positionV relativeFrom="line">
                  <wp:align>top</wp:align>
                </wp:positionV>
                <wp:extent cx="3048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Sir Ralf Speth is Kranzhornweg 1, 83064 Raubling, Germany. </w:t>
      </w:r>
      <w:r>
        <mc:AlternateContent>
          <mc:Choice Requires="wps">
            <w:drawing>
              <wp:anchor behindDoc="0" distT="40640" distB="0" distL="0" distR="0" simplePos="0" locked="0" layoutInCell="1" allowOverlap="1" relativeHeight="241">
                <wp:simplePos x="0" y="0"/>
                <wp:positionH relativeFrom="column">
                  <wp:align>left</wp:align>
                </wp:positionH>
                <wp:positionV relativeFrom="line">
                  <wp:align>top</wp:align>
                </wp:positionV>
                <wp:extent cx="3048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Florian Wolf is 12A Finsbury Square, London EC2A-1AN, United Kingdom. </w:t>
      </w:r>
      <w:r>
        <mc:AlternateContent>
          <mc:Choice Requires="wps">
            <w:drawing>
              <wp:anchor behindDoc="0" distT="40640" distB="0" distL="0" distR="0" simplePos="0" locked="0" layoutInCell="1" allowOverlap="1" relativeHeight="242">
                <wp:simplePos x="0" y="0"/>
                <wp:positionH relativeFrom="column">
                  <wp:align>left</wp:align>
                </wp:positionH>
                <wp:positionV relativeFrom="line">
                  <wp:align>top</wp:align>
                </wp:positionV>
                <wp:extent cx="3048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Arthur Schuetz is Robert-Bosch-Str. 32-36, 72250 Freudenstadt, Germany. Arthur Schuetz and the Company have contractually agreed that a number of bonus shares and options to purchase shares of the Company in a share incentive plan. The indicated maximum number represents half of the shares registered for such share incentive plan. </w:t>
      </w:r>
      <w:r>
        <mc:AlternateContent>
          <mc:Choice Requires="wps">
            <w:drawing>
              <wp:anchor behindDoc="0" distT="40640" distB="0" distL="0" distR="0" simplePos="0" locked="0" layoutInCell="1" allowOverlap="1" relativeHeight="243">
                <wp:simplePos x="0" y="0"/>
                <wp:positionH relativeFrom="column">
                  <wp:align>left</wp:align>
                </wp:positionH>
                <wp:positionV relativeFrom="line">
                  <wp:align>top</wp:align>
                </wp:positionV>
                <wp:extent cx="3048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Helmut Rauch is Robert-Bosch-Str. 32-36, 72250 Freudenstadt, Germany. Arthur Schuetz and the Company have contractually agreed that a number of bonus shares and options to purchase shares of the Company in a share incentive plan. The indicated maximum number represents half of the shares registered for such share incentive plan. </w:t>
      </w:r>
      <w:r>
        <mc:AlternateContent>
          <mc:Choice Requires="wps">
            <w:drawing>
              <wp:anchor behindDoc="0" distT="40640" distB="0" distL="0" distR="0" simplePos="0" locked="0" layoutInCell="1" allowOverlap="1" relativeHeight="244">
                <wp:simplePos x="0" y="0"/>
                <wp:positionH relativeFrom="column">
                  <wp:align>left</wp:align>
                </wp:positionH>
                <wp:positionV relativeFrom="line">
                  <wp:align>top</wp:align>
                </wp:positionV>
                <wp:extent cx="3048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maximum number of Ordinary Shares to be sold in this column include (i) all shares already outstanding and held by the relevant selling securityholders, (ii) the shares to be issued to such relevant selling securityholders under the Warrants, the 2028 Convertible Notes, the 2026 Warrants, the 2025 Convertible Loan, the 2025 Options, the management incentive bonus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0640" distB="0" distL="0" distR="0" simplePos="0" locked="0" layoutInCell="1" allowOverlap="1" relativeHeight="245">
                <wp:simplePos x="0" y="0"/>
                <wp:positionH relativeFrom="column">
                  <wp:align>left</wp:align>
                </wp:positionH>
                <wp:positionV relativeFrom="line">
                  <wp:align>top</wp:align>
                </wp:positionV>
                <wp:extent cx="3048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of the percentage has been completed based on 66,637,954 outstanding Ordinary shares as of the date of this registration statement, which includes the 5,000,000 earn-out shares. </w:t>
      </w:r>
      <w:r>
        <mc:AlternateContent>
          <mc:Choice Requires="wps">
            <w:drawing>
              <wp:anchor behindDoc="0" distT="40640" distB="0" distL="0" distR="0" simplePos="0" locked="0" layoutInCell="1" allowOverlap="1" relativeHeight="246">
                <wp:simplePos x="0" y="0"/>
                <wp:positionH relativeFrom="column">
                  <wp:align>left</wp:align>
                </wp:positionH>
                <wp:positionV relativeFrom="line">
                  <wp:align>top</wp:align>
                </wp:positionV>
                <wp:extent cx="3048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Schmid Beteiligung GmbH &amp; Co. KG is controlled by Christian Schmid and Schmid Aequitas GmbH &amp; Co. KG is controlled by Anette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the sponsor of the Pegasus SPAC, is ultimately a subsidiary of Validus/StratCap, LLC, a digital infrastructure asset management company based in Greenwich Connecticut. StratCap announced an agreement to be acquired by HMC Capital Limited, an Australian Stock Exchange listed alternative asset manager in March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Linden Capital L.P., Crown Managed Accounts SPC and PCH Manager Fund, SPC are investment vehicles managed by Linden Advisors LP, a manager of private funds based in New York City. The 2028 Convertible Notes and 2026 Warrants issued to these three entities were issued on January 21, 2026 in accordance with an investment agreement signed on January 16,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is part of XJ Capital, a venture capital firm based in China. it was established by senior executives of China Securities International and anchored by CITIC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Anette Schmid and the Schmid Community of Heirs were the sole owners of Gebr. Schmid GmbH and received 33,725,000 Ordinary Shares (which includes 5,000,000 earn-out shares) and 2,000,000 private warrants under the Business Combination Agreement. Christian Schmid and Anette Schmid each hold 9,394,000 Ordinary Shares and 1,000,000 private warrants. The Community of Heirs holds 14,937,000 Ordinary Shares. The securities were the consideration for the transfer 100% of shares in Gebr. Schmid GmbH to SCHMID. As such Christian Schmid, Anette Schmid and the Schmid Community of Heirs did not pay a cash amount for their shares. At Closing of the Business Combination Agreement the capital remaining in the Pegasus Digital Mobility SPAC amounted to approximately $26 million, with shares valued at $11.42. The Schmid Shareholders agreed to the Business Combination under these economic terms, with that valuation of their contribution and SCHMID Group share value. Both Christian Schmid and Anette Schmid, and the Community of Heirs are subject to lock-up agreements, that prohibit them from selling their shares before the end of one year from the time of the Closing of the Business Combination Agreement. On May 14, 2026, the Schmid Community of Heirs and Christian Schmid and Anette Schmid have respectively transferred their shares to C. Schmid Beteiligung GmbH &amp; Co. KG controlled by Christian Schmid and Schmid Aequitas GmbH &amp; Co. KG controlled by Anette Schmid.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Business Combination XJ Harbour HK Limited held 24.1% of the shares in the Gebr. Schmid GmbH subsidiary Schmid Technology (Guangdong) Co., Ltd.. In an agreement on the sale of that stake back to SCHMID, it was negotiated that XJ Harbour would receive 1,406,361 Ordinary Shares at Closing and a further three cash payments of $11,864,000, $5,932,000 (within 270 days of Closing) and up to $2.091.254,79 (within 455 days of Closing; the final payment is subject to an interest rate of 6% p.a.) in exchange for the 24.1% stake in Schmid Technology (Guangdong) Co., Ltd. In a subscription agreement dated November 2025, SCHMID and XJ Harbour agreed to set-off all remaining payment obligations (including accrued interest) for the issuance of 12,540,539 Ordinary Shares (the issuance was completed on January 16, 2026) for a share price of $2.15 per share. Since then, XJ Harbour HK Limited has sold parts of its shares.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convert a debt owed by Pegasus Digital Mobility Acquisition Corp. in the form of promissory notes in the amount of $8,644,528.88 into an equity stake in SCHMID. Sponsor agreed to purchase 756,964 Ordinary Shares. These were issued to Sponsor following the Closing. As part of this investment agreement, and in line with other non redemption investors prior to Closing, the Sponsor received Pegasus Class B shares as part of their investment. These shares were transferred at Closing and are now SCHMID Ordinary Shares. The Sponsor received 939,346 incentive shares of this kind. Effectively having invested $8,644,528.88 for a total of 1,696,310 Ordinary shares, Sponsor effectively paid a price of $5.10 per share. On October 26, 2021, the Sponsor purchased 9,000,000 Pegasus Digital Mobility Acquisition Corp. private placement warrants from Pegasus in a private sale for $1.00 each. The Sponsor now holds 7,000,000 Private Warrants following the Closing. As described above 2,000,000 Private Warrants were transferred to Christian Schmid and Anette Schmid as part of their compensation for the Gebr. Schmid GmbH shares at Closing. At Closing the Pegasus private placement warrantholders received SCHMID Private Warrants. Currently the SCHMID Ordinary Shares are trading well below the warrant exercise price of $11.50, exercise of these warrants by holders such as the Sponsor is therefore unlikely. At the current share price however, of $3.85 as of September 3, 2024, the Sponsor would make a loss of $1.25 per share, and is as such unlikely to sell until the share price rises at least above the purchase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2,000,000 private warrants held by Christian and Anette Schmid to be offered hereunder, Sir Ralf Speth (145,538), Dr. Stefan Berger (65,581), F. Jeremey Mistry (65,581), John Doherty (118,325), Jeffrey H. Foster (118,325), Steven Norris (118,325) and Florian Wolf (118,325) all hold Private Warrants. They received these from Sponsor, who initially purchased these private placement warrants for $1 each, for their role as directors and officers of Pegasus under the Warrant Grant Agreement and under the condition of a lock-up period. The private warrants are exercisable for one Ordinary Share at $11.50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TAX"/>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i w:val="false"/>
          <w:caps w:val="false"/>
          <w:smallCaps w:val="false"/>
          <w:color w:val="000000"/>
          <w:spacing w:val="-4"/>
          <w:sz w:val="20"/>
        </w:rPr>
        <w:t>Schmid securities</w:t>
      </w:r>
      <w:r>
        <w:rPr>
          <w:rFonts w:ascii="Times New Roman;Times;serif" w:hAnsi="Times New Roman;Times;serif"/>
          <w:b w:val="false"/>
          <w:i w:val="false"/>
          <w:caps w:val="false"/>
          <w:smallCaps w:val="false"/>
          <w:color w:val="000000"/>
          <w:spacing w:val="4"/>
          <w:sz w:val="20"/>
        </w:rPr>
        <w:t xml:space="preserve">”).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SCHMID SECURITIES SHOULD CONSULT THEIR TAX ADVISORS AS TO THE PARTICULAR TAX CONSEQUENCES TO THEM RELATING TO THE OWNERSHIP OF SCHMID SECURITIES, INCLUDING THE APPLICABILITY AND EFFECT OF STATE, LOCAL, NON-U.S. AND OTHER TAX LAWS AND POSSIBLE CHANGES IN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discussion is subject to the discussion in “— </w:t>
      </w:r>
      <w:r>
        <w:rPr>
          <w:rFonts w:ascii="Times New Roman;Times;serif" w:hAnsi="Times New Roman;Times;serif"/>
          <w:b/>
          <w:i/>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b w:val="false"/>
          <w:i/>
          <w:caps w:val="false"/>
          <w:smallCaps w:val="false"/>
          <w:color w:val="000000"/>
          <w:spacing w:val="4"/>
          <w:sz w:val="20"/>
        </w:rPr>
        <w:t>Application of the PFIC Rules to Schmid Securities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Schmid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Exercise or Lapse of a Public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with respect to the cashless exercise of a Public Warrant, a U.S. holder generally will not recognize gain or loss upon the acquisition of an Ordinary Share on the exercise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i w:val="false"/>
          <w:caps w:val="false"/>
          <w:smallCaps w:val="false"/>
          <w:color w:val="000000"/>
          <w:spacing w:val="-4"/>
          <w:sz w:val="20"/>
        </w:rPr>
        <w:t>surrendered warrants</w:t>
      </w:r>
      <w:r>
        <w:rPr>
          <w:rFonts w:ascii="Times New Roman;Times;serif" w:hAnsi="Times New Roman;Times;serif"/>
          <w:b w:val="false"/>
          <w:i w:val="false"/>
          <w:caps w:val="false"/>
          <w:smallCaps w:val="false"/>
          <w:color w:val="000000"/>
          <w:spacing w:val="4"/>
          <w:sz w:val="20"/>
        </w:rPr>
        <w:t xml:space="preserve">”).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Constructive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b w:val="false"/>
          <w:i/>
          <w:caps w:val="false"/>
          <w:smallCaps w:val="false"/>
          <w:color w:val="000000"/>
          <w:spacing w:val="4"/>
          <w:sz w:val="20"/>
        </w:rPr>
        <w:t>Distributions on Ordinary Shares</w:t>
      </w:r>
      <w:r>
        <w:rPr>
          <w:rFonts w:ascii="Times New Roman;Times;serif" w:hAnsi="Times New Roman;Times;serif"/>
          <w:b w:val="false"/>
          <w:i w:val="false"/>
          <w:caps w:val="false"/>
          <w:smallCaps w:val="false"/>
          <w:color w:val="000000"/>
          <w:spacing w:val="4"/>
          <w:sz w:val="20"/>
        </w:rPr>
        <w:t xml:space="preserve">”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Company were a PFIC in any year during which a U.S. holder owns Ordinary Shares, subject to the discussion below regarding the mark-to-market (“</w:t>
      </w:r>
      <w:r>
        <w:rPr>
          <w:rFonts w:ascii="Times New Roman;Times;serif" w:hAnsi="Times New Roman;Times;serif"/>
          <w:b/>
          <w:i w:val="false"/>
          <w:caps w:val="false"/>
          <w:smallCaps w:val="false"/>
          <w:color w:val="000000"/>
          <w:spacing w:val="-4"/>
          <w:sz w:val="20"/>
        </w:rPr>
        <w:t>MTM</w:t>
      </w:r>
      <w:r>
        <w:rPr>
          <w:rFonts w:ascii="Times New Roman;Times;serif" w:hAnsi="Times New Roman;Times;serif"/>
          <w:b w:val="false"/>
          <w:i w:val="false"/>
          <w:caps w:val="false"/>
          <w:smallCaps w:val="false"/>
          <w:color w:val="000000"/>
          <w:spacing w:val="4"/>
          <w:sz w:val="20"/>
        </w:rPr>
        <w:t>”) or qualified electing fund (“</w:t>
      </w:r>
      <w:r>
        <w:rPr>
          <w:rFonts w:ascii="Times New Roman;Times;serif" w:hAnsi="Times New Roman;Times;serif"/>
          <w:b/>
          <w:i w:val="false"/>
          <w:caps w:val="false"/>
          <w:smallCaps w:val="false"/>
          <w:color w:val="000000"/>
          <w:spacing w:val="-4"/>
          <w:sz w:val="20"/>
        </w:rPr>
        <w:t>QEF</w:t>
      </w:r>
      <w:r>
        <w:rPr>
          <w:rFonts w:ascii="Times New Roman;Times;serif" w:hAnsi="Times New Roman;Times;serif"/>
          <w:b w:val="false"/>
          <w:i w:val="false"/>
          <w:caps w:val="false"/>
          <w:smallCaps w:val="false"/>
          <w:color w:val="000000"/>
          <w:spacing w:val="4"/>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own tax advisors concerning the Company’s possible PFIC status and the consequences to them, including potential reporting requirements, if the Company were classified as a PFIC for any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the U.S. holder’s U.S. federal income tax liability, and a U.S. holder may obtain a refund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Dutch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and an investor holding Warrants is being referred to as a warrant holder (“</w:t>
      </w:r>
      <w:r>
        <w:rPr>
          <w:rFonts w:ascii="Times New Roman;Times;serif" w:hAnsi="Times New Roman;Times;serif"/>
          <w:b/>
          <w:i w:val="false"/>
          <w:caps w:val="false"/>
          <w:smallCaps w:val="false"/>
          <w:color w:val="000000"/>
          <w:spacing w:val="-4"/>
          <w:sz w:val="20"/>
        </w:rPr>
        <w:t>Warrant 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b w:val="false"/>
          <w:i/>
          <w:caps w:val="false"/>
          <w:smallCaps w:val="false"/>
          <w:color w:val="000000"/>
          <w:spacing w:val="4"/>
          <w:sz w:val="20"/>
        </w:rPr>
        <w:t>aanmerkelijk belang</w:t>
      </w:r>
      <w:r>
        <w:rPr>
          <w:rFonts w:ascii="Times New Roman;Times;serif" w:hAnsi="Times New Roman;Times;serif"/>
          <w:b w:val="false"/>
          <w:i w:val="false"/>
          <w:caps w:val="false"/>
          <w:smallCaps w:val="false"/>
          <w:color w:val="000000"/>
          <w:spacing w:val="4"/>
          <w:sz w:val="20"/>
        </w:rPr>
        <w:t xml:space="preserve">) or a deemed substantial interest in Schmid.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Times;serif" w:hAnsi="Times New Roman;Times;serif"/>
          <w:b w:val="false"/>
          <w:i/>
          <w:caps w:val="false"/>
          <w:smallCaps w:val="false"/>
          <w:color w:val="000000"/>
          <w:spacing w:val="4"/>
          <w:sz w:val="20"/>
        </w:rPr>
        <w:t>winstbewijzen</w:t>
      </w:r>
      <w:r>
        <w:rPr>
          <w:rFonts w:ascii="Times New Roman;Times;serif" w:hAnsi="Times New Roman;Times;serif"/>
          <w:b w:val="false"/>
          <w:i w:val="false"/>
          <w:caps w:val="false"/>
          <w:smallCaps w:val="false"/>
          <w:color w:val="000000"/>
          <w:spacing w:val="4"/>
          <w:sz w:val="20"/>
        </w:rPr>
        <w:t xml:space="preserve">)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assumes that Schmid is not affiliated (</w:t>
      </w:r>
      <w:r>
        <w:rPr>
          <w:rFonts w:ascii="Times New Roman;Times;serif" w:hAnsi="Times New Roman;Times;serif"/>
          <w:b w:val="false"/>
          <w:i/>
          <w:caps w:val="false"/>
          <w:smallCaps w:val="false"/>
          <w:color w:val="000000"/>
          <w:spacing w:val="4"/>
          <w:sz w:val="20"/>
        </w:rPr>
        <w:t>gelieerd</w:t>
      </w:r>
      <w:r>
        <w:rPr>
          <w:rFonts w:ascii="Times New Roman;Times;serif" w:hAnsi="Times New Roman;Times;serif"/>
          <w:b w:val="false"/>
          <w:i w:val="false"/>
          <w:caps w:val="false"/>
          <w:smallCaps w:val="false"/>
          <w:color w:val="000000"/>
          <w:spacing w:val="4"/>
          <w:sz w:val="20"/>
        </w:rPr>
        <w:t>) to any recipient (</w:t>
      </w:r>
      <w:r>
        <w:rPr>
          <w:rFonts w:ascii="Times New Roman;Times;serif" w:hAnsi="Times New Roman;Times;serif"/>
          <w:b w:val="false"/>
          <w:i/>
          <w:caps w:val="false"/>
          <w:smallCaps w:val="false"/>
          <w:color w:val="000000"/>
          <w:spacing w:val="4"/>
          <w:sz w:val="20"/>
        </w:rPr>
        <w:t>voordeelgerechtigde</w:t>
      </w:r>
      <w:r>
        <w:rPr>
          <w:rFonts w:ascii="Times New Roman;Times;serif" w:hAnsi="Times New Roman;Times;serif"/>
          <w:b w:val="false"/>
          <w:i w:val="false"/>
          <w:caps w:val="false"/>
          <w:smallCaps w:val="false"/>
          <w:color w:val="000000"/>
          <w:spacing w:val="4"/>
          <w:sz w:val="20"/>
        </w:rPr>
        <w:t>) of any payments under the Ordinary Shares and/or Warrants within the meaning of the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entity is regarded as ‘affiliated’ for Dutch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b w:val="false"/>
          <w:i/>
          <w:caps w:val="false"/>
          <w:smallCaps w:val="false"/>
          <w:color w:val="000000"/>
          <w:spacing w:val="4"/>
          <w:sz w:val="20"/>
        </w:rPr>
        <w:t>samenwerkende groep</w:t>
      </w:r>
      <w:r>
        <w:rPr>
          <w:rFonts w:ascii="Times New Roman;Times;serif" w:hAnsi="Times New Roman;Times;serif"/>
          <w:b w:val="false"/>
          <w:i w:val="false"/>
          <w:caps w:val="false"/>
          <w:smallCaps w:val="false"/>
          <w:color w:val="000000"/>
          <w:spacing w:val="4"/>
          <w:sz w:val="20"/>
        </w:rPr>
        <w:t xml:space="preserve">), that gives the holder of such interest definite influence over the decisions of the entity in which the interest is held and allows determination of its activities.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summary refers to “the Netherlands” or “Dutch” it refers only to the European part of the Kingdom of the Netherlands.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overview assumes that Schmid shall have its place of effective management in Germany and that it is treated as a German tax resident for German tax purposes.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consult their professional advisers as to the tax consequences of acquiring, holding and disposing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must withhold Dutch dividend tax from dividends distributed on the Ordinary Shares at the rate of 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include, without limitation: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profits (including paid-in capital not recognised for Dutch dividend tax purposes) in cash or in kind, including deemed and constructive dividends; </w:t>
      </w:r>
      <w:r>
        <mc:AlternateContent>
          <mc:Choice Requires="wps">
            <w:drawing>
              <wp:anchor behindDoc="0" distT="9779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distributions and, generally, proceeds realised upon a repurchase of Ordinary Shares by Schmid or upon the transfer of Ordinary Shares to a direct or indirect subsidiary of Schmid, in excess of the average paid-in capital recognised for Dutch dividend tax purposes; </w:t>
      </w:r>
      <w:r>
        <mc:AlternateContent>
          <mc:Choice Requires="wps">
            <w:drawing>
              <wp:anchor behindDoc="0" distT="97790" distB="0" distL="254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of Ordinary Shares issued to a shareholder or any increase in the par value of Ordinary Shares, except to the extent such (increase in the) par value is contributed to or funded out of the Schmid’s paid-in capital recognised for Dutch dividend tax purposes; </w:t>
      </w:r>
      <w:r>
        <mc:AlternateContent>
          <mc:Choice Requires="wps">
            <w:drawing>
              <wp:anchor behindDoc="0" distT="97790" distB="0" distL="254000" distR="0" simplePos="0" locked="0" layoutInCell="1" allowOverlap="1" relativeHeight="249">
                <wp:simplePos x="0" y="0"/>
                <wp:positionH relativeFrom="column">
                  <wp:align>left</wp:align>
                </wp:positionH>
                <wp:positionV relativeFrom="line">
                  <wp:align>top</wp:align>
                </wp:positionV>
                <wp:extent cx="254000" cy="525780"/>
                <wp:effectExtent l="0" t="0" r="0" b="0"/>
                <wp:wrapSquare wrapText="right"/>
                <wp:docPr id="248" name="Frame2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repayments of paid-in capital recognised for Dutch dividend tax purposes up to the amount of Schmid’s profits (</w:t>
      </w:r>
      <w:r>
        <w:rPr>
          <w:rFonts w:ascii="Times New Roman;Times;serif" w:hAnsi="Times New Roman;Times;serif"/>
          <w:b w:val="false"/>
          <w:i/>
          <w:caps w:val="false"/>
          <w:smallCaps w:val="false"/>
          <w:color w:val="000000"/>
          <w:spacing w:val="4"/>
          <w:sz w:val="20"/>
        </w:rPr>
        <w:t>zuivere winst</w:t>
      </w:r>
      <w:r>
        <w:rPr>
          <w:rFonts w:ascii="Times New Roman;Times;serif" w:hAnsi="Times New Roman;Times;serif"/>
          <w:b w:val="false"/>
          <w:i w:val="false"/>
          <w:caps w:val="false"/>
          <w:smallCaps w:val="false"/>
          <w:color w:val="000000"/>
          <w:spacing w:val="4"/>
          <w:sz w:val="20"/>
        </w:rPr>
        <w:t xml:space="preserve">) unless Schmid’s general meeting of shareholders has resolved in advance that Schmid shall make such repayments and the par value of the Ordinary Shares concerned has been reduced by a corresponding amount through an amendment of Schmid’s articles of association. </w:t>
      </w:r>
      <w:r>
        <mc:AlternateContent>
          <mc:Choice Requires="wps">
            <w:drawing>
              <wp:anchor behindDoc="0" distT="97790" distB="0" distL="254000" distR="0" simplePos="0" locked="0" layoutInCell="1" allowOverlap="1" relativeHeight="250">
                <wp:simplePos x="0" y="0"/>
                <wp:positionH relativeFrom="column">
                  <wp:align>left</wp:align>
                </wp:positionH>
                <wp:positionV relativeFrom="line">
                  <wp:align>top</wp:align>
                </wp:positionV>
                <wp:extent cx="254000" cy="525780"/>
                <wp:effectExtent l="0" t="0" r="0" b="0"/>
                <wp:wrapSquare wrapText="right"/>
                <wp:docPr id="249" name="Frame2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i w:val="false"/>
          <w:caps w:val="false"/>
          <w:smallCaps w:val="false"/>
          <w:color w:val="000000"/>
          <w:spacing w:val="-4"/>
          <w:sz w:val="20"/>
        </w:rPr>
        <w:t>German-Dutch tax treaty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caps w:val="false"/>
          <w:smallCaps w:val="false"/>
          <w:color w:val="000000"/>
          <w:spacing w:val="4"/>
          <w:sz w:val="20"/>
        </w:rPr>
        <w:t>Wet op de vennootschapsbelasting 1969</w:t>
      </w:r>
      <w:r>
        <w:rPr>
          <w:rFonts w:ascii="Times New Roman;Times;serif" w:hAnsi="Times New Roman;Times;serif"/>
          <w:b w:val="false"/>
          <w:i w:val="false"/>
          <w:caps w:val="false"/>
          <w:smallCaps w:val="false"/>
          <w:color w:val="000000"/>
          <w:spacing w:val="4"/>
          <w:sz w:val="20"/>
        </w:rPr>
        <w:t xml:space="preserve">) and is resident or deemed to be resident in the Netherlands for Dutch corporate tax purposes; or </w:t>
      </w:r>
      <w:r>
        <mc:AlternateContent>
          <mc:Choice Requires="wps">
            <w:drawing>
              <wp:anchor behindDoc="0" distT="97790" distB="0" distL="254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in the Netherlands, to which the Ordinary Shares are attributable. </w:t>
      </w:r>
      <w:r>
        <mc:AlternateContent>
          <mc:Choice Requires="wps">
            <w:drawing>
              <wp:anchor behindDoc="0" distT="99060" distB="0" distL="25400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 on Income and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Residents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b w:val="false"/>
          <w:i/>
          <w:caps w:val="false"/>
          <w:smallCaps w:val="false"/>
          <w:color w:val="000000"/>
          <w:spacing w:val="4"/>
          <w:sz w:val="20"/>
        </w:rPr>
        <w:t>vennootschapsbelasting</w:t>
      </w:r>
      <w:r>
        <w:rPr>
          <w:rFonts w:ascii="Times New Roman;Times;serif" w:hAnsi="Times New Roman;Times;serif"/>
          <w:b w:val="false"/>
          <w:i w:val="false"/>
          <w:caps w:val="false"/>
          <w:smallCaps w:val="false"/>
          <w:color w:val="000000"/>
          <w:spacing w:val="4"/>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b w:val="false"/>
          <w:i/>
          <w:caps w:val="false"/>
          <w:smallCaps w:val="false"/>
          <w:color w:val="000000"/>
          <w:spacing w:val="4"/>
          <w:sz w:val="20"/>
        </w:rPr>
        <w:t>deelnemingsvrijstelling</w:t>
      </w:r>
      <w:r>
        <w:rPr>
          <w:rFonts w:ascii="Times New Roman;Times;serif" w:hAnsi="Times New Roman;Times;serif"/>
          <w:b w:val="false"/>
          <w:i w:val="false"/>
          <w:caps w:val="false"/>
          <w:smallCaps w:val="false"/>
          <w:color w:val="000000"/>
          <w:spacing w:val="4"/>
          <w:sz w:val="20"/>
        </w:rPr>
        <w:t xml:space="preserve">) with respect to such Ordinary Shares. Generally speaking, the entity holding Ordinary Shares will have the benefit of the participation exemption if the entity owns at least 5% of the nominal paid-up share capital of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or capital gain is attributable to an enterprise from which the holder derives profits (other than as a shareholder); or </w:t>
      </w:r>
      <w:r>
        <mc:AlternateContent>
          <mc:Choice Requires="wps">
            <w:drawing>
              <wp:anchor behindDoc="0" distT="97790" distB="0" distL="25400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b w:val="false"/>
          <w:i/>
          <w:caps w:val="false"/>
          <w:smallCaps w:val="false"/>
          <w:color w:val="000000"/>
          <w:spacing w:val="4"/>
          <w:sz w:val="20"/>
        </w:rPr>
        <w:t>Wet tegenbewijsregeling box 3</w:t>
      </w:r>
      <w:r>
        <w:rPr>
          <w:rFonts w:ascii="Times New Roman;Times;serif" w:hAnsi="Times New Roman;Times;serif"/>
          <w:b w:val="false"/>
          <w:i w:val="false"/>
          <w:caps w:val="false"/>
          <w:smallCaps w:val="false"/>
          <w:color w:val="000000"/>
          <w:spacing w:val="4"/>
          <w:sz w:val="20"/>
        </w:rPr>
        <w:t>) — is lower than the applicable aggregate deemed return, the taxable basis should be that lower amount.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taxable income from savings and investments (including the Ordinary Shares and Public Warrants) will be taxed at the prevailing statutory rate (36%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Non-residents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which is not and is not deemed to be resident in the Netherlands for the relevant tax purposes will not be subject to taxation in the Netherlands on income or a capital gain derived from Ordinary Shares and Warrants,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taxable in the Netherlands and the Shareholder or Warrant Holder derives profits from such enterprise (other than by way of the holding of securities); or </w:t>
      </w:r>
      <w:r>
        <mc:AlternateContent>
          <mc:Choice Requires="wps">
            <w:drawing>
              <wp:anchor behindDoc="0" distT="10541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or Warrant Holder is an individual and 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in the Netherlands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Gift and Inheritance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gift or inheritance taxes will not be levied on the occasion of the transfer of a Shareholder or Warrant Holder by way of gift by, or on the death of, a holder,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or is deemed to be resident in the Netherlands for the purpose of the relevant provisions; or </w:t>
      </w:r>
      <w:r>
        <mc:AlternateContent>
          <mc:Choice Requires="wps">
            <w:drawing>
              <wp:anchor behindDoc="0" distT="10541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is construed as an inheritance or gift made by, or on behalf of, a person who, at the time of the gift or death, is or is deemed to be resident in the Netherlands for the purpose of the relevant provisions. </w:t>
      </w:r>
      <w:r>
        <mc:AlternateContent>
          <mc:Choice Requires="wps">
            <w:drawing>
              <wp:anchor behindDoc="0" distT="10541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Added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Taxes and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registration tax, stamp duty, or any other similar tax or duty payable in the Netherlands in respect of or in connection with the subscription, issue, placement, allotment, delivery or transfer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German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b w:val="false"/>
          <w:i/>
          <w:caps w:val="false"/>
          <w:smallCaps w:val="false"/>
          <w:color w:val="000000"/>
          <w:spacing w:val="4"/>
          <w:sz w:val="20"/>
        </w:rPr>
        <w:t>Umwandlungssteuergesetz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Residency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German Taxation of Holders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Dividends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b w:val="false"/>
          <w:i/>
          <w:caps w:val="false"/>
          <w:smallCaps w:val="false"/>
          <w:color w:val="000000"/>
          <w:spacing w:val="4"/>
          <w:sz w:val="20"/>
        </w:rPr>
        <w:t>steuerliches Einlagekonto</w:t>
      </w:r>
      <w:r>
        <w:rPr>
          <w:rFonts w:ascii="Times New Roman;Times;serif" w:hAnsi="Times New Roman;Times;serif"/>
          <w:b w:val="false"/>
          <w:i w:val="false"/>
          <w:caps w:val="false"/>
          <w:smallCaps w:val="false"/>
          <w:color w:val="000000"/>
          <w:spacing w:val="4"/>
          <w:sz w:val="20"/>
        </w:rPr>
        <w:t xml:space="preserve">)) or fully or partially withholding tax exempt, as further described. The withholding tax rate is 25% plus a 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solidarity surcharge (</w:t>
      </w:r>
      <w:r>
        <w:rPr>
          <w:rFonts w:ascii="Times New Roman;Times;serif" w:hAnsi="Times New Roman;Times;serif"/>
          <w:b w:val="false"/>
          <w:i/>
          <w:caps w:val="false"/>
          <w:smallCaps w:val="false"/>
          <w:color w:val="000000"/>
          <w:spacing w:val="4"/>
          <w:sz w:val="20"/>
        </w:rPr>
        <w:t>Solidaritätszuschlag</w:t>
      </w:r>
      <w:r>
        <w:rPr>
          <w:rFonts w:ascii="Times New Roman;Times;serif" w:hAnsi="Times New Roman;Times;serif"/>
          <w:b w:val="false"/>
          <w:i w:val="false"/>
          <w:caps w:val="false"/>
          <w:smallCaps w:val="false"/>
          <w:color w:val="000000"/>
          <w:spacing w:val="4"/>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by the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that keeps and administers the Ordinary Shares and disburses or credits the dividends or disburses the dividends to a foreign agent, or by the securities custodian bank (</w:t>
      </w:r>
      <w:r>
        <w:rPr>
          <w:rFonts w:ascii="Times New Roman;Times;serif" w:hAnsi="Times New Roman;Times;serif"/>
          <w:b w:val="false"/>
          <w:i/>
          <w:caps w:val="false"/>
          <w:smallCaps w:val="false"/>
          <w:color w:val="000000"/>
          <w:spacing w:val="4"/>
          <w:sz w:val="20"/>
        </w:rPr>
        <w:t>Wertpapiersammelbank</w:t>
      </w:r>
      <w:r>
        <w:rPr>
          <w:rFonts w:ascii="Times New Roman;Times;serif" w:hAnsi="Times New Roman;Times;serif"/>
          <w:b w:val="false"/>
          <w:i w:val="false"/>
          <w:caps w:val="false"/>
          <w:smallCaps w:val="false"/>
          <w:color w:val="000000"/>
          <w:spacing w:val="4"/>
          <w:sz w:val="20"/>
        </w:rPr>
        <w:t xml:space="preserve">)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not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received by corporate bodies (</w:t>
      </w:r>
      <w:r>
        <w:rPr>
          <w:rFonts w:ascii="Times New Roman;Times;serif" w:hAnsi="Times New Roman;Times;serif"/>
          <w:b w:val="false"/>
          <w:i/>
          <w:caps w:val="false"/>
          <w:smallCaps w:val="false"/>
          <w:color w:val="000000"/>
          <w:spacing w:val="4"/>
          <w:sz w:val="20"/>
        </w:rPr>
        <w:t>Körperschaften</w:t>
      </w:r>
      <w:r>
        <w:rPr>
          <w:rFonts w:ascii="Times New Roman;Times;serif" w:hAnsi="Times New Roman;Times;serif"/>
          <w:b w:val="false"/>
          <w:i w:val="false"/>
          <w:caps w:val="false"/>
          <w:smallCaps w:val="false"/>
          <w:color w:val="000000"/>
          <w:spacing w:val="4"/>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b w:val="false"/>
          <w:i/>
          <w:caps w:val="false"/>
          <w:smallCaps w:val="false"/>
          <w:color w:val="000000"/>
          <w:spacing w:val="4"/>
          <w:sz w:val="20"/>
        </w:rPr>
        <w:t>Bundeszentralamt für Steuern</w:t>
      </w:r>
      <w:r>
        <w:rPr>
          <w:rFonts w:ascii="Times New Roman;Times;serif" w:hAnsi="Times New Roman;Times;serif"/>
          <w:b w:val="false"/>
          <w:i w:val="false"/>
          <w:caps w:val="false"/>
          <w:smallCaps w:val="false"/>
          <w:color w:val="000000"/>
          <w:spacing w:val="4"/>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b w:val="false"/>
          <w:i/>
          <w:caps w:val="false"/>
          <w:smallCaps w:val="false"/>
          <w:color w:val="000000"/>
          <w:spacing w:val="4"/>
          <w:sz w:val="20"/>
        </w:rPr>
        <w:t>Kapitalertragsteuerbescheinigung</w:t>
      </w:r>
      <w:r>
        <w:rPr>
          <w:rFonts w:ascii="Times New Roman;Times;serif" w:hAnsi="Times New Roman;Times;serif"/>
          <w:b w:val="false"/>
          <w:i w:val="false"/>
          <w:caps w:val="false"/>
          <w:smallCaps w:val="false"/>
          <w:color w:val="000000"/>
          <w:spacing w:val="4"/>
          <w:sz w:val="20"/>
        </w:rPr>
        <w:t xml:space="preserve">)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solidarity surcharge, and the tax liability determined on the basis of the EU Parent Subsidiary Directive (0) % or on the basis of the tax rate set forth in the applicable tax treaty (15%, 5% or 0) % is refunded by the German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b w:val="false"/>
          <w:i/>
          <w:caps w:val="false"/>
          <w:smallCaps w:val="false"/>
          <w:color w:val="000000"/>
          <w:spacing w:val="4"/>
          <w:sz w:val="20"/>
        </w:rPr>
        <w:t>Freistellungsbescheinigung</w:t>
      </w:r>
      <w:r>
        <w:rPr>
          <w:rFonts w:ascii="Times New Roman;Times;serif" w:hAnsi="Times New Roman;Times;serif"/>
          <w:b w:val="false"/>
          <w:i w:val="false"/>
          <w:caps w:val="false"/>
          <w:smallCaps w:val="false"/>
          <w:color w:val="000000"/>
          <w:spacing w:val="4"/>
          <w:sz w:val="20"/>
        </w:rPr>
        <w:t xml:space="preserve">) that documents that the prerequisites for the application of the reduced withholding tax rates have been met. Dividends covered by the exemption certificate of the shareholder are then only subject to the reduced withholding tax rates stipulated in the exemption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b w:val="false"/>
          <w:i/>
          <w:caps w:val="false"/>
          <w:smallCaps w:val="false"/>
          <w:color w:val="000000"/>
          <w:spacing w:val="4"/>
          <w:sz w:val="20"/>
        </w:rPr>
        <w:t>Freistellungsverfahren</w:t>
      </w:r>
      <w:r>
        <w:rPr>
          <w:rFonts w:ascii="Times New Roman;Times;serif" w:hAnsi="Times New Roman;Times;serif"/>
          <w:b w:val="false"/>
          <w:i w:val="false"/>
          <w:caps w:val="false"/>
          <w:smallCaps w:val="false"/>
          <w:color w:val="000000"/>
          <w:spacing w:val="4"/>
          <w:sz w:val="20"/>
        </w:rPr>
        <w:t>) and 615 days for deciding about refunds under the retain and refund procedures (</w:t>
      </w:r>
      <w:r>
        <w:rPr>
          <w:rFonts w:ascii="Times New Roman;Times;serif" w:hAnsi="Times New Roman;Times;serif"/>
          <w:b w:val="false"/>
          <w:i/>
          <w:caps w:val="false"/>
          <w:smallCaps w:val="false"/>
          <w:color w:val="000000"/>
          <w:spacing w:val="4"/>
          <w:sz w:val="20"/>
        </w:rPr>
        <w:t>Erstattungsverfahren</w:t>
      </w:r>
      <w:r>
        <w:rPr>
          <w:rFonts w:ascii="Times New Roman;Times;serif" w:hAnsi="Times New Roman;Times;serif"/>
          <w:b w:val="false"/>
          <w:i w:val="false"/>
          <w:caps w:val="false"/>
          <w:smallCaps w:val="false"/>
          <w:color w:val="000000"/>
          <w:spacing w:val="4"/>
          <w:sz w:val="20"/>
        </w:rPr>
        <w:t xml:space="preserve">). According to a recent statement on the website of the German Federal Central Tax Office, due to the large number of applications received, processing times for refund can exceed 20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or corporate shareholders tax resident outside Germany not holding the Ordinary Shares through a permanent establishment (</w:t>
      </w:r>
      <w:r>
        <w:rPr>
          <w:rFonts w:ascii="Times New Roman;Times;serif" w:hAnsi="Times New Roman;Times;serif"/>
          <w:b w:val="false"/>
          <w:i/>
          <w:caps w:val="false"/>
          <w:smallCaps w:val="false"/>
          <w:color w:val="000000"/>
          <w:spacing w:val="4"/>
          <w:sz w:val="20"/>
        </w:rPr>
        <w:t>Betriebsstätte</w:t>
      </w:r>
      <w:r>
        <w:rPr>
          <w:rFonts w:ascii="Times New Roman;Times;serif" w:hAnsi="Times New Roman;Times;serif"/>
          <w:b w:val="false"/>
          <w:i w:val="false"/>
          <w:caps w:val="false"/>
          <w:smallCaps w:val="false"/>
          <w:color w:val="000000"/>
          <w:spacing w:val="4"/>
          <w:sz w:val="20"/>
        </w:rPr>
        <w:t>) in Germany or as business assets (</w:t>
      </w:r>
      <w:r>
        <w:rPr>
          <w:rFonts w:ascii="Times New Roman;Times;serif" w:hAnsi="Times New Roman;Times;serif"/>
          <w:b w:val="false"/>
          <w:i/>
          <w:caps w:val="false"/>
          <w:smallCaps w:val="false"/>
          <w:color w:val="000000"/>
          <w:spacing w:val="4"/>
          <w:sz w:val="20"/>
        </w:rPr>
        <w:t>Betriebsvermögen</w:t>
      </w:r>
      <w:r>
        <w:rPr>
          <w:rFonts w:ascii="Times New Roman;Times;serif" w:hAnsi="Times New Roman;Times;serif"/>
          <w:b w:val="false"/>
          <w:i w:val="false"/>
          <w:caps w:val="false"/>
          <w:smallCaps w:val="false"/>
          <w:color w:val="000000"/>
          <w:spacing w:val="4"/>
          <w:sz w:val="20"/>
        </w:rPr>
        <w:t>) for which a permanent representative (</w:t>
      </w:r>
      <w:r>
        <w:rPr>
          <w:rFonts w:ascii="Times New Roman;Times;serif" w:hAnsi="Times New Roman;Times;serif"/>
          <w:b w:val="false"/>
          <w:i/>
          <w:caps w:val="false"/>
          <w:smallCaps w:val="false"/>
          <w:color w:val="000000"/>
          <w:spacing w:val="4"/>
          <w:sz w:val="20"/>
        </w:rPr>
        <w:t>ständiger Vertreter</w:t>
      </w:r>
      <w:r>
        <w:rPr>
          <w:rFonts w:ascii="Times New Roman;Times;serif" w:hAnsi="Times New Roman;Times;serif"/>
          <w:b w:val="false"/>
          <w:i w:val="false"/>
          <w:caps w:val="false"/>
          <w:smallCaps w:val="false"/>
          <w:color w:val="000000"/>
          <w:spacing w:val="4"/>
          <w:sz w:val="20"/>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xml:space="preserve">), subject to the exceptions described in the following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dividend income will be taxed at a flat tax rate of 25% plus 5.5% solidarity surcharge thereon totaling 26.375% and church tax (</w:t>
      </w:r>
      <w:r>
        <w:rPr>
          <w:rFonts w:ascii="Times New Roman;Times;serif" w:hAnsi="Times New Roman;Times;serif"/>
          <w:b w:val="false"/>
          <w:i/>
          <w:caps w:val="false"/>
          <w:smallCaps w:val="false"/>
          <w:color w:val="000000"/>
          <w:spacing w:val="4"/>
          <w:sz w:val="20"/>
        </w:rPr>
        <w:t>Kirchensteuer</w:t>
      </w:r>
      <w:r>
        <w:rPr>
          <w:rFonts w:ascii="Times New Roman;Times;serif" w:hAnsi="Times New Roman;Times;serif"/>
          <w:b w:val="false"/>
          <w:i w:val="false"/>
          <w:caps w:val="false"/>
          <w:smallCaps w:val="false"/>
          <w:color w:val="000000"/>
          <w:spacing w:val="4"/>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Exceptions from the flat rate tax (satisfied by withholding the tax at source, A</w:t>
      </w:r>
      <w:r>
        <w:rPr>
          <w:rFonts w:ascii="Times New Roman;Times;serif" w:hAnsi="Times New Roman;Times;serif"/>
          <w:b w:val="false"/>
          <w:i/>
          <w:caps w:val="false"/>
          <w:smallCaps w:val="false"/>
          <w:color w:val="000000"/>
          <w:spacing w:val="4"/>
          <w:sz w:val="20"/>
        </w:rPr>
        <w:t>bgeltungswirkung</w:t>
      </w:r>
      <w:r>
        <w:rPr>
          <w:rFonts w:ascii="Times New Roman;Times;serif" w:hAnsi="Times New Roman;Times;serif"/>
          <w:b w:val="false"/>
          <w:i w:val="false"/>
          <w:caps w:val="false"/>
          <w:smallCaps w:val="false"/>
          <w:color w:val="000000"/>
          <w:spacing w:val="4"/>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b w:val="false"/>
          <w:i/>
          <w:caps w:val="false"/>
          <w:smallCaps w:val="false"/>
          <w:color w:val="000000"/>
          <w:spacing w:val="4"/>
          <w:sz w:val="20"/>
        </w:rPr>
        <w:t>Taxation of Dividend Income of Shareholders Tax Resident in Germany Holding Ordinary Shares as Business Assets — Sole Proprietors</w:t>
      </w:r>
      <w:r>
        <w:rPr>
          <w:rFonts w:ascii="Times New Roman;Times;serif" w:hAnsi="Times New Roman;Times;serif"/>
          <w:b w:val="false"/>
          <w:i w:val="false"/>
          <w:caps w:val="false"/>
          <w:smallCaps w:val="false"/>
          <w:color w:val="000000"/>
          <w:spacing w:val="4"/>
          <w:sz w:val="20"/>
        </w:rPr>
        <w:t xml:space="preserve">”). Further, the flat rate tax does not apply if and to the extent dividends reduced Schmid taxable income.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the dividend income depends on whether the respective shareholder is a corporation, a sole proprietor 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b w:val="false"/>
          <w:i/>
          <w:caps w:val="false"/>
          <w:smallCaps w:val="false"/>
          <w:color w:val="000000"/>
          <w:spacing w:val="4"/>
          <w:sz w:val="20"/>
        </w:rPr>
        <w:t>Mitunternehmerschaften</w:t>
      </w:r>
      <w:r>
        <w:rPr>
          <w:rFonts w:ascii="Times New Roman;Times;serif" w:hAnsi="Times New Roman;Times;serif"/>
          <w:b w:val="false"/>
          <w:i w:val="false"/>
          <w:caps w:val="false"/>
          <w:smallCaps w:val="false"/>
          <w:color w:val="000000"/>
          <w:spacing w:val="4"/>
          <w:sz w:val="20"/>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b w:val="false"/>
          <w:i/>
          <w:caps w:val="false"/>
          <w:smallCaps w:val="false"/>
          <w:color w:val="000000"/>
          <w:spacing w:val="4"/>
          <w:sz w:val="20"/>
        </w:rPr>
        <w:t>Erhebungszeitraum</w:t>
      </w:r>
      <w:r>
        <w:rPr>
          <w:rFonts w:ascii="Times New Roman;Times;serif" w:hAnsi="Times New Roman;Times;serif"/>
          <w:b w:val="false"/>
          <w:i w:val="false"/>
          <w:caps w:val="false"/>
          <w:smallCaps w:val="false"/>
          <w:color w:val="000000"/>
          <w:spacing w:val="4"/>
          <w:sz w:val="20"/>
        </w:rPr>
        <w:t xml:space="preserve">). In such case, the dividends are not subject to trade tax. However, trade tax is levied on the amount considered to be a non-deductible business expense (amounting to 5% of the dividend).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tax depends on the municipal trade tax multiplier applied by the relevant municipal authority. In the case of an indirect participation via a partnership, please refer to the section “— </w:t>
      </w:r>
      <w:r>
        <w:rPr>
          <w:rFonts w:ascii="Times New Roman;Times;serif" w:hAnsi="Times New Roman;Times;serif"/>
          <w:b w:val="false"/>
          <w:i/>
          <w:caps w:val="false"/>
          <w:smallCaps w:val="false"/>
          <w:color w:val="000000"/>
          <w:spacing w:val="4"/>
          <w:sz w:val="20"/>
        </w:rPr>
        <w:t>Partnerships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sole proprietors (individuals) resident in Germany holding Ordinary Shares as business assets, dividends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dividend income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the dividend income will be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partner is a private individual — only possible if the partnership is not a (operative or deemed) commercial partnership, the dividend income will be subject to the flat tax rate (see above “— </w:t>
      </w:r>
      <w:r>
        <w:rPr>
          <w:rFonts w:ascii="Times New Roman;Times;serif" w:hAnsi="Times New Roman;Times;serif"/>
          <w:b w:val="false"/>
          <w:i/>
          <w:caps w:val="false"/>
          <w:smallCaps w:val="false"/>
          <w:color w:val="000000"/>
          <w:spacing w:val="4"/>
          <w:sz w:val="20"/>
        </w:rPr>
        <w:t>Private Individuals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b w:val="false"/>
          <w:i/>
          <w:caps w:val="false"/>
          <w:smallCaps w:val="false"/>
          <w:color w:val="000000"/>
          <w:spacing w:val="4"/>
          <w:sz w:val="20"/>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a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xml:space="preserve">)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German Federal Central Tax Office (details related to the computation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capital gain.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xml:space="preserve">).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which may exclude aforementioned tax exemptions, if the Ordinary Shares are held by a Non-Exempt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Ordinary Shares are held by a sole proprietor, capital gains realized on the disposal of the Ordinary Shares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xml:space="preserve">).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capital gains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(individual), the capital gains are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b w:val="false"/>
          <w:i/>
          <w:caps w:val="false"/>
          <w:smallCaps w:val="false"/>
          <w:color w:val="000000"/>
          <w:spacing w:val="4"/>
          <w:sz w:val="20"/>
        </w:rPr>
        <w:t>Bundesfinanzhof</w:t>
      </w:r>
      <w:r>
        <w:rPr>
          <w:rFonts w:ascii="Times New Roman;Times;serif" w:hAnsi="Times New Roman;Times;serif"/>
          <w:b w:val="false"/>
          <w:i w:val="false"/>
          <w:caps w:val="false"/>
          <w:smallCaps w:val="false"/>
          <w:color w:val="000000"/>
          <w:spacing w:val="4"/>
          <w:sz w:val="20"/>
        </w:rPr>
        <w:t xml:space="preserve">). Additionally,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cases referred to in (i) above, most tax treaties concluded by Germany provide for a full exemption from German taxation except if the Company is considered a German real estate holding entity for treaty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German Taxation of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are likely to be taxed in particular upon certain forms of the exercise, sale or disposal of Warrants (taxation of capital gains) and the gratuitous transfer of Warrants (inheritance and gift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Not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however, that the German tax authorities have not confirmed the above treatment for the exercise of U.S. warrants, but only for the exercise of convertible bonds (</w:t>
      </w:r>
      <w:r>
        <w:rPr>
          <w:rFonts w:ascii="Times New Roman;Times;serif" w:hAnsi="Times New Roman;Times;serif"/>
          <w:b w:val="false"/>
          <w:i/>
          <w:caps w:val="false"/>
          <w:smallCaps w:val="false"/>
          <w:color w:val="000000"/>
          <w:spacing w:val="4"/>
          <w:sz w:val="20"/>
        </w:rPr>
        <w:t>Wandelschuldverschreibungen, Optionsscheine</w:t>
      </w:r>
      <w:r>
        <w:rPr>
          <w:rFonts w:ascii="Times New Roman;Times;serif" w:hAnsi="Times New Roman;Times;serif"/>
          <w:b w:val="false"/>
          <w:i w:val="false"/>
          <w:caps w:val="false"/>
          <w:smallCaps w:val="false"/>
          <w:color w:val="000000"/>
          <w:spacing w:val="4"/>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assessed jointly for all investment income received in a given year. Upon the non-business holder of the Warrants filing an exemption certificate (</w:t>
      </w:r>
      <w:r>
        <w:rPr>
          <w:rFonts w:ascii="Times New Roman;Times;serif" w:hAnsi="Times New Roman;Times;serif"/>
          <w:b w:val="false"/>
          <w:i/>
          <w:caps w:val="false"/>
          <w:smallCaps w:val="false"/>
          <w:color w:val="000000"/>
          <w:spacing w:val="4"/>
          <w:sz w:val="20"/>
        </w:rPr>
        <w:t>Freistellungsauftrag</w:t>
      </w:r>
      <w:r>
        <w:rPr>
          <w:rFonts w:ascii="Times New Roman;Times;serif" w:hAnsi="Times New Roman;Times;serif"/>
          <w:b w:val="false"/>
          <w:i w:val="false"/>
          <w:caps w:val="false"/>
          <w:smallCaps w:val="false"/>
          <w:color w:val="000000"/>
          <w:spacing w:val="4"/>
          <w:sz w:val="20"/>
        </w:rPr>
        <w:t xml:space="preserve">) with the Disbursing Agent, the Disbursing Agent will take the allowance into account when computing the amount of tax to be withheld.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withholding tax will be deducted if the holder of the Warrants has submitted to the Disbursing Agent a certificate of non-assessment (</w:t>
      </w:r>
      <w:r>
        <w:rPr>
          <w:rFonts w:ascii="Times New Roman;Times;serif" w:hAnsi="Times New Roman;Times;serif"/>
          <w:b w:val="false"/>
          <w:i/>
          <w:caps w:val="false"/>
          <w:smallCaps w:val="false"/>
          <w:color w:val="000000"/>
          <w:spacing w:val="4"/>
          <w:sz w:val="20"/>
        </w:rPr>
        <w:t>Nichtveranlagungs-Bescheinigung</w:t>
      </w:r>
      <w:r>
        <w:rPr>
          <w:rFonts w:ascii="Times New Roman;Times;serif" w:hAnsi="Times New Roman;Times;serif"/>
          <w:b w:val="false"/>
          <w:i w:val="false"/>
          <w:caps w:val="false"/>
          <w:smallCaps w:val="false"/>
          <w:color w:val="000000"/>
          <w:spacing w:val="4"/>
          <w:sz w:val="20"/>
        </w:rPr>
        <w:t xml:space="preserve">) issued by the competent local tax office. The deduction of expenses related to the investment income (including gains with respect to the Warrants) is generally not possible for private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Individuals as the Holders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then will also be taxed at a rate of 25% (plus solidarity surcharge of 5.5% thereon, resulting in an aggregate rate of 26.375%; and church tax,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losses of non-business holders arising from a bad debt loss (</w:t>
      </w:r>
      <w:r>
        <w:rPr>
          <w:rFonts w:ascii="Times New Roman;Times;serif" w:hAnsi="Times New Roman;Times;serif"/>
          <w:b w:val="false"/>
          <w:i/>
          <w:caps w:val="false"/>
          <w:smallCaps w:val="false"/>
          <w:color w:val="000000"/>
          <w:spacing w:val="4"/>
          <w:sz w:val="20"/>
        </w:rPr>
        <w:t>Forderungsausfall</w:t>
      </w:r>
      <w:r>
        <w:rPr>
          <w:rFonts w:ascii="Times New Roman;Times;serif" w:hAnsi="Times New Roman;Times;serif"/>
          <w:b w:val="false"/>
          <w:i w:val="false"/>
          <w:caps w:val="false"/>
          <w:smallCaps w:val="false"/>
          <w:color w:val="000000"/>
          <w:spacing w:val="4"/>
          <w:sz w:val="20"/>
        </w:rPr>
        <w:t>), a waiver of a receivable (</w:t>
      </w:r>
      <w:r>
        <w:rPr>
          <w:rFonts w:ascii="Times New Roman;Times;serif" w:hAnsi="Times New Roman;Times;serif"/>
          <w:b w:val="false"/>
          <w:i/>
          <w:caps w:val="false"/>
          <w:smallCaps w:val="false"/>
          <w:color w:val="000000"/>
          <w:spacing w:val="4"/>
          <w:sz w:val="20"/>
        </w:rPr>
        <w:t>Forderungsverzicht</w:t>
      </w:r>
      <w:r>
        <w:rPr>
          <w:rFonts w:ascii="Times New Roman;Times;serif" w:hAnsi="Times New Roman;Times;serif"/>
          <w:b w:val="false"/>
          <w:i w:val="false"/>
          <w:caps w:val="false"/>
          <w:smallCaps w:val="false"/>
          <w:color w:val="000000"/>
          <w:spacing w:val="4"/>
          <w:sz w:val="20"/>
        </w:rPr>
        <w:t xml:space="preserve">) or a transfer of an impaired receivable to a third party or from any other default can only be offset against other income from capital investments and only up to an amount of €20,000 per year. The same rules may apply if the Warrants expire worthless or lapse.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 Sole Proprietors and 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can be carried forward indefinitely and, within certain limitations, applied against profits from income from capital investments (including but not limited to profits from other warrants) in subsequent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physical settlement of the Warrants, please see the above sections on disposal of Ordinary Shares for German taxation of the disposal or other transaction involving a resulting Ordinary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Solidarity Surcharge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burden for an individual holder is lower than 25%, the holder can apply for his or her capital investment income being assessed at his or her individual tariff-based income tax rate, in which case solidarity surcharge should be refunded.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Inheritance and Gift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Ordinary Shares or Warrants to another person by way of succession or donation is subject to German inheritance and gift tax (Erbschaft-und Schenkungsteuer) if at the time of transfer: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decedent, the donor, the heir, the donee or any other beneficiary has his/her/its residence, domicile, registered office or place of management in Germany, or is a German citizen who has not stayed abroad for more than five consecutive years without having a residence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(irrespective of the personal circumstances) the Ordinary Shares or Warrants are held by the decedent or donor as business assets for which a permanent establishment in Germany is maintained or a permanent representative is appointed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b w:val="false"/>
          <w:i/>
          <w:caps w:val="false"/>
          <w:smallCaps w:val="false"/>
          <w:color w:val="000000"/>
          <w:spacing w:val="4"/>
          <w:sz w:val="20"/>
        </w:rPr>
        <w:t>Außensteuergesetz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Value Added Tax (VAT)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value added tax (</w:t>
      </w:r>
      <w:r>
        <w:rPr>
          <w:rFonts w:ascii="Times New Roman;Times;serif" w:hAnsi="Times New Roman;Times;serif"/>
          <w:b w:val="false"/>
          <w:i/>
          <w:caps w:val="false"/>
          <w:smallCaps w:val="false"/>
          <w:color w:val="000000"/>
          <w:spacing w:val="4"/>
          <w:sz w:val="20"/>
        </w:rPr>
        <w:t>Umsatzsteuer</w:t>
      </w:r>
      <w:r>
        <w:rPr>
          <w:rFonts w:ascii="Times New Roman;Times;serif" w:hAnsi="Times New Roman;Times;serif"/>
          <w:b w:val="false"/>
          <w:i w:val="false"/>
          <w:caps w:val="false"/>
          <w:smallCaps w:val="false"/>
          <w:color w:val="000000"/>
          <w:spacing w:val="4"/>
          <w:sz w:val="20"/>
        </w:rPr>
        <w:t xml:space="preserve">)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capital transfer tax (</w:t>
      </w:r>
      <w:r>
        <w:rPr>
          <w:rFonts w:ascii="Times New Roman;Times;serif" w:hAnsi="Times New Roman;Times;serif"/>
          <w:b w:val="false"/>
          <w:i/>
          <w:caps w:val="false"/>
          <w:smallCaps w:val="false"/>
          <w:color w:val="000000"/>
          <w:spacing w:val="4"/>
          <w:sz w:val="20"/>
        </w:rPr>
        <w:t>Kapitalverkehrsteuer</w:t>
      </w:r>
      <w:r>
        <w:rPr>
          <w:rFonts w:ascii="Times New Roman;Times;serif" w:hAnsi="Times New Roman;Times;serif"/>
          <w:b w:val="false"/>
          <w:i w:val="false"/>
          <w:caps w:val="false"/>
          <w:smallCaps w:val="false"/>
          <w:color w:val="000000"/>
          <w:spacing w:val="4"/>
          <w:sz w:val="20"/>
        </w:rPr>
        <w:t>) or stamp duty (</w:t>
      </w:r>
      <w:r>
        <w:rPr>
          <w:rFonts w:ascii="Times New Roman;Times;serif" w:hAnsi="Times New Roman;Times;serif"/>
          <w:b w:val="false"/>
          <w:i/>
          <w:caps w:val="false"/>
          <w:smallCaps w:val="false"/>
          <w:color w:val="000000"/>
          <w:spacing w:val="4"/>
          <w:sz w:val="20"/>
        </w:rPr>
        <w:t>Stempelgebühr</w:t>
      </w:r>
      <w:r>
        <w:rPr>
          <w:rFonts w:ascii="Times New Roman;Times;serif" w:hAnsi="Times New Roman;Times;serif"/>
          <w:b w:val="false"/>
          <w:i w:val="false"/>
          <w:caps w:val="false"/>
          <w:smallCaps w:val="false"/>
          <w:color w:val="000000"/>
          <w:spacing w:val="4"/>
          <w:sz w:val="20"/>
        </w:rPr>
        <w:t>) or similar taxes are levied when acquiring, owning or disposing the Ordinary Shares or Warrants. Net wealth tax (</w:t>
      </w:r>
      <w:r>
        <w:rPr>
          <w:rFonts w:ascii="Times New Roman;Times;serif" w:hAnsi="Times New Roman;Times;serif"/>
          <w:b w:val="false"/>
          <w:i/>
          <w:caps w:val="false"/>
          <w:smallCaps w:val="false"/>
          <w:color w:val="000000"/>
          <w:spacing w:val="4"/>
          <w:sz w:val="20"/>
        </w:rPr>
        <w:t>Vermögensteuer</w:t>
      </w:r>
      <w:r>
        <w:rPr>
          <w:rFonts w:ascii="Times New Roman;Times;serif" w:hAnsi="Times New Roman;Times;serif"/>
          <w:b w:val="false"/>
          <w:i w:val="false"/>
          <w:caps w:val="false"/>
          <w:smallCaps w:val="false"/>
          <w:color w:val="000000"/>
          <w:spacing w:val="4"/>
          <w:sz w:val="20"/>
        </w:rPr>
        <w:t>) is currently not levied in Germany. German real estate transfer tax (</w:t>
      </w:r>
      <w:r>
        <w:rPr>
          <w:rFonts w:ascii="Times New Roman;Times;serif" w:hAnsi="Times New Roman;Times;serif"/>
          <w:b w:val="false"/>
          <w:i/>
          <w:caps w:val="false"/>
          <w:smallCaps w:val="false"/>
          <w:color w:val="000000"/>
          <w:spacing w:val="4"/>
          <w:sz w:val="20"/>
        </w:rPr>
        <w:t>Grunderwerbsteuer</w:t>
      </w:r>
      <w:r>
        <w:rPr>
          <w:rFonts w:ascii="Times New Roman;Times;serif" w:hAnsi="Times New Roman;Times;serif"/>
          <w:b w:val="false"/>
          <w:i w:val="false"/>
          <w:caps w:val="false"/>
          <w:smallCaps w:val="false"/>
          <w:color w:val="000000"/>
          <w:spacing w:val="4"/>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b w:val="false"/>
          <w:i/>
          <w:caps w:val="false"/>
          <w:smallCaps w:val="false"/>
          <w:color w:val="000000"/>
          <w:spacing w:val="4"/>
          <w:sz w:val="20"/>
        </w:rPr>
        <w:t>Grunderwerbsteuergesetz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LO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(i) the issuance by us of up to 21,000,000 Ordinary Shares issuable upon the exercise of our outstanding public warrants and (ii) the resale from time to time by the Selling Securityholders identified in this prospectus of up to 89,341,198 Ordinary Shares (including Ordinary Shares issuable upon conversion of the 2028 Convertible Notes, upon exercise of the 2026 Warrants, upon the conversion of the 2025 Convertible Loan, upon exercise of the 2025 Options, and the issued shares to XJ Harbour as well as existing outstanding shares issued in connection with the Business Combination which remain unsold as of the date of this prospectus) and up to 9,750,000 Private Warrants. We are not selling any securities under this prospectus and will not receive any proceeds from the resale of securities by the Selling Securityholders. We will receive proceeds from the exercise of warrants and options only to the extent such warrants and/or options are exercised for cash. The Selling Securityholders may sell, transfer or otherwise dispose of the securities covered by this prospectus from time to time in one or more transactions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any sale by the Selling Securityholders of the securities being registered hereunder, except with respect to amounts received by us upon exercise of our warrants to the extent such warrants are exercised for cash and proceeds from certain investors for shares sold before the Business Combination but issued thereafter. See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We will bear all costs, expenses and fees in connection with the registration of the securities offered by this prospectus, whereas the Selling Securityholders will bear all incremental selling expenses, including commissions, brokerage fees and other similar selling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Selling Securityholders, which as used here includes donees, pledgees, transferees or other successors-in-interest selling ordinary shares or warrants received after the date of this prospectus from a Selling Securityholder as a gift, pledge, partnership distribution or other transfer, may, from time to time, sell, transfer or otherwise dispose of any or all of their ordinary shares or warrants on any stock exchange, market or trading facility on which the shares or warrants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securities exchange or quotation service on which the securities may be listed or quoted at the time of sale;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these exchanges or systems or in the over-the-counter market;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whether such options are listed on an options exchange or otherwise;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made after the date the Registration Statement is declared effective by the SEC;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a selling security holder to sell a specified number of such shares at a stipulated price per share;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0" distB="0" distL="254000" distR="0" simplePos="0" locked="0" layoutInCell="1" allowOverlap="1" relativeHeight="275">
                <wp:simplePos x="0" y="0"/>
                <wp:positionH relativeFrom="column">
                  <wp:align>left</wp:align>
                </wp:positionH>
                <wp:positionV relativeFrom="line">
                  <wp:posOffset>635</wp:posOffset>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pledge or grant a security interest in some or all of the notes, warrants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Ordinary Shares in other circumstances in which case the transferees, donees, pledgees or other successors in interest will be the selling beneficial owners for purposes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Selling Securityholders will sell any or all of the Ordinary Shares registered pursuant to the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Securityholders will pay all underwriting discounts and selling commissions, if any. 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Securityholders specifically for use in this prospectus, in accordance with the related registration rights agreements or we may be entitled to contribution.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sold under the registration statement, of which this prospectus forms a part, the Ordinary Shares will be freely tradable in the hands of persons other than our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EFF"/>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66,637,954 Ordinary Shares authorized,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a service agreement with its CFO, Arthur Schuetz and into a share incentive plan with Helmut Rauch, the COO of the SCHMID Group under which certain amounts of shares are to be issued regularly. None of such shares have been issued to Arthur Schuetz or Helmut Rauch.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SEPA with Yorkville providing SCHMID access to equity financing of up to USD 30.0 million at its discretion. Under the terms of the SEPA, the Group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additional shares authorized under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Rule 144 of the Securities Act (“</w:t>
      </w: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val="false"/>
          <w:i w:val="false"/>
          <w:caps w:val="false"/>
          <w:smallCaps w:val="false"/>
          <w:color w:val="000000"/>
          <w:spacing w:val="4"/>
          <w:sz w:val="20"/>
        </w:rPr>
        <w:t xml:space="preserve">”),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2028 Convertible Notes, the 2029 Convertible Notes and the 2026 Warrants issued to accounts managed by Linden, the Company entered into registration rights agreements to register the underlying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XJ Harbour in November 2025, the Company entered into contractual arrangements requiring the registration of the shares issued to XJ Harbour on January 16,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the Company signed the SEPA with Yorkville. On May 23, 2026, the Company issued Ordinary Shares to Yorkville in satisfaction of the USD 150,000 commitment fee under the SEPA, thereby making the SEPA available for use by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2029 Convertible Notes issued to accounts managed by Linden in July 2026, the Company entered into a registration rights agreement to register the underlying shares of the 2029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R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itemization of the total expenses which are expected to be incurred by us in connection with the securities being registered hereby and the offer and sale of our Ordinary Shares and Warrants by our selling securityholders. With the exception of the SEC registration fee, all amounts are estimates. </w:t>
      </w:r>
    </w:p>
    <w:tbl>
      <w:tblPr>
        <w:tblW w:w="4430" w:type="dxa"/>
        <w:jc w:val="left"/>
        <w:tblInd w:w="1393" w:type="dxa"/>
        <w:tblLayout w:type="fixed"/>
        <w:tblCellMar>
          <w:top w:w="0" w:type="dxa"/>
          <w:left w:w="0" w:type="dxa"/>
          <w:bottom w:w="28" w:type="dxa"/>
          <w:right w:w="0" w:type="dxa"/>
        </w:tblCellMar>
      </w:tblPr>
      <w:tblGrid>
        <w:gridCol w:w="3130"/>
        <w:gridCol w:w="109"/>
        <w:gridCol w:w="109"/>
        <w:gridCol w:w="124"/>
        <w:gridCol w:w="258"/>
        <w:gridCol w:w="421"/>
        <w:gridCol w:w="125"/>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right"/>
              <w:rPr/>
            </w:pPr>
            <w:r>
              <w:rPr/>
              <w:t> </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421" w:type="dxa"/>
            <w:tcBorders>
              <w:bottom w:val="single" w:sz="2" w:space="0" w:color="000000"/>
            </w:tcBorders>
            <w:tcMar>
              <w:bottom w:w="50" w:type="dxa"/>
            </w:tcMar>
            <w:vAlign w:val="center"/>
          </w:tcPr>
          <w:p>
            <w:pPr>
              <w:pStyle w:val="TableContents"/>
              <w:bidi w:val="0"/>
              <w:spacing w:before="0" w:after="283"/>
              <w:jc w:val="right"/>
              <w:rPr/>
            </w:pPr>
            <w:r>
              <w:rPr/>
              <w:t> </w:t>
            </w:r>
            <w:r>
              <w:rPr/>
              <w:t xml:space="preserve">* </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21"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b w:val="false"/>
              </w:rPr>
              <w:t>*</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G"/>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w:t>
      </w:r>
      <w:bookmarkStart w:id="31" w:name="tEN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WCFM"/>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C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Half Year Results and Full Year Results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Index to Unaudited Interim Condensed 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4"/>
        <w:gridCol w:w="109"/>
        <w:gridCol w:w="109"/>
        <w:gridCol w:w="109"/>
        <w:gridCol w:w="109"/>
        <w:gridCol w:w="54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ind w:left="200" w:right="0" w:hanging="200"/>
              <w:jc w:val="left"/>
              <w:rPr/>
            </w:pPr>
            <w:hyperlink w:anchor="bSGNU">
              <w:r>
                <w:rPr>
                  <w:rStyle w:val="InternetLink"/>
                  <w:spacing w:val="4"/>
                </w:rPr>
                <w:t xml:space="preserve">Unaudited Condensed Consolidated Statement of Profit or Loss and Other Comprehensive Income </w:t>
              </w:r>
            </w:hyperlink>
            <w:hyperlink w:anchor="bSGNU">
              <w:r>
                <w:rPr>
                  <w:rStyle w:val="InternetLink"/>
                </w:rPr>
                <w:br/>
              </w:r>
            </w:hyperlink>
            <w:hyperlink w:anchor="bSGNU">
              <w:r>
                <w:rPr>
                  <w:rStyle w:val="InternetLink"/>
                  <w:spacing w:val="4"/>
                </w:rPr>
                <w:t xml:space="preserve">(Loss)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
              <w:r>
                <w:rPr>
                  <w:rStyle w:val="InternetLink"/>
                  <w:spacing w:val="4"/>
                </w:rPr>
                <w:t>F-2</w:t>
              </w:r>
            </w:hyperlink>
            <w:hyperlink w:anchor="bSGN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2">
              <w:r>
                <w:rPr>
                  <w:rStyle w:val="InternetLink"/>
                  <w:spacing w:val="4"/>
                </w:rPr>
                <w:t xml:space="preserve">Unaudited Condensed Consolidated Statement of Financial 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2">
              <w:r>
                <w:rPr>
                  <w:rStyle w:val="InternetLink"/>
                  <w:spacing w:val="4"/>
                </w:rPr>
                <w:t>F-3</w:t>
              </w:r>
            </w:hyperlink>
            <w:hyperlink w:anchor="bSGNU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SGNU3">
              <w:r>
                <w:rPr>
                  <w:rStyle w:val="InternetLink"/>
                  <w:spacing w:val="4"/>
                </w:rPr>
                <w:t xml:space="preserve">Unaudited Condensed Consolidated Statement of Changes in Equity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3">
              <w:r>
                <w:rPr>
                  <w:rStyle w:val="InternetLink"/>
                  <w:spacing w:val="4"/>
                </w:rPr>
                <w:t>F-4</w:t>
              </w:r>
            </w:hyperlink>
            <w:hyperlink w:anchor="bSGNU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4">
              <w:r>
                <w:rPr>
                  <w:rStyle w:val="InternetLink"/>
                  <w:spacing w:val="4"/>
                </w:rPr>
                <w:t xml:space="preserve">Unaudited Condensed Consolidated Statement of Cash Flows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4">
              <w:r>
                <w:rPr>
                  <w:rStyle w:val="InternetLink"/>
                  <w:spacing w:val="4"/>
                </w:rPr>
                <w:t>F-5</w:t>
              </w:r>
            </w:hyperlink>
            <w:hyperlink w:anchor="bSGNU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1BOP">
              <w:r>
                <w:rPr>
                  <w:rStyle w:val="InternetLink"/>
                  <w:spacing w:val="4"/>
                </w:rPr>
                <w:t xml:space="preserve">1. Basis of Preparation and Statement of Compliance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1BOP">
              <w:r>
                <w:rPr>
                  <w:rStyle w:val="InternetLink"/>
                  <w:spacing w:val="4"/>
                </w:rPr>
                <w:t>F-6</w:t>
              </w:r>
            </w:hyperlink>
            <w:hyperlink w:anchor="b1B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2EPS">
              <w:r>
                <w:rPr>
                  <w:rStyle w:val="InternetLink"/>
                  <w:spacing w:val="4"/>
                </w:rPr>
                <w:t xml:space="preserve">2. Earnings Per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2EPS">
              <w:r>
                <w:rPr>
                  <w:rStyle w:val="InternetLink"/>
                  <w:spacing w:val="4"/>
                </w:rPr>
                <w:t>F-6</w:t>
              </w:r>
            </w:hyperlink>
            <w:hyperlink w:anchor="b2E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3SI">
              <w:r>
                <w:rPr>
                  <w:rStyle w:val="InternetLink"/>
                  <w:spacing w:val="4"/>
                </w:rPr>
                <w:t xml:space="preserve">3. Segment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3SI">
              <w:r>
                <w:rPr>
                  <w:rStyle w:val="InternetLink"/>
                  <w:spacing w:val="4"/>
                </w:rPr>
                <w:t>F-7</w:t>
              </w:r>
            </w:hyperlink>
            <w:hyperlink w:anchor="b3S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4CLA">
              <w:r>
                <w:rPr>
                  <w:rStyle w:val="InternetLink"/>
                  <w:spacing w:val="4"/>
                </w:rPr>
                <w:t xml:space="preserve">4. Contingent Liabilities and Contingent Assets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4CLA">
              <w:r>
                <w:rPr>
                  <w:rStyle w:val="InternetLink"/>
                  <w:spacing w:val="4"/>
                </w:rPr>
                <w:t>F-7</w:t>
              </w:r>
            </w:hyperlink>
            <w:hyperlink w:anchor="b4C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5FVM">
              <w:r>
                <w:rPr>
                  <w:rStyle w:val="InternetLink"/>
                  <w:spacing w:val="4"/>
                </w:rPr>
                <w:t xml:space="preserve">5. Fair Value Measurement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5FVM">
              <w:r>
                <w:rPr>
                  <w:rStyle w:val="InternetLink"/>
                  <w:spacing w:val="4"/>
                </w:rPr>
                <w:t>F-7</w:t>
              </w:r>
            </w:hyperlink>
            <w:hyperlink w:anchor="b5FV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6NAC">
              <w:r>
                <w:rPr>
                  <w:rStyle w:val="InternetLink"/>
                  <w:spacing w:val="4"/>
                </w:rPr>
                <w:t xml:space="preserve">6. Non-Current and Current Financial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6NAC">
              <w:r>
                <w:rPr>
                  <w:rStyle w:val="InternetLink"/>
                  <w:spacing w:val="4"/>
                </w:rPr>
                <w:t>F-10</w:t>
              </w:r>
            </w:hyperlink>
            <w:hyperlink w:anchor="b6N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7RPT">
              <w:r>
                <w:rPr>
                  <w:rStyle w:val="InternetLink"/>
                  <w:spacing w:val="4"/>
                </w:rPr>
                <w:t xml:space="preserve">7.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7RPT">
              <w:r>
                <w:rPr>
                  <w:rStyle w:val="InternetLink"/>
                  <w:spacing w:val="4"/>
                </w:rPr>
                <w:t>F-10</w:t>
              </w:r>
            </w:hyperlink>
            <w:hyperlink w:anchor="b7RP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8EAT">
              <w:r>
                <w:rPr>
                  <w:rStyle w:val="InternetLink"/>
                  <w:spacing w:val="4"/>
                </w:rPr>
                <w:t xml:space="preserve">8. Events after the Reporting Period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8EAT">
              <w:r>
                <w:rPr>
                  <w:rStyle w:val="InternetLink"/>
                  <w:spacing w:val="4"/>
                </w:rPr>
                <w:t>F-11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bSGNU"/>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Profit or Loss and Other Comprehensive Income (Loss)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792"/>
        <w:gridCol w:w="109"/>
        <w:gridCol w:w="109"/>
        <w:gridCol w:w="585"/>
        <w:gridCol w:w="109"/>
        <w:gridCol w:w="109"/>
        <w:gridCol w:w="119"/>
        <w:gridCol w:w="119"/>
        <w:gridCol w:w="955"/>
        <w:gridCol w:w="119"/>
        <w:gridCol w:w="109"/>
        <w:gridCol w:w="109"/>
        <w:gridCol w:w="119"/>
        <w:gridCol w:w="119"/>
        <w:gridCol w:w="955"/>
        <w:gridCol w:w="119"/>
        <w:gridCol w:w="157"/>
      </w:tblGrid>
      <w:tr>
        <w:trPr/>
        <w:tc>
          <w:tcPr>
            <w:tcW w:w="479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000000"/>
            </w:tcBorders>
            <w:vAlign w:val="center"/>
          </w:tcPr>
          <w:p>
            <w:pPr>
              <w:pStyle w:val="TableContents"/>
              <w:bidi w:val="0"/>
              <w:spacing w:before="0" w:after="0"/>
              <w:jc w:val="center"/>
              <w:rPr/>
            </w:pPr>
            <w:r>
              <w:rPr>
                <w:spacing w:val="-3"/>
              </w:rPr>
              <w:t>Note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45,999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16,892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(5,411)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(5,762)</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(8,532)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(5,472)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(2,357)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(1,563)</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1,304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6,914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(2,735)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(38,726)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(1,978)</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pPr>
            <w:r>
              <w:rPr>
                <w:spacing w:val="-4"/>
              </w:rPr>
              <w:t>Basic and diluted loss per share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0"/>
              <w:jc w:val="center"/>
              <w:rPr>
                <w:b w:val="false"/>
              </w:rPr>
            </w:pPr>
            <w:r>
              <w:rPr>
                <w:b w:val="false"/>
                <w:spacing w:val="4"/>
              </w:rPr>
              <w:t>2</w:t>
            </w:r>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Items that may be reclassified subsequently to profit or loss / other comprehensive income (loss), net of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1,328</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(1,705)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comprehensive income (loss) for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(46,481)</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(11,870)</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Attributable to: owners of the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(46,519)</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(11,825)</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Attributable to: non-controlling interests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38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bSGNU2"/>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Financial 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710" w:type="dxa"/>
        <w:jc w:val="left"/>
        <w:tblInd w:w="1393" w:type="dxa"/>
        <w:tblLayout w:type="fixed"/>
        <w:tblCellMar>
          <w:top w:w="0" w:type="dxa"/>
          <w:left w:w="0" w:type="dxa"/>
          <w:bottom w:w="50" w:type="dxa"/>
          <w:right w:w="0" w:type="dxa"/>
        </w:tblCellMar>
      </w:tblPr>
      <w:tblGrid>
        <w:gridCol w:w="4476"/>
        <w:gridCol w:w="109"/>
        <w:gridCol w:w="109"/>
        <w:gridCol w:w="622"/>
        <w:gridCol w:w="109"/>
        <w:gridCol w:w="109"/>
        <w:gridCol w:w="109"/>
        <w:gridCol w:w="109"/>
        <w:gridCol w:w="1045"/>
        <w:gridCol w:w="109"/>
        <w:gridCol w:w="109"/>
        <w:gridCol w:w="109"/>
        <w:gridCol w:w="114"/>
        <w:gridCol w:w="114"/>
        <w:gridCol w:w="1090"/>
        <w:gridCol w:w="114"/>
        <w:gridCol w:w="154"/>
      </w:tblGrid>
      <w:tr>
        <w:trPr/>
        <w:tc>
          <w:tcPr>
            <w:tcW w:w="44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 31,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5"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17,914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17,262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12,234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14,253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16,203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1,043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2,466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2,317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47,237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49,058</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23,448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18,112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49,551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33,653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4,680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3,918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2,292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1,574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79,970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57,257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127,207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106,315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Subscribed capital and capital reserves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263,264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115,411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Other 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(294,674)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(248,155)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the group</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(31,410)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(132,744)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579</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(30,793)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(132,165)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54,474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71,518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969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254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1,965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Non-current 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6,961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7,153</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64,623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81,859</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28,184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87,148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13,555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Trade payables and 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37,846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38,071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13,373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15,505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1,397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415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531</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93,377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156,622</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127,207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106,315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bSGNU3"/>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Changes in Equity</w:t>
      </w:r>
      <w:r>
        <w:rPr>
          <w:rFonts w:ascii="Times New Roman;Times;serif" w:hAnsi="Times New Roman;Times;serif"/>
          <w:b/>
          <w:i w:val="false"/>
          <w:caps w:val="false"/>
          <w:smallCaps w:val="false"/>
          <w:color w:val="000000"/>
          <w:spacing w:val="4"/>
          <w:sz w:val="20"/>
        </w:rPr>
        <w:t xml:space="preserve"> </w:t>
      </w:r>
    </w:p>
    <w:tbl>
      <w:tblPr>
        <w:tblW w:w="1156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961"/>
        <w:gridCol w:w="109"/>
        <w:gridCol w:w="109"/>
        <w:gridCol w:w="109"/>
        <w:gridCol w:w="109"/>
        <w:gridCol w:w="109"/>
        <w:gridCol w:w="466"/>
        <w:gridCol w:w="109"/>
        <w:gridCol w:w="109"/>
        <w:gridCol w:w="109"/>
        <w:gridCol w:w="109"/>
        <w:gridCol w:w="109"/>
        <w:gridCol w:w="961"/>
        <w:gridCol w:w="109"/>
        <w:gridCol w:w="154"/>
      </w:tblGrid>
      <w:tr>
        <w:trPr/>
        <w:tc>
          <w:tcPr>
            <w:tcW w:w="1140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2026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2026</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114,980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(245,896)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(2,259)</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579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1,321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1,321</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(46,481)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Capital increases (see detail </w:t>
            </w:r>
            <w:r>
              <w:rPr/>
              <w:br/>
            </w:r>
            <w:r>
              <w:rPr>
                <w:spacing w:val="4"/>
              </w:rPr>
              <w:t xml:space="preserve">below)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63" w:type="dxa"/>
            <w:tcBorders>
              <w:bottom w:val="single" w:sz="2" w:space="0" w:color="000000"/>
            </w:tcBorders>
            <w:shd w:fill="CCEEFF" w:val="clear"/>
            <w:tcMar>
              <w:bottom w:w="37" w:type="dxa"/>
            </w:tcMar>
            <w:vAlign w:val="center"/>
          </w:tcPr>
          <w:p>
            <w:pPr>
              <w:pStyle w:val="TableContents"/>
              <w:bidi w:val="0"/>
              <w:spacing w:before="0" w:after="283"/>
              <w:jc w:val="right"/>
              <w:rPr/>
            </w:pPr>
            <w:r>
              <w:rPr/>
              <w:t>226</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147,627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1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Balance at June 30, 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657</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262,607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(293,736)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(938)</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(31,410)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(30,793)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 of H1 2026 capital increases, in € thousand: </w:t>
      </w:r>
    </w:p>
    <w:tbl>
      <w:tblPr>
        <w:tblW w:w="6612" w:type="dxa"/>
        <w:jc w:val="left"/>
        <w:tblInd w:w="1393" w:type="dxa"/>
        <w:tblLayout w:type="fixed"/>
        <w:tblCellMar>
          <w:top w:w="0" w:type="dxa"/>
          <w:left w:w="0" w:type="dxa"/>
          <w:bottom w:w="28" w:type="dxa"/>
          <w:right w:w="0" w:type="dxa"/>
        </w:tblCellMar>
      </w:tblPr>
      <w:tblGrid>
        <w:gridCol w:w="5027"/>
        <w:gridCol w:w="109"/>
        <w:gridCol w:w="109"/>
        <w:gridCol w:w="109"/>
        <w:gridCol w:w="109"/>
        <w:gridCol w:w="886"/>
        <w:gridCol w:w="109"/>
        <w:gridCol w:w="154"/>
      </w:tblGrid>
      <w:tr>
        <w:trPr/>
        <w:tc>
          <w:tcPr>
            <w:tcW w:w="5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SEPA (Yorkville)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XJ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Share-based payments for management and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Debt-equity swaps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27" w:type="dxa"/>
            <w:tcBorders>
              <w:bottom w:val="single" w:sz="2" w:space="0" w:color="FFFFFF"/>
            </w:tcBorders>
            <w:tcMar>
              <w:bottom w:w="50" w:type="dxa"/>
            </w:tcMar>
            <w:vAlign w:val="center"/>
          </w:tcPr>
          <w:p>
            <w:pPr>
              <w:pStyle w:val="TableContents"/>
              <w:bidi w:val="0"/>
              <w:spacing w:before="0" w:after="0"/>
              <w:jc w:val="left"/>
              <w:rPr/>
            </w:pPr>
            <w:r>
              <w:rPr>
                <w:spacing w:val="-4"/>
              </w:rPr>
              <w:t>Total capital increases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147,853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for a discussion of the events driving these capital increases, in particular the debt-to-equity swap, the issuance of the 2028 Convertible Notes, and the settlement of the XJ Harbour liability. </w:t>
      </w:r>
    </w:p>
    <w:tbl>
      <w:tblPr>
        <w:tblW w:w="1135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871"/>
        <w:gridCol w:w="109"/>
        <w:gridCol w:w="109"/>
        <w:gridCol w:w="109"/>
        <w:gridCol w:w="109"/>
        <w:gridCol w:w="109"/>
        <w:gridCol w:w="466"/>
        <w:gridCol w:w="109"/>
        <w:gridCol w:w="109"/>
        <w:gridCol w:w="109"/>
        <w:gridCol w:w="109"/>
        <w:gridCol w:w="109"/>
        <w:gridCol w:w="841"/>
        <w:gridCol w:w="109"/>
        <w:gridCol w:w="154"/>
      </w:tblGrid>
      <w:tr>
        <w:trPr/>
        <w:tc>
          <w:tcPr>
            <w:tcW w:w="1119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2025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(1,138)</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(1,702)</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(1,702)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Total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(10,123)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(1,702)</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71" w:type="dxa"/>
            <w:tcBorders>
              <w:bottom w:val="single" w:sz="2" w:space="0" w:color="000000"/>
            </w:tcBorders>
            <w:vAlign w:val="center"/>
          </w:tcPr>
          <w:p>
            <w:pPr>
              <w:pStyle w:val="TableContents"/>
              <w:bidi w:val="0"/>
              <w:spacing w:before="0" w:after="283"/>
              <w:jc w:val="right"/>
              <w:rPr/>
            </w:pPr>
            <w:r>
              <w:rPr/>
              <w:t>(11,825)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(11,870)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June 30,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(184,976)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(2,840)</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(72,937)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(72,314)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bSGNU4"/>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 xml:space="preserve">SCHMID Group N.V. — Unaudited Condensed Consolidated Statements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color w:val="000000"/>
          <w:spacing w:val="-4"/>
          <w:sz w:val="20"/>
        </w:rPr>
        <w:t>Cash Flows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312"/>
        <w:gridCol w:w="109"/>
        <w:gridCol w:w="109"/>
        <w:gridCol w:w="129"/>
        <w:gridCol w:w="129"/>
        <w:gridCol w:w="1067"/>
        <w:gridCol w:w="129"/>
        <w:gridCol w:w="109"/>
        <w:gridCol w:w="109"/>
        <w:gridCol w:w="129"/>
        <w:gridCol w:w="129"/>
        <w:gridCol w:w="1067"/>
        <w:gridCol w:w="129"/>
        <w:gridCol w:w="156"/>
      </w:tblGrid>
      <w:tr>
        <w:trPr/>
        <w:tc>
          <w:tcPr>
            <w:tcW w:w="531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(47,809)</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(10,165)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1,015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76</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38,834</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2,433</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2,547</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2,267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(4,382)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(16,660)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942</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(5,336)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(4,226)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(3,482)</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13,951</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1,105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(90)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(1,695)</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118</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(29,328)</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1,056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(2,520)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provided by (used in)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(2,520)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(2,530)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1,306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1,222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(889)</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equity and equity-linked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33,116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(494)</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(794)</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(303)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14</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financing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32,566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139</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Net increase (decrease) in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718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1,574</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3,791</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2,292</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2,456</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b1BOP"/>
      <w:bookmarkEnd w:id="38"/>
      <w:r>
        <w:rPr>
          <w:rFonts w:ascii="calibri;arial;sans-serif" w:hAnsi="calibri;arial;sans-serif"/>
          <w:b w:val="false"/>
          <w:i w:val="false"/>
          <w:caps w:val="false"/>
          <w:smallCaps w:val="false"/>
          <w:color w:val="000000"/>
          <w:sz w:val="16"/>
        </w:rPr>
        <w:t>​</w:t>
      </w:r>
      <w:bookmarkStart w:id="39" w:name="b2EPS"/>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BASIS OF PREPARATION AND STATEMENT OF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condensed consolidated interim financial statements for the six months ended June 30, 2026 have been prepared in accordance with IAS 34, Interim Financial Reporting, as issued by the IASB. They do not include all the information required for full annual financial statements and should be read in conjunction with the Company’s consolidated financial statements for the year ended December 31, 2025, included elsewhere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applied in these condensed consolidated interim financial statements are consistent with those applied in the Company’s consolidated financial statements for the year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59"/>
        <w:gridCol w:w="109"/>
        <w:gridCol w:w="109"/>
        <w:gridCol w:w="109"/>
        <w:gridCol w:w="109"/>
        <w:gridCol w:w="1201"/>
        <w:gridCol w:w="109"/>
        <w:gridCol w:w="109"/>
        <w:gridCol w:w="109"/>
        <w:gridCol w:w="109"/>
        <w:gridCol w:w="109"/>
        <w:gridCol w:w="1201"/>
        <w:gridCol w:w="109"/>
        <w:gridCol w:w="161"/>
      </w:tblGrid>
      <w:tr>
        <w:trPr/>
        <w:tc>
          <w:tcPr>
            <w:tcW w:w="51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Net income (loss) attributable to owners of the group </w:t>
            </w:r>
            <w:r>
              <w:rPr/>
              <w:br/>
            </w:r>
            <w:r>
              <w:rPr>
                <w:spacing w:val="4"/>
              </w:rPr>
              <w:t xml:space="preserve">(€ thousand)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(47,840)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(10,123)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jc w:val="left"/>
              <w:rPr>
                <w:spacing w:val="4"/>
              </w:rPr>
            </w:pPr>
            <w:r>
              <w:rPr>
                <w:spacing w:val="4"/>
              </w:rPr>
              <w:t xml:space="preserve">Weighted average number of ordinary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Basic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outstanding </w:t>
            </w:r>
            <w:r>
              <w:rPr/>
              <w:br/>
            </w: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Diluted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ordinary shares from outstanding convertible notes, warrants, options, and earn-out shares were excluded from diluted EPS in both periods, as their inclusion would be anti-dilutive in a loss position (IAS 33.43).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   </w:t>
      </w:r>
      <w:r>
        <w:rPr>
          <w:rFonts w:ascii="Times New Roman;Times;serif" w:hAnsi="Times New Roman;Times;serif"/>
          <w:b w:val="false"/>
          <w:i w:val="false"/>
          <w:caps w:val="false"/>
          <w:smallCaps w:val="false"/>
          <w:color w:val="000000"/>
          <w:spacing w:val="4"/>
          <w:sz w:val="20"/>
        </w:rPr>
        <w:t xml:space="preserve">The Company has 5,000,000 earn-out shares issued and outstanding, which are subject to vesting conditions based on the trading price of the Company’s ordinary shares. 2,500,000 shares will vest if the ordinary share price equals or exceeds $15.00 for 20 out of 30 consecutive trading days, and a further 2,500,000 shares will vest if the ordinary share price equals or exceeds $18.00 for 20 out of 30 consecutive trading days, in each case by April 30, 2027. As the applicable conditions had not been met as of June 30, 2026, these shares have not been included in the calculation of diluted earnings per share.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t>
      </w:r>
      <w:r>
        <w:rPr>
          <w:rFonts w:ascii="Times New Roman;Times;serif" w:hAnsi="Times New Roman;Times;serif"/>
          <w:b w:val="false"/>
          <w:i w:val="false"/>
          <w:caps w:val="false"/>
          <w:smallCaps w:val="false"/>
          <w:color w:val="000000"/>
          <w:spacing w:val="4"/>
          <w:sz w:val="20"/>
        </w:rPr>
        <w:t xml:space="preserve">In January and March 2026, the Company issued $30.0 million in aggregate principal amount of senior convertible notes. As of June 30, 2026, $12.0 million in principal amount remained outstanding. The notes are convertible into ordinary shares subject to the terms and conditions of the respective note agreements.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Warrants:   </w:t>
      </w: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issued warrants exercisable for an aggregate of 3,744,150 ordinary shares at an exercise price of $8.0125 per share.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Convertible Loan:   </w:t>
      </w:r>
      <w:r>
        <w:rPr>
          <w:rFonts w:ascii="Times New Roman;Times;serif" w:hAnsi="Times New Roman;Times;serif"/>
          <w:b w:val="false"/>
          <w:i w:val="false"/>
          <w:caps w:val="false"/>
          <w:smallCaps w:val="false"/>
          <w:color w:val="000000"/>
          <w:spacing w:val="4"/>
          <w:sz w:val="20"/>
        </w:rPr>
        <w:t xml:space="preserve">The Company has a €2.5 million convertible loan with Black Forest Special Situations I. The loan is convertible into ordinary shares in accordance with its terms.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Options:   </w:t>
      </w:r>
      <w:r>
        <w:rPr>
          <w:rFonts w:ascii="Times New Roman;Times;serif" w:hAnsi="Times New Roman;Times;serif"/>
          <w:b w:val="false"/>
          <w:i w:val="false"/>
          <w:caps w:val="false"/>
          <w:smallCaps w:val="false"/>
          <w:color w:val="000000"/>
          <w:spacing w:val="4"/>
          <w:sz w:val="20"/>
        </w:rPr>
        <w:t xml:space="preserve">Black Forest Special Situations I holds options to acquire 1,250,000 ordinary shares at an exercise price of $4.1956 per share. The potential ordinary shares issuable upon exercise of these options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b3SI"/>
      <w:bookmarkEnd w:id="40"/>
      <w:r>
        <w:rPr>
          <w:rFonts w:ascii="calibri;arial;sans-serif" w:hAnsi="calibri;arial;sans-serif"/>
          <w:b w:val="false"/>
          <w:i w:val="false"/>
          <w:caps w:val="false"/>
          <w:smallCaps w:val="false"/>
          <w:color w:val="000000"/>
          <w:sz w:val="16"/>
        </w:rPr>
        <w:t>​</w:t>
      </w:r>
      <w:bookmarkStart w:id="41" w:name="b4CLA"/>
      <w:bookmarkEnd w:id="41"/>
      <w:r>
        <w:rPr>
          <w:rFonts w:ascii="calibri;arial;sans-serif" w:hAnsi="calibri;arial;sans-serif"/>
          <w:b w:val="false"/>
          <w:i w:val="false"/>
          <w:caps w:val="false"/>
          <w:smallCaps w:val="false"/>
          <w:color w:val="000000"/>
          <w:sz w:val="16"/>
        </w:rPr>
        <w:t>​</w:t>
      </w:r>
      <w:bookmarkStart w:id="42" w:name="b5FV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and private warrants:   </w:t>
      </w:r>
      <w:r>
        <w:rPr>
          <w:rFonts w:ascii="Times New Roman;Times;serif" w:hAnsi="Times New Roman;Times;serif"/>
          <w:b w:val="false"/>
          <w:i w:val="false"/>
          <w:caps w:val="false"/>
          <w:smallCaps w:val="false"/>
          <w:color w:val="000000"/>
          <w:spacing w:val="4"/>
          <w:sz w:val="20"/>
        </w:rPr>
        <w:t xml:space="preserve">The Company has 21,000,000 public and private warrants outstanding, which are exercisable or may otherwise result in the issuance of ordinary shares subject to the terms of the applicable warrant agreements.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0" distB="0" distL="254000" distR="0" simplePos="0" locked="0" layoutInCell="1" allowOverlap="1" relativeHeight="283">
                <wp:simplePos x="0" y="0"/>
                <wp:positionH relativeFrom="column">
                  <wp:align>left</wp:align>
                </wp:positionH>
                <wp:positionV relativeFrom="line">
                  <wp:posOffset>635</wp:posOffset>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SEGMENT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operating decision maker reviews revenue and result by the following management reporting categories: Technical Equipment and Processes, Spare Parts and Services, and Other.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2026,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97"/>
        <w:gridCol w:w="109"/>
        <w:gridCol w:w="109"/>
        <w:gridCol w:w="180"/>
        <w:gridCol w:w="180"/>
        <w:gridCol w:w="1270"/>
        <w:gridCol w:w="180"/>
        <w:gridCol w:w="109"/>
        <w:gridCol w:w="109"/>
        <w:gridCol w:w="150"/>
        <w:gridCol w:w="150"/>
        <w:gridCol w:w="897"/>
        <w:gridCol w:w="150"/>
        <w:gridCol w:w="109"/>
        <w:gridCol w:w="109"/>
        <w:gridCol w:w="109"/>
        <w:gridCol w:w="109"/>
        <w:gridCol w:w="781"/>
        <w:gridCol w:w="109"/>
        <w:gridCol w:w="109"/>
        <w:gridCol w:w="109"/>
        <w:gridCol w:w="109"/>
        <w:gridCol w:w="109"/>
        <w:gridCol w:w="790"/>
        <w:gridCol w:w="109"/>
        <w:gridCol w:w="161"/>
      </w:tblGrid>
      <w:tr>
        <w:trPr/>
        <w:tc>
          <w:tcPr>
            <w:tcW w:w="2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9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1270" w:type="dxa"/>
            <w:tcBorders/>
            <w:shd w:fill="CCEEFF" w:val="clear"/>
            <w:tcMar>
              <w:bottom w:w="0" w:type="dxa"/>
            </w:tcMar>
            <w:vAlign w:val="center"/>
          </w:tcPr>
          <w:p>
            <w:pPr>
              <w:pStyle w:val="TableContents"/>
              <w:bidi w:val="0"/>
              <w:spacing w:before="0" w:after="283"/>
              <w:jc w:val="right"/>
              <w:rPr/>
            </w:pPr>
            <w:r>
              <w:rPr/>
              <w:t>40,556</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5,215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97"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1270" w:type="dxa"/>
            <w:tcBorders/>
            <w:tcMar>
              <w:bottom w:w="0" w:type="dxa"/>
            </w:tcMar>
            <w:vAlign w:val="center"/>
          </w:tcPr>
          <w:p>
            <w:pPr>
              <w:pStyle w:val="TableContents"/>
              <w:bidi w:val="0"/>
              <w:spacing w:before="0" w:after="283"/>
              <w:jc w:val="right"/>
              <w:rPr/>
            </w:pPr>
            <w:r>
              <w:rPr/>
              <w:t>2,142</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2,123</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(9,792)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(5,527)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2025,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473"/>
        <w:gridCol w:w="109"/>
        <w:gridCol w:w="109"/>
        <w:gridCol w:w="179"/>
        <w:gridCol w:w="179"/>
        <w:gridCol w:w="1311"/>
        <w:gridCol w:w="179"/>
        <w:gridCol w:w="109"/>
        <w:gridCol w:w="109"/>
        <w:gridCol w:w="153"/>
        <w:gridCol w:w="153"/>
        <w:gridCol w:w="911"/>
        <w:gridCol w:w="153"/>
        <w:gridCol w:w="109"/>
        <w:gridCol w:w="109"/>
        <w:gridCol w:w="109"/>
        <w:gridCol w:w="109"/>
        <w:gridCol w:w="646"/>
        <w:gridCol w:w="109"/>
        <w:gridCol w:w="109"/>
        <w:gridCol w:w="109"/>
        <w:gridCol w:w="109"/>
        <w:gridCol w:w="109"/>
        <w:gridCol w:w="791"/>
        <w:gridCol w:w="109"/>
        <w:gridCol w:w="158"/>
      </w:tblGrid>
      <w:tr>
        <w:trPr/>
        <w:tc>
          <w:tcPr>
            <w:tcW w:w="24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10,742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5,903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311" w:type="dxa"/>
            <w:tcBorders/>
            <w:tcMar>
              <w:bottom w:w="0" w:type="dxa"/>
            </w:tcMar>
            <w:vAlign w:val="center"/>
          </w:tcPr>
          <w:p>
            <w:pPr>
              <w:pStyle w:val="TableContents"/>
              <w:bidi w:val="0"/>
              <w:spacing w:before="0" w:after="283"/>
              <w:jc w:val="right"/>
              <w:rPr/>
            </w:pPr>
            <w:r>
              <w:rPr/>
              <w:t>(7,374)</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836</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(5,258)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from total segment adjusted EBITDA to income (loss) for the period according to IFRS</w:t>
      </w:r>
      <w:r>
        <w:rPr>
          <w:rFonts w:ascii="Times New Roman;Times;serif" w:hAnsi="Times New Roman;Times;serif"/>
          <w:b/>
          <w:i w:val="false"/>
          <w:caps w:val="false"/>
          <w:smallCaps w:val="false"/>
          <w:color w:val="000000"/>
          <w:sz w:val="20"/>
        </w:rPr>
        <w:t xml:space="preserve"> </w:t>
      </w:r>
    </w:p>
    <w:tbl>
      <w:tblPr>
        <w:tblW w:w="8015" w:type="dxa"/>
        <w:jc w:val="left"/>
        <w:tblInd w:w="1393" w:type="dxa"/>
        <w:tblLayout w:type="fixed"/>
        <w:tblCellMar>
          <w:top w:w="0" w:type="dxa"/>
          <w:left w:w="0" w:type="dxa"/>
          <w:bottom w:w="43" w:type="dxa"/>
          <w:right w:w="0" w:type="dxa"/>
        </w:tblCellMar>
      </w:tblPr>
      <w:tblGrid>
        <w:gridCol w:w="4347"/>
        <w:gridCol w:w="109"/>
        <w:gridCol w:w="109"/>
        <w:gridCol w:w="135"/>
        <w:gridCol w:w="135"/>
        <w:gridCol w:w="1134"/>
        <w:gridCol w:w="135"/>
        <w:gridCol w:w="109"/>
        <w:gridCol w:w="109"/>
        <w:gridCol w:w="135"/>
        <w:gridCol w:w="135"/>
        <w:gridCol w:w="1134"/>
        <w:gridCol w:w="135"/>
        <w:gridCol w:w="154"/>
      </w:tblGrid>
      <w:tr>
        <w:trPr/>
        <w:tc>
          <w:tcPr>
            <w:tcW w:w="4347" w:type="dxa"/>
            <w:tcBorders>
              <w:bottom w:val="single" w:sz="2" w:space="0" w:color="000000"/>
            </w:tcBorders>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(5,527)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(5,258)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(38,726)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(1,978)</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Depreciation and amortization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(2,433)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(2,547)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Share of loss from equity method investees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(307)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(1,015)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(76)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(47,809)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(10,165)</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CONTINGENT LIABILITIES AND CONTINGENT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Company is not aware of any material contingent liabilities or contingent assets requiring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€(32,906) thousand ‘FV measurement, net’ component of the financial result for the six months ended June 30, 2026 breaks down by instrument as follows: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Pegasus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(7,082)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Group 14 shares FX valuation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XJ Harbour derivatives – realized (positions derecognized in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XJ Harbour derivatives – unrealized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the XJ Liability (through Jan 16, 2026, pre-conversion)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(25,114)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2028 Convertible Notes – Warrants,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1,908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Conversion option, FV re-measurement (unrealized)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2025 Convertible Loan – warrants and conversion option,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2025 Convertible Loan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Debt-to-equity swap – 20% discount Christine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pPr>
            <w:r>
              <w:rPr>
                <w:spacing w:val="-4"/>
              </w:rPr>
              <w:t>Total FV measurement,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(32,906)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H1 2025 the only change in fair value measurement was that of Pegasus Warrants resulting in a loss of € 322 thousand.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Warrants are publicly traded on Nasdaq (ticker: SHMDW) and are classified as Level 1 in the fair value hierarchy, being valued at quoted market price with no valuation model involved. Fair value was €33,175 thousand as of June 30, 2026 (December 31, 2025: €26,094 thousand), based on a quoted price of $1.80 per warrant (December 31, 2025: $1.46) and 21,000,000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Liability is an obligation to deliver a fixed number of the Company’s own common shares (Nasdaq: SHMD) to XJ Harbour under a subscription and payoff agreement dated November 12, 2025. It is measured at fair value as the number of shares to be delivered multiplied by the quoted closing price of the Company’s common stock, translated to EUR at the ECB reference rate, and is classified as Level 2 in the fair value hierarchy. Fair value was €89,382 thousand as of January 16, 2026 (the settlement date, based on a share price of $8.28 and 12,548,539 shares), up from €64,267 thousand as of December 31, 2025 (share price $6.195). The liability was settled in full through delivery of shares on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Loan warrants (expiring in December 2030), the 2025 Convertible Loan embedded conversion option (expiring in March 2027), the XJ Share Price Protection (a protective put, expiring in November 2027), and the 2028 Convertible Notes warrants and embedded conversion option (expiring in January 2028 and December 2028, respectively) are all classified as Level 3, as their valuations depend on significant unobservable inputs — implied volatility of the Company’s own thinly traded shares, a calibrated discount/interest rate, and a Company-specific credit spread. Key inputs as of June 30, 2026: </w:t>
      </w:r>
    </w:p>
    <w:tbl>
      <w:tblPr>
        <w:tblW w:w="8812" w:type="dxa"/>
        <w:jc w:val="left"/>
        <w:tblInd w:w="1393" w:type="dxa"/>
        <w:tblLayout w:type="fixed"/>
        <w:tblCellMar>
          <w:top w:w="0" w:type="dxa"/>
          <w:left w:w="0" w:type="dxa"/>
          <w:bottom w:w="43" w:type="dxa"/>
          <w:right w:w="0" w:type="dxa"/>
        </w:tblCellMar>
      </w:tblPr>
      <w:tblGrid>
        <w:gridCol w:w="3756"/>
        <w:gridCol w:w="109"/>
        <w:gridCol w:w="109"/>
        <w:gridCol w:w="3219"/>
        <w:gridCol w:w="109"/>
        <w:gridCol w:w="109"/>
        <w:gridCol w:w="124"/>
        <w:gridCol w:w="124"/>
        <w:gridCol w:w="873"/>
        <w:gridCol w:w="125"/>
        <w:gridCol w:w="155"/>
      </w:tblGrid>
      <w:tr>
        <w:trPr/>
        <w:tc>
          <w:tcPr>
            <w:tcW w:w="3756" w:type="dxa"/>
            <w:tcBorders>
              <w:bottom w:val="single" w:sz="2" w:space="0" w:color="000000"/>
            </w:tcBorders>
            <w:vAlign w:val="center"/>
          </w:tcPr>
          <w:p>
            <w:pPr>
              <w:pStyle w:val="TableContents"/>
              <w:bidi w:val="0"/>
              <w:spacing w:before="0" w:after="0"/>
              <w:jc w:val="left"/>
              <w:rPr>
                <w:spacing w:val="-3"/>
              </w:rPr>
            </w:pPr>
            <w:r>
              <w:rPr>
                <w:spacing w:val="-3"/>
              </w:rPr>
              <w:t xml:space="preserve">Level 3 instrument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19" w:type="dxa"/>
            <w:tcBorders>
              <w:bottom w:val="single" w:sz="2" w:space="0" w:color="000000"/>
            </w:tcBorders>
            <w:vAlign w:val="center"/>
          </w:tcPr>
          <w:p>
            <w:pPr>
              <w:pStyle w:val="TableContents"/>
              <w:bidi w:val="0"/>
              <w:spacing w:before="0" w:after="0"/>
              <w:jc w:val="center"/>
              <w:rPr>
                <w:spacing w:val="-3"/>
              </w:rPr>
            </w:pPr>
            <w:r>
              <w:rPr>
                <w:spacing w:val="-3"/>
              </w:rPr>
              <w:t xml:space="preserve">Key inputs (Jun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 thousand)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2025 Convertible Loan Warrants (1,250,000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$4.1956; volatility 91.2%; </w:t>
            </w:r>
            <w:r>
              <w:rPr/>
              <w:br/>
            </w:r>
            <w:r>
              <w:rPr>
                <w:spacing w:val="4"/>
              </w:rPr>
              <w:t xml:space="preserve">risk-free rate 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5,335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ind w:left="200" w:right="0" w:hanging="200"/>
              <w:jc w:val="left"/>
              <w:rPr>
                <w:spacing w:val="4"/>
              </w:rPr>
            </w:pPr>
            <w:r>
              <w:rPr>
                <w:spacing w:val="4"/>
              </w:rPr>
              <w:t xml:space="preserve">2025 Convertible Loan Conversion Option ($2.5 million nominal)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Conversion price $2.15; calibrated rate 79.7%; </w:t>
            </w:r>
            <w:r>
              <w:rPr/>
              <w:br/>
            </w:r>
            <w:r>
              <w:rPr>
                <w:spacing w:val="4"/>
              </w:rPr>
              <w:t xml:space="preserve">CDS spread 14.8%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3,350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XJ Share Price Protection (10,162,575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$0.215; volatility 91.2%; </w:t>
            </w:r>
            <w:r>
              <w:rPr/>
              <w:br/>
            </w:r>
            <w:r>
              <w:rPr>
                <w:spacing w:val="4"/>
              </w:rPr>
              <w:t xml:space="preserve">risk-free rate 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1,313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2028 Convertible Notes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Share price $6.26; strike $8.01; volatility 111.7%; </w:t>
            </w:r>
            <w:r>
              <w:rPr/>
              <w:br/>
            </w:r>
            <w:r>
              <w:rPr>
                <w:spacing w:val="4"/>
              </w:rPr>
              <w:t xml:space="preserve">risk-free rate 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12,195</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2028 Convertible Notes Option (combined tranches)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Conversion price $8.0125/VWAP; calibrated rate 68.5%; </w:t>
            </w:r>
            <w:r>
              <w:rPr/>
              <w:br/>
            </w:r>
            <w:r>
              <w:rPr>
                <w:spacing w:val="4"/>
              </w:rPr>
              <w:t xml:space="preserve">CDS spread 24.8%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6,307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investment in Group 14 shares is classified as Level 3, as the shares are unlisted and not traded in an active market. The investment was valued in 2025 based on the price of a recent capital increase (a recent-transaction-price approach). No capital increase or other transaction event occurred in H1 2026, so the shares were not revalued in the period; the €265 thousand movement in the table above reflects foreign currency translation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opening (December 31, 2025) to closing (June 30, 2026) carrying amounts for all recurring fair value measurements categorized within Level 3 (no Level 3 instruments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assets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997"/>
        <w:gridCol w:w="109"/>
        <w:gridCol w:w="109"/>
        <w:gridCol w:w="157"/>
        <w:gridCol w:w="157"/>
        <w:gridCol w:w="934"/>
        <w:gridCol w:w="157"/>
        <w:gridCol w:w="109"/>
        <w:gridCol w:w="109"/>
        <w:gridCol w:w="147"/>
        <w:gridCol w:w="147"/>
        <w:gridCol w:w="1046"/>
        <w:gridCol w:w="147"/>
        <w:gridCol w:w="109"/>
        <w:gridCol w:w="109"/>
        <w:gridCol w:w="109"/>
        <w:gridCol w:w="109"/>
        <w:gridCol w:w="784"/>
        <w:gridCol w:w="109"/>
        <w:gridCol w:w="158"/>
      </w:tblGrid>
      <w:tr>
        <w:trPr/>
        <w:tc>
          <w:tcPr>
            <w:tcW w:w="399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 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pPr>
            <w:r>
              <w:rPr>
                <w:spacing w:val="-3"/>
              </w:rPr>
              <w:t xml:space="preserve">XJ Harbour price </w:t>
            </w:r>
            <w:r>
              <w:rPr/>
              <w:br/>
            </w:r>
            <w:r>
              <w:rPr>
                <w:spacing w:val="-3"/>
              </w:rPr>
              <w:t xml:space="preserve">protection cap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8,478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7,713</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16,191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997" w:type="dxa"/>
            <w:tcBorders/>
            <w:tcMar>
              <w:bottom w:w="0" w:type="dxa"/>
            </w:tcMar>
            <w:vAlign w:val="center"/>
          </w:tcPr>
          <w:p>
            <w:pPr>
              <w:pStyle w:val="TableContents"/>
              <w:bidi w:val="0"/>
              <w:spacing w:before="0" w:after="0"/>
              <w:jc w:val="left"/>
              <w:rPr>
                <w:spacing w:val="4"/>
              </w:rPr>
            </w:pPr>
            <w:r>
              <w:rPr>
                <w:spacing w:val="4"/>
              </w:rPr>
              <w:t xml:space="preserve">Settlements and changes from fair value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265</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(2,215)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(1,950)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8,743</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5,498</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14,241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liabilities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947"/>
        <w:gridCol w:w="109"/>
        <w:gridCol w:w="109"/>
        <w:gridCol w:w="117"/>
        <w:gridCol w:w="117"/>
        <w:gridCol w:w="696"/>
        <w:gridCol w:w="117"/>
        <w:gridCol w:w="109"/>
        <w:gridCol w:w="109"/>
        <w:gridCol w:w="132"/>
        <w:gridCol w:w="132"/>
        <w:gridCol w:w="783"/>
        <w:gridCol w:w="132"/>
        <w:gridCol w:w="109"/>
        <w:gridCol w:w="109"/>
        <w:gridCol w:w="109"/>
        <w:gridCol w:w="109"/>
        <w:gridCol w:w="772"/>
        <w:gridCol w:w="109"/>
        <w:gridCol w:w="109"/>
        <w:gridCol w:w="109"/>
        <w:gridCol w:w="115"/>
        <w:gridCol w:w="115"/>
        <w:gridCol w:w="819"/>
        <w:gridCol w:w="115"/>
        <w:gridCol w:w="109"/>
        <w:gridCol w:w="109"/>
        <w:gridCol w:w="115"/>
        <w:gridCol w:w="115"/>
        <w:gridCol w:w="781"/>
        <w:gridCol w:w="115"/>
        <w:gridCol w:w="160"/>
      </w:tblGrid>
      <w:tr>
        <w:trPr/>
        <w:tc>
          <w:tcPr>
            <w:tcW w:w="19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7"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9" w:type="dxa"/>
            <w:gridSpan w:val="4"/>
            <w:tcBorders>
              <w:bottom w:val="single" w:sz="2" w:space="0" w:color="000000"/>
            </w:tcBorders>
            <w:vAlign w:val="center"/>
          </w:tcPr>
          <w:p>
            <w:pPr>
              <w:pStyle w:val="TableContents"/>
              <w:bidi w:val="0"/>
              <w:spacing w:before="0" w:after="0"/>
              <w:jc w:val="center"/>
              <w:rPr/>
            </w:pPr>
            <w:r>
              <w:rPr>
                <w:spacing w:val="-3"/>
              </w:rPr>
              <w:t>Black Forest Conv.</w:t>
            </w:r>
            <w:r>
              <w:rPr/>
              <w:t xml:space="preserve"> </w:t>
              <w:br/>
            </w:r>
            <w:r>
              <w:rPr>
                <w:spacing w:val="-3"/>
              </w:rPr>
              <w:t xml:space="preserve">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4"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Conv. 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XJ Protection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5,193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3,491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13,837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13,880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Settlements and changes from fair value </w:t>
            </w:r>
            <w:r>
              <w:rPr/>
              <w:br/>
            </w:r>
            <w:r>
              <w:rPr>
                <w:spacing w:val="4"/>
              </w:rPr>
              <w:t xml:space="preserve">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142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(141)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(7,710)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(2,646)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5,335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3,350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11,929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6,170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6,813</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liabilities total €18,143 thousand at January 1, 2026 and €33,597 thousand at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H1 2026, XJ Harbour sold 2,377,964 shares covered by the share price protection at prices above $2.15 per share. The protection attaching to those shares lapsed without any obligation to issue compensation shares, and the related derivative positions were derecognized. Of the total gain of €431 thousand recognized in respect of the XJ Harbour derivatives, €299 thousand relates to positions derecognized during the period and €132 thousand is unrealized.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€8,249 thousand shown for the 2028 Convertible Notes embedded conversion option relates to the exercise of that option to convert $18.0 million of principal into SCHMID’s ordinary shares during the period, across nine separate conversions between March and June 2026. All other fair value changes recognized in the period relate to instruments held as of June 30, 2026, and are unrealized. All fair value changes are recognized in financial result.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Day-1 deferral items relating to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separate consideration was allocated to the Black Forest 2025 Warrants (issued December 18, 2025) or the 2028 Convertible Notes Warrants (issued January 21, 2026), as they formed part of broader financing arrangements and were not negotiated separately. The differences between their fair values at initial recognition and the transaction price of nil were deferred (Day-1 deferral items) rather than recognized immediately in profit or loss, and are amortized in finance expense on a straight-line basis over the contractual term of the respective warrants. </w:t>
      </w:r>
    </w:p>
    <w:tbl>
      <w:tblPr>
        <w:tblW w:w="8812" w:type="dxa"/>
        <w:jc w:val="left"/>
        <w:tblInd w:w="1393" w:type="dxa"/>
        <w:tblLayout w:type="fixed"/>
        <w:tblCellMar>
          <w:top w:w="0" w:type="dxa"/>
          <w:left w:w="0" w:type="dxa"/>
          <w:bottom w:w="43" w:type="dxa"/>
          <w:right w:w="0" w:type="dxa"/>
        </w:tblCellMar>
      </w:tblPr>
      <w:tblGrid>
        <w:gridCol w:w="5068"/>
        <w:gridCol w:w="109"/>
        <w:gridCol w:w="109"/>
        <w:gridCol w:w="162"/>
        <w:gridCol w:w="162"/>
        <w:gridCol w:w="967"/>
        <w:gridCol w:w="162"/>
        <w:gridCol w:w="109"/>
        <w:gridCol w:w="109"/>
        <w:gridCol w:w="168"/>
        <w:gridCol w:w="168"/>
        <w:gridCol w:w="1190"/>
        <w:gridCol w:w="170"/>
        <w:gridCol w:w="159"/>
      </w:tblGrid>
      <w:tr>
        <w:trPr/>
        <w:tc>
          <w:tcPr>
            <w:tcW w:w="506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2025 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6" w:type="dxa"/>
            <w:gridSpan w:val="4"/>
            <w:tcBorders>
              <w:bottom w:val="single" w:sz="2" w:space="0" w:color="000000"/>
            </w:tcBorders>
            <w:vAlign w:val="center"/>
          </w:tcPr>
          <w:p>
            <w:pPr>
              <w:pStyle w:val="TableContents"/>
              <w:bidi w:val="0"/>
              <w:spacing w:before="0" w:after="0"/>
              <w:jc w:val="center"/>
              <w:rPr/>
            </w:pPr>
            <w:r>
              <w:rPr>
                <w:spacing w:val="-3"/>
              </w:rPr>
              <w:t>2028 Convertible</w:t>
            </w:r>
            <w:r>
              <w:rPr/>
              <w:t xml:space="preserve"> </w:t>
              <w:br/>
            </w:r>
            <w:r>
              <w:rPr>
                <w:spacing w:val="-3"/>
              </w:rPr>
              <w:t xml:space="preserve">Notes Warrants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3,394</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0"/>
              <w:jc w:val="left"/>
              <w:rPr>
                <w:spacing w:val="4"/>
              </w:rPr>
            </w:pPr>
            <w:r>
              <w:rPr>
                <w:spacing w:val="4"/>
              </w:rPr>
              <w:t xml:space="preserve">Initial recognition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13,837</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0"/>
              <w:jc w:val="left"/>
              <w:rPr>
                <w:spacing w:val="4"/>
              </w:rPr>
            </w:pPr>
            <w:r>
              <w:rPr>
                <w:spacing w:val="4"/>
              </w:rPr>
              <w:t xml:space="preserve">Amortized in finance expense due to the passage of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(1,835)</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3,055</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12,002</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these deferral items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b6NAC"/>
      <w:bookmarkEnd w:id="43"/>
      <w:r>
        <w:rPr>
          <w:rFonts w:ascii="calibri;arial;sans-serif" w:hAnsi="calibri;arial;sans-serif"/>
          <w:b w:val="false"/>
          <w:i w:val="false"/>
          <w:caps w:val="false"/>
          <w:smallCaps w:val="false"/>
          <w:color w:val="000000"/>
          <w:sz w:val="16"/>
        </w:rPr>
        <w:t>​</w:t>
      </w:r>
      <w:bookmarkStart w:id="44" w:name="b7RPT"/>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Company’s financial liabilities as of June 30, 2026 and December 31, 2025: </w:t>
      </w:r>
    </w:p>
    <w:tbl>
      <w:tblPr>
        <w:tblW w:w="8812" w:type="dxa"/>
        <w:jc w:val="left"/>
        <w:tblInd w:w="1393" w:type="dxa"/>
        <w:tblLayout w:type="fixed"/>
        <w:tblCellMar>
          <w:top w:w="0" w:type="dxa"/>
          <w:left w:w="0" w:type="dxa"/>
          <w:bottom w:w="43" w:type="dxa"/>
          <w:right w:w="0" w:type="dxa"/>
        </w:tblCellMar>
      </w:tblPr>
      <w:tblGrid>
        <w:gridCol w:w="2872"/>
        <w:gridCol w:w="109"/>
        <w:gridCol w:w="109"/>
        <w:gridCol w:w="125"/>
        <w:gridCol w:w="125"/>
        <w:gridCol w:w="889"/>
        <w:gridCol w:w="128"/>
        <w:gridCol w:w="109"/>
        <w:gridCol w:w="109"/>
        <w:gridCol w:w="116"/>
        <w:gridCol w:w="116"/>
        <w:gridCol w:w="820"/>
        <w:gridCol w:w="116"/>
        <w:gridCol w:w="109"/>
        <w:gridCol w:w="109"/>
        <w:gridCol w:w="127"/>
        <w:gridCol w:w="127"/>
        <w:gridCol w:w="901"/>
        <w:gridCol w:w="130"/>
        <w:gridCol w:w="109"/>
        <w:gridCol w:w="109"/>
        <w:gridCol w:w="118"/>
        <w:gridCol w:w="118"/>
        <w:gridCol w:w="831"/>
        <w:gridCol w:w="118"/>
        <w:gridCol w:w="163"/>
      </w:tblGrid>
      <w:tr>
        <w:trPr/>
        <w:tc>
          <w:tcPr>
            <w:tcW w:w="287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7"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Current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Loans from banks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2,483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404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1,232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2,938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3,114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3,988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4,611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7,416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11,000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8,634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Black forest term loan facility (Host loan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6,758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574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5,290</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ind w:left="200" w:right="0" w:hanging="200"/>
              <w:jc w:val="left"/>
              <w:rPr>
                <w:spacing w:val="4"/>
              </w:rPr>
            </w:pPr>
            <w:r>
              <w:rPr>
                <w:spacing w:val="4"/>
              </w:rPr>
              <w:t xml:space="preserve">XJ Harbour set-off agreement (Host loan and Share Price Protection)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6,813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9,459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64,267</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ind w:left="200" w:right="0" w:hanging="200"/>
              <w:jc w:val="left"/>
              <w:rPr/>
            </w:pPr>
            <w:r>
              <w:rPr>
                <w:spacing w:val="-4"/>
              </w:rPr>
              <w:t>Linden Convertible Notes (Host loan, warrants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5,803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6,679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pPr>
            <w:r>
              <w:rPr>
                <w:spacing w:val="-4"/>
              </w:rPr>
              <w:t>Pegasus 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33,175</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26,094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Total financial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54,474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28,184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71,518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87,148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liabilities and the equity of the Company both changed materially during H1 2026, driven substantially 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on May 23, 2026, the Company converted €30.75 million of liabilities owed to members of the Schmid family shareholder group into equity as a debt-to-equity swap. This is the principal driver behind the reduction in ‘Loans from banks, other third parties, shareholders and other related parties’ from €35,391k (non-current) and €17,591k (current) at December 31, 2025 to just €233k (non-current) and €23,197k (current) at June 30, 2026, and is reflected as a €31,350k capital increase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Company issued the 2028 Convertible Notes in two tranches during the period — Tranche 1 on January 21, 2026 and Tranche 2 on March 6, 2026 — introducing new balance sheet items that did not exist at December 31, 2025: the host debt contract, unpaid transaction costs, the warrants, the embedded conversion option, and a Day-1 loss deferral contra-item for the warrants. All four items are classified as non-current, consistent with the notes maturing in 2028. The conversion of these notes also contributed €16,349k to the capital increases shown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XJ Harbour settlement liability (set-off agreement), which stood at €64,267k (current) at December 31, 2025, was extinguished in full on January 16, 2026 through the issuance of shares to XJ Harbour — see Note 5 for the fair value detail on this settlement — and is the single largest capital increase in the equity statement, at €89,382k. The separate XJ Harbour share price protection derivative, which was not part of that settlement, remains outstanding and decreased from €9,459k to €6,813k over the period as its fair value moved with the Company’s share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two capital increases shown in the Statement of Changes in Equity — €7,903k from drawdowns under the SEPA (Yorkville) equity facility, and €2,869k from share-based payments to management and the Board (see Note 7) — did not involve a corresponding change in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Note warrants have a five-year term and are accordingly non-current, while the embedded conversion option matures with the term loan facility in March 2027 — within 12 months of June 30, 2026 — and is accordingly current.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major shareholders of the Company, are holders of private warrants. During the period, the Company undertook certain financing measures to manage liquidity, some of which were agreed with parties related to the Company or to its majority shareholders, including: XJ Harbour and its majority shareholders; the lender Black Forest Special Situations I; a Schmid family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b8EAT"/>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 entity controlled by the majority shareholders. On May 23, 2026, the Company converted €30.75 million of liabilities owed to members of the Schmid family shareholder group into equity. As of June 30, 2026, €17.5 million of the Company’s outstanding debt was owed to shareholders and related parties. In addition, €2.5 million of the 2025 Convertible Loan, which accrues interest at 15% per annum payable at maturity and is convertible at $2.15 per share since June 18, 2026, was outstanding to a related party as of June 30,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Key Management Personnel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for key management personnel was approximately €1.4 million for the six months ended June 30, 2026. Starting in 2026 Mr. Rauch and Mr Schuetz are each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agreements foresee an update to their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14, 2026, the Company closed a new $20.0 million 2029 Convertible Note. On September 17, 2026, a further $2.0 million of the 2028 Convertible Notes was converted, leaving $9.0 million of the 2028 Convertible Notes outstanding. As of August 21, 2026, order intake for the year to date was €96.6 million and order backlog was €95.0 million, compared to €44.3 million and €54.8 million, respectively,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3"/>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4" w:type="dxa"/>
          <w:right w:w="0" w:type="dxa"/>
        </w:tblCellMar>
      </w:tblPr>
      <w:tblGrid>
        <w:gridCol w:w="7543"/>
        <w:gridCol w:w="109"/>
        <w:gridCol w:w="109"/>
        <w:gridCol w:w="109"/>
        <w:gridCol w:w="109"/>
        <w:gridCol w:w="569"/>
        <w:gridCol w:w="109"/>
        <w:gridCol w:w="155"/>
      </w:tblGrid>
      <w:tr>
        <w:trPr/>
        <w:tc>
          <w:tcPr>
            <w:tcW w:w="7543" w:type="dxa"/>
            <w:tcBorders>
              <w:bottom w:val="single" w:sz="2" w:space="0" w:color="000000"/>
            </w:tcBorders>
            <w:vAlign w:val="center"/>
          </w:tcPr>
          <w:p>
            <w:pPr>
              <w:pStyle w:val="TableContents"/>
              <w:bidi w:val="0"/>
              <w:spacing w:before="0" w:after="0"/>
              <w:jc w:val="left"/>
              <w:rPr>
                <w:spacing w:val="-3"/>
              </w:rPr>
            </w:pPr>
            <w:r>
              <w:rPr>
                <w:spacing w:val="-3"/>
              </w:rPr>
              <w:t xml:space="preserve">CONTENT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ROIR">
              <w:r>
                <w:rPr>
                  <w:rStyle w:val="InternetLink"/>
                  <w:b/>
                  <w:spacing w:val="-4"/>
                </w:rPr>
                <w:t>Report of Independent Registered Public Accounting Firm (PCAOB ID: 1021)</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ROIR">
              <w:r>
                <w:rPr>
                  <w:rStyle w:val="InternetLink"/>
                  <w:spacing w:val="4"/>
                </w:rPr>
                <w:t>F-13</w:t>
              </w:r>
            </w:hyperlink>
            <w:hyperlink w:anchor="t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
              <w:r>
                <w:rPr>
                  <w:rStyle w:val="InternetLink"/>
                  <w:b/>
                  <w:spacing w:val="-4"/>
                </w:rPr>
                <w:t>Consolidated Statements of Profit or Loss and Other Comprehensive Income (Loss)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
              <w:r>
                <w:rPr>
                  <w:rStyle w:val="InternetLink"/>
                  <w:spacing w:val="4"/>
                </w:rPr>
                <w:t>F-14</w:t>
              </w:r>
            </w:hyperlink>
            <w:hyperlink w:anchor="tS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1">
              <w:r>
                <w:rPr>
                  <w:rStyle w:val="InternetLink"/>
                  <w:b/>
                  <w:spacing w:val="-4"/>
                </w:rPr>
                <w:t>Consolidated Statements of Financial Position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1">
              <w:r>
                <w:rPr>
                  <w:rStyle w:val="InternetLink"/>
                  <w:spacing w:val="4"/>
                </w:rPr>
                <w:t>F-15</w:t>
              </w:r>
            </w:hyperlink>
            <w:hyperlink w:anchor="tS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2">
              <w:r>
                <w:rPr>
                  <w:rStyle w:val="InternetLink"/>
                  <w:b/>
                  <w:spacing w:val="-4"/>
                </w:rPr>
                <w:t>Consolidated Statements of Changes in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2">
              <w:r>
                <w:rPr>
                  <w:rStyle w:val="InternetLink"/>
                  <w:spacing w:val="4"/>
                </w:rPr>
                <w:t>F-16</w:t>
              </w:r>
            </w:hyperlink>
            <w:hyperlink w:anchor="tS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3">
              <w:r>
                <w:rPr>
                  <w:rStyle w:val="InternetLink"/>
                  <w:b/>
                  <w:spacing w:val="-4"/>
                </w:rPr>
                <w:t>Consolidated Statements of Cash Flows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3">
              <w:r>
                <w:rPr>
                  <w:rStyle w:val="InternetLink"/>
                  <w:spacing w:val="4"/>
                </w:rPr>
                <w:t>F-17</w:t>
              </w:r>
            </w:hyperlink>
            <w:hyperlink w:anchor="tSCSO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BDE">
              <w:r>
                <w:rPr>
                  <w:rStyle w:val="InternetLink"/>
                  <w:b/>
                  <w:spacing w:val="-4"/>
                </w:rPr>
                <w:t>1. BUSINESS DESCRIPTION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BDE">
              <w:r>
                <w:rPr>
                  <w:rStyle w:val="InternetLink"/>
                  <w:spacing w:val="4"/>
                </w:rPr>
                <w:t>F-18</w:t>
              </w:r>
            </w:hyperlink>
            <w:hyperlink w:anchor="t1B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OP">
              <w:r>
                <w:rPr>
                  <w:rStyle w:val="InternetLink"/>
                  <w:b/>
                  <w:spacing w:val="-4"/>
                </w:rPr>
                <w:t>2. BASIS OF PRESENTATION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OP">
              <w:r>
                <w:rPr>
                  <w:rStyle w:val="InternetLink"/>
                  <w:spacing w:val="4"/>
                </w:rPr>
                <w:t>F-18</w:t>
              </w:r>
            </w:hyperlink>
            <w:hyperlink w:anchor="t2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DE">
              <w:r>
                <w:rPr>
                  <w:rStyle w:val="InternetLink"/>
                  <w:b/>
                  <w:spacing w:val="-4"/>
                </w:rPr>
                <w:t>3. DE-SPAC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DE">
              <w:r>
                <w:rPr>
                  <w:rStyle w:val="InternetLink"/>
                  <w:spacing w:val="4"/>
                </w:rPr>
                <w:t>F-20</w:t>
              </w:r>
            </w:hyperlink>
            <w:hyperlink w:anchor="t3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4AP">
              <w:r>
                <w:rPr>
                  <w:rStyle w:val="InternetLink"/>
                  <w:b/>
                  <w:spacing w:val="-4"/>
                </w:rPr>
                <w:t>4. MATERIAL ACCOUNTING POLICIES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4AP">
              <w:r>
                <w:rPr>
                  <w:rStyle w:val="InternetLink"/>
                  <w:spacing w:val="4"/>
                </w:rPr>
                <w:t>F-21</w:t>
              </w:r>
            </w:hyperlink>
            <w:hyperlink w:anchor="t4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5AJE">
              <w:r>
                <w:rPr>
                  <w:rStyle w:val="InternetLink"/>
                  <w:b/>
                  <w:spacing w:val="-4"/>
                </w:rPr>
                <w:t>5. SIGNIFICANT ACCOUNTING JUDGMENTS, ESTIMATES AND ASSUMPTIONS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5AJE">
              <w:r>
                <w:rPr>
                  <w:rStyle w:val="InternetLink"/>
                  <w:spacing w:val="4"/>
                </w:rPr>
                <w:t>F-30</w:t>
              </w:r>
            </w:hyperlink>
            <w:hyperlink w:anchor="t5AJ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6AGI">
              <w:r>
                <w:rPr>
                  <w:rStyle w:val="InternetLink"/>
                  <w:b/>
                  <w:spacing w:val="-4"/>
                </w:rPr>
                <w:t>6. SEGMENT AND GEOGRAPHIC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6AGI">
              <w:r>
                <w:rPr>
                  <w:rStyle w:val="InternetLink"/>
                  <w:spacing w:val="4"/>
                </w:rPr>
                <w:t>F-31</w:t>
              </w:r>
            </w:hyperlink>
            <w:hyperlink w:anchor="t6A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7FCW">
              <w:r>
                <w:rPr>
                  <w:rStyle w:val="InternetLink"/>
                  <w:b/>
                  <w:spacing w:val="-4"/>
                </w:rPr>
                <w:t>7. REVENUE FROM CONTRACTS WITH CUSTOMERS AND COST OF SALES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7FCW">
              <w:r>
                <w:rPr>
                  <w:rStyle w:val="InternetLink"/>
                  <w:spacing w:val="4"/>
                </w:rPr>
                <w:t>F-33</w:t>
              </w:r>
            </w:hyperlink>
            <w:hyperlink w:anchor="t7F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8SEX">
              <w:r>
                <w:rPr>
                  <w:rStyle w:val="InternetLink"/>
                  <w:b/>
                  <w:spacing w:val="-4"/>
                </w:rPr>
                <w:t>8. SELLING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8SEX">
              <w:r>
                <w:rPr>
                  <w:rStyle w:val="InternetLink"/>
                  <w:spacing w:val="4"/>
                </w:rPr>
                <w:t>F-34</w:t>
              </w:r>
            </w:hyperlink>
            <w:hyperlink w:anchor="t8S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9AE">
              <w:r>
                <w:rPr>
                  <w:rStyle w:val="InternetLink"/>
                  <w:b/>
                  <w:spacing w:val="-4"/>
                </w:rPr>
                <w:t>9. GENERAL ADMINISTRATION EXPENSES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9AE">
              <w:r>
                <w:rPr>
                  <w:rStyle w:val="InternetLink"/>
                  <w:spacing w:val="4"/>
                </w:rPr>
                <w:t>F-34</w:t>
              </w:r>
            </w:hyperlink>
            <w:hyperlink w:anchor="t9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ADE">
              <w:r>
                <w:rPr>
                  <w:rStyle w:val="InternetLink"/>
                  <w:b/>
                  <w:spacing w:val="-4"/>
                </w:rPr>
                <w:t>10. RESEARCH AND DEVELOPMENT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ADE">
              <w:r>
                <w:rPr>
                  <w:rStyle w:val="InternetLink"/>
                  <w:spacing w:val="4"/>
                </w:rPr>
                <w:t>F-35</w:t>
              </w:r>
            </w:hyperlink>
            <w:hyperlink w:anchor="t1A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1IN">
              <w:r>
                <w:rPr>
                  <w:rStyle w:val="InternetLink"/>
                  <w:b/>
                  <w:spacing w:val="-4"/>
                </w:rPr>
                <w:t>11. OTHER INCOME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1IN">
              <w:r>
                <w:rPr>
                  <w:rStyle w:val="InternetLink"/>
                  <w:spacing w:val="4"/>
                </w:rPr>
                <w:t>F-35</w:t>
              </w:r>
            </w:hyperlink>
            <w:hyperlink w:anchor="t1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2EX">
              <w:r>
                <w:rPr>
                  <w:rStyle w:val="InternetLink"/>
                  <w:b/>
                  <w:spacing w:val="-4"/>
                </w:rPr>
                <w:t>12. OTHER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2EX">
              <w:r>
                <w:rPr>
                  <w:rStyle w:val="InternetLink"/>
                  <w:spacing w:val="4"/>
                </w:rPr>
                <w:t>F-36</w:t>
              </w:r>
            </w:hyperlink>
            <w:hyperlink w:anchor="t12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LE">
              <w:r>
                <w:rPr>
                  <w:rStyle w:val="InternetLink"/>
                  <w:b/>
                  <w:spacing w:val="-4"/>
                </w:rPr>
                <w:t>13. SHARE LISTING EXPENSE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LE">
              <w:r>
                <w:rPr>
                  <w:rStyle w:val="InternetLink"/>
                  <w:spacing w:val="4"/>
                </w:rPr>
                <w:t>F-36</w:t>
              </w:r>
            </w:hyperlink>
            <w:hyperlink w:anchor="t1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ROF">
              <w:r>
                <w:rPr>
                  <w:rStyle w:val="InternetLink"/>
                  <w:b/>
                  <w:spacing w:val="-4"/>
                </w:rPr>
                <w:t>14. IMPAIRMENT REVERSAL OF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ROF">
              <w:r>
                <w:rPr>
                  <w:rStyle w:val="InternetLink"/>
                  <w:spacing w:val="4"/>
                </w:rPr>
                <w:t>F-37</w:t>
              </w:r>
            </w:hyperlink>
            <w:hyperlink w:anchor="t1R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5RE">
              <w:r>
                <w:rPr>
                  <w:rStyle w:val="InternetLink"/>
                  <w:b/>
                  <w:spacing w:val="-4"/>
                </w:rPr>
                <w:t>15. FINANCIAL RESULT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5RE">
              <w:r>
                <w:rPr>
                  <w:rStyle w:val="InternetLink"/>
                  <w:spacing w:val="4"/>
                </w:rPr>
                <w:t>F-37</w:t>
              </w:r>
            </w:hyperlink>
            <w:hyperlink w:anchor="t15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LIE">
              <w:r>
                <w:rPr>
                  <w:rStyle w:val="InternetLink"/>
                  <w:b/>
                  <w:spacing w:val="-4"/>
                </w:rPr>
                <w:t>16. PROFIT (LOSS) IN EQUITY METHOD INVESTMENTS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LIE">
              <w:r>
                <w:rPr>
                  <w:rStyle w:val="InternetLink"/>
                  <w:spacing w:val="4"/>
                </w:rPr>
                <w:t>F-38</w:t>
              </w:r>
            </w:hyperlink>
            <w:hyperlink w:anchor="t1L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7TA">
              <w:r>
                <w:rPr>
                  <w:rStyle w:val="InternetLink"/>
                  <w:b/>
                  <w:spacing w:val="-4"/>
                </w:rPr>
                <w:t>17. INCOME TAXES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7TA">
              <w:r>
                <w:rPr>
                  <w:rStyle w:val="InternetLink"/>
                  <w:spacing w:val="4"/>
                </w:rPr>
                <w:t>F-38</w:t>
              </w:r>
            </w:hyperlink>
            <w:hyperlink w:anchor="t17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PS">
              <w:r>
                <w:rPr>
                  <w:rStyle w:val="InternetLink"/>
                  <w:b/>
                  <w:spacing w:val="-4"/>
                </w:rPr>
                <w:t>18. EARNINGS PER SHARE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PS">
              <w:r>
                <w:rPr>
                  <w:rStyle w:val="InternetLink"/>
                  <w:spacing w:val="4"/>
                </w:rPr>
                <w:t>F-41</w:t>
              </w:r>
            </w:hyperlink>
            <w:hyperlink w:anchor="t1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9AS">
              <w:r>
                <w:rPr>
                  <w:rStyle w:val="InternetLink"/>
                  <w:b/>
                  <w:spacing w:val="-4"/>
                </w:rPr>
                <w:t>19. INTANGIBLE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9AS">
              <w:r>
                <w:rPr>
                  <w:rStyle w:val="InternetLink"/>
                  <w:spacing w:val="4"/>
                </w:rPr>
                <w:t>F-42</w:t>
              </w:r>
            </w:hyperlink>
            <w:hyperlink w:anchor="t1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PAE">
              <w:r>
                <w:rPr>
                  <w:rStyle w:val="InternetLink"/>
                  <w:b/>
                  <w:spacing w:val="-4"/>
                </w:rPr>
                <w:t>20. PROPERTY, PLANT AND EQUIPMENT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PAE">
              <w:r>
                <w:rPr>
                  <w:rStyle w:val="InternetLink"/>
                  <w:spacing w:val="4"/>
                </w:rPr>
                <w:t>F-43</w:t>
              </w:r>
            </w:hyperlink>
            <w:hyperlink w:anchor="t2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1L">
              <w:r>
                <w:rPr>
                  <w:rStyle w:val="InternetLink"/>
                  <w:b/>
                  <w:spacing w:val="-4"/>
                </w:rPr>
                <w:t>21. LEASES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1L">
              <w:r>
                <w:rPr>
                  <w:rStyle w:val="InternetLink"/>
                  <w:spacing w:val="4"/>
                </w:rPr>
                <w:t>F-44</w:t>
              </w:r>
            </w:hyperlink>
            <w:hyperlink w:anchor="t21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2AS">
              <w:r>
                <w:rPr>
                  <w:rStyle w:val="InternetLink"/>
                  <w:b/>
                  <w:spacing w:val="-4"/>
                </w:rPr>
                <w:t>22.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2AS">
              <w:r>
                <w:rPr>
                  <w:rStyle w:val="InternetLink"/>
                  <w:spacing w:val="4"/>
                </w:rPr>
                <w:t>F-46</w:t>
              </w:r>
            </w:hyperlink>
            <w:hyperlink w:anchor="t22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3I">
              <w:r>
                <w:rPr>
                  <w:rStyle w:val="InternetLink"/>
                  <w:b/>
                  <w:spacing w:val="-4"/>
                </w:rPr>
                <w:t>23. INVENTORIES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3I">
              <w:r>
                <w:rPr>
                  <w:rStyle w:val="InternetLink"/>
                  <w:spacing w:val="4"/>
                </w:rPr>
                <w:t>F-46</w:t>
              </w:r>
            </w:hyperlink>
            <w:hyperlink w:anchor="t23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RAO">
              <w:r>
                <w:rPr>
                  <w:rStyle w:val="InternetLink"/>
                  <w:b/>
                  <w:spacing w:val="-4"/>
                </w:rPr>
                <w:t>24. TRADE RECEIVABLES AND OTHER RECEIVABLES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RAO">
              <w:r>
                <w:rPr>
                  <w:rStyle w:val="InternetLink"/>
                  <w:spacing w:val="4"/>
                </w:rPr>
                <w:t>F-46</w:t>
              </w:r>
            </w:hyperlink>
            <w:hyperlink w:anchor="t2R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CA">
              <w:r>
                <w:rPr>
                  <w:rStyle w:val="InternetLink"/>
                  <w:b/>
                  <w:spacing w:val="-4"/>
                </w:rPr>
                <w:t>25. OTHER CURRENT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CA">
              <w:r>
                <w:rPr>
                  <w:rStyle w:val="InternetLink"/>
                  <w:spacing w:val="4"/>
                </w:rPr>
                <w:t>F-47</w:t>
              </w:r>
            </w:hyperlink>
            <w:hyperlink w:anchor="t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CE">
              <w:r>
                <w:rPr>
                  <w:rStyle w:val="InternetLink"/>
                  <w:b/>
                  <w:spacing w:val="-4"/>
                </w:rPr>
                <w:t>26. CASH &amp; CASH EQUIVALENTS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CE">
              <w:r>
                <w:rPr>
                  <w:rStyle w:val="InternetLink"/>
                  <w:spacing w:val="4"/>
                </w:rPr>
                <w:t>F-47</w:t>
              </w:r>
            </w:hyperlink>
            <w:hyperlink w:anchor="t2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7E">
              <w:r>
                <w:rPr>
                  <w:rStyle w:val="InternetLink"/>
                  <w:b/>
                  <w:spacing w:val="-4"/>
                </w:rPr>
                <w:t>27.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7E">
              <w:r>
                <w:rPr>
                  <w:rStyle w:val="InternetLink"/>
                  <w:spacing w:val="4"/>
                </w:rPr>
                <w:t>F-47</w:t>
              </w:r>
            </w:hyperlink>
            <w:hyperlink w:anchor="t27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8IN">
              <w:r>
                <w:rPr>
                  <w:rStyle w:val="InternetLink"/>
                  <w:b/>
                  <w:spacing w:val="-4"/>
                </w:rPr>
                <w:t>28. NON-CONTROLLING INTEREST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8IN">
              <w:r>
                <w:rPr>
                  <w:rStyle w:val="InternetLink"/>
                  <w:spacing w:val="4"/>
                </w:rPr>
                <w:t>F-47</w:t>
              </w:r>
            </w:hyperlink>
            <w:hyperlink w:anchor="t28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ACF">
              <w:r>
                <w:rPr>
                  <w:rStyle w:val="InternetLink"/>
                  <w:b/>
                  <w:spacing w:val="-4"/>
                </w:rPr>
                <w:t>29. NON-CURRENT AND CURRENT FINANCIAL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ACF">
              <w:r>
                <w:rPr>
                  <w:rStyle w:val="InternetLink"/>
                  <w:spacing w:val="4"/>
                </w:rPr>
                <w:t>F-48</w:t>
              </w:r>
            </w:hyperlink>
            <w:hyperlink w:anchor="t2A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0PR">
              <w:r>
                <w:rPr>
                  <w:rStyle w:val="InternetLink"/>
                  <w:b/>
                  <w:spacing w:val="-4"/>
                </w:rPr>
                <w:t>30. OTHER PROVISIONS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0PR">
              <w:r>
                <w:rPr>
                  <w:rStyle w:val="InternetLink"/>
                  <w:spacing w:val="4"/>
                </w:rPr>
                <w:t>F-50</w:t>
              </w:r>
            </w:hyperlink>
            <w:hyperlink w:anchor="t30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1BE">
              <w:r>
                <w:rPr>
                  <w:rStyle w:val="InternetLink"/>
                  <w:b/>
                  <w:spacing w:val="-4"/>
                </w:rPr>
                <w:t>31. POST-EMPLOYMENT BENEFITS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1BE">
              <w:r>
                <w:rPr>
                  <w:rStyle w:val="InternetLink"/>
                  <w:spacing w:val="4"/>
                </w:rPr>
                <w:t>F-51</w:t>
              </w:r>
            </w:hyperlink>
            <w:hyperlink w:anchor="t3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RP">
              <w:r>
                <w:rPr>
                  <w:rStyle w:val="InternetLink"/>
                  <w:b/>
                  <w:spacing w:val="-4"/>
                </w:rPr>
                <w:t>32. TRADE AND RELATED PARTY PAYABLES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RP">
              <w:r>
                <w:rPr>
                  <w:rStyle w:val="InternetLink"/>
                  <w:spacing w:val="4"/>
                </w:rPr>
                <w:t>F-52</w:t>
              </w:r>
            </w:hyperlink>
            <w:hyperlink w:anchor="t3AR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CL">
              <w:r>
                <w:rPr>
                  <w:rStyle w:val="InternetLink"/>
                  <w:b/>
                  <w:spacing w:val="-4"/>
                </w:rPr>
                <w:t>33. OTHER CURRENT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CL">
              <w:r>
                <w:rPr>
                  <w:rStyle w:val="InternetLink"/>
                  <w:spacing w:val="4"/>
                </w:rPr>
                <w:t>F-52</w:t>
              </w:r>
            </w:hyperlink>
            <w:hyperlink w:anchor="t3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IAF">
              <w:r>
                <w:rPr>
                  <w:rStyle w:val="InternetLink"/>
                  <w:b/>
                  <w:spacing w:val="-4"/>
                </w:rPr>
                <w:t>34. FINANCIAL INSTRUMENTS AND FINANCIAL RISK MANAGEMENT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IAF">
              <w:r>
                <w:rPr>
                  <w:rStyle w:val="InternetLink"/>
                  <w:spacing w:val="4"/>
                </w:rPr>
                <w:t>F-52</w:t>
              </w:r>
            </w:hyperlink>
            <w:hyperlink w:anchor="t3I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MI">
              <w:r>
                <w:rPr>
                  <w:rStyle w:val="InternetLink"/>
                  <w:b/>
                  <w:spacing w:val="-4"/>
                </w:rPr>
                <w:t>35. EQUITY METHOD INVESTMENTS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MI">
              <w:r>
                <w:rPr>
                  <w:rStyle w:val="InternetLink"/>
                  <w:spacing w:val="4"/>
                </w:rPr>
                <w:t>F-60</w:t>
              </w:r>
            </w:hyperlink>
            <w:hyperlink w:anchor="t3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C">
              <w:r>
                <w:rPr>
                  <w:rStyle w:val="InternetLink"/>
                  <w:b/>
                  <w:spacing w:val="-4"/>
                </w:rPr>
                <w:t>36. COMMITMENTS AND CONTINGENCIES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C">
              <w:r>
                <w:rPr>
                  <w:rStyle w:val="InternetLink"/>
                  <w:spacing w:val="4"/>
                </w:rPr>
                <w:t>F-61</w:t>
              </w:r>
            </w:hyperlink>
            <w:hyperlink w:anchor="t3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PD">
              <w:r>
                <w:rPr>
                  <w:rStyle w:val="InternetLink"/>
                  <w:b/>
                  <w:spacing w:val="-4"/>
                </w:rPr>
                <w:t>37. RELATED PARTY DISCLOSURES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PD">
              <w:r>
                <w:rPr>
                  <w:rStyle w:val="InternetLink"/>
                  <w:spacing w:val="4"/>
                </w:rPr>
                <w:t>F-61</w:t>
              </w:r>
            </w:hyperlink>
            <w:hyperlink w:anchor="t3P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TR">
              <w:r>
                <w:rPr>
                  <w:rStyle w:val="InternetLink"/>
                  <w:b/>
                  <w:spacing w:val="-4"/>
                </w:rPr>
                <w:t>38. EVENTS AFTER THE REPORTING PERIOD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TR">
              <w:r>
                <w:rPr>
                  <w:rStyle w:val="InternetLink"/>
                  <w:spacing w:val="4"/>
                </w:rPr>
                <w:t>F-63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ROI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Shareholders and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SCHMID Group N.V.: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Opinion on the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Basis for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AG Wirtschaftsprüfungsgesellschaft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Stuttgart, Germany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SCS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Profit or Loss and Other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Comprehensive Income (Loss)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665"/>
        <w:gridCol w:w="109"/>
        <w:gridCol w:w="109"/>
        <w:gridCol w:w="573"/>
        <w:gridCol w:w="109"/>
        <w:gridCol w:w="109"/>
        <w:gridCol w:w="109"/>
        <w:gridCol w:w="109"/>
        <w:gridCol w:w="855"/>
        <w:gridCol w:w="109"/>
        <w:gridCol w:w="109"/>
        <w:gridCol w:w="109"/>
        <w:gridCol w:w="109"/>
        <w:gridCol w:w="109"/>
        <w:gridCol w:w="855"/>
        <w:gridCol w:w="109"/>
        <w:gridCol w:w="109"/>
        <w:gridCol w:w="109"/>
        <w:gridCol w:w="109"/>
        <w:gridCol w:w="109"/>
        <w:gridCol w:w="855"/>
        <w:gridCol w:w="109"/>
        <w:gridCol w:w="156"/>
      </w:tblGrid>
      <w:tr>
        <w:trPr/>
        <w:tc>
          <w:tcPr>
            <w:tcW w:w="3665"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14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pPr>
            <w:r>
              <w:rPr>
                <w:spacing w:val="-4"/>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Other comprehensive income (loss) that may be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differences on translation of foreign business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(1,625)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283"/>
              <w:jc w:val="left"/>
              <w:rPr>
                <w:spacing w:val="4"/>
              </w:rPr>
            </w:pPr>
            <w:r>
              <w:rPr>
                <w:spacing w:val="4"/>
              </w:rPr>
              <w:t xml:space="preserve">Items that will not be subsequently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Remeasurement of defined pension benefit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on remeasurement of defined pension benefit obligation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pPr>
            <w:r>
              <w:rPr>
                <w:spacing w:val="-4"/>
              </w:rPr>
              <w:t>Total items that will not be subsequently reclassified to profit or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Other comprehensive income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(1,152)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Total consolidated comprehensive income (loss) for the reporting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(72,252)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(83,746)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36,346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283"/>
              <w:jc w:val="left"/>
              <w:rPr/>
            </w:pPr>
            <w:r>
              <w:rPr>
                <w:spacing w:val="-4"/>
              </w:rPr>
              <w:t>Net income (loss) attributable to</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(84,111)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283"/>
              <w:jc w:val="left"/>
              <w:rPr/>
            </w:pPr>
            <w:r>
              <w:rPr>
                <w:spacing w:val="-4"/>
              </w:rPr>
              <w:t>Total consolidated comprehensive income (loss) attributable 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Owners of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35,669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Earnings per share for profit / (loss) from continuing operations attributable to the ordinary equity holders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Basic and 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SCSO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Financial Position as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717"/>
        <w:gridCol w:w="109"/>
        <w:gridCol w:w="109"/>
        <w:gridCol w:w="604"/>
        <w:gridCol w:w="109"/>
        <w:gridCol w:w="109"/>
        <w:gridCol w:w="109"/>
        <w:gridCol w:w="109"/>
        <w:gridCol w:w="1014"/>
        <w:gridCol w:w="109"/>
        <w:gridCol w:w="109"/>
        <w:gridCol w:w="109"/>
        <w:gridCol w:w="109"/>
        <w:gridCol w:w="109"/>
        <w:gridCol w:w="1014"/>
        <w:gridCol w:w="109"/>
        <w:gridCol w:w="155"/>
      </w:tblGrid>
      <w:tr>
        <w:trPr/>
        <w:tc>
          <w:tcPr>
            <w:tcW w:w="4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17,262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14,941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including right-of-use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12,234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16,203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2,317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2,684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49,058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32,300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15,734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33,653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3,054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57,257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60,800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106,315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93,100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Subscribed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Capital reserves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114,448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(245,896)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(174,853)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(2,259)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(1,138)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SCHMID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pPr>
            <w:r>
              <w:rPr>
                <w:spacing w:val="-4"/>
              </w:rPr>
              <w:t>27</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71,518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42,053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Post-employment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Non-current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7,153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8,233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81,859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53,127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87,148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38,071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28,179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1,461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156,622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100,417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106,315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93,100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SCSO2"/>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Changes in Equity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tbl>
      <w:tblPr>
        <w:tblW w:w="13421" w:type="dxa"/>
        <w:jc w:val="left"/>
        <w:tblInd w:w="543" w:type="dxa"/>
        <w:tblLayout w:type="fixed"/>
        <w:tblCellMar>
          <w:top w:w="0" w:type="dxa"/>
          <w:left w:w="0" w:type="dxa"/>
          <w:bottom w:w="43" w:type="dxa"/>
          <w:right w:w="0" w:type="dxa"/>
        </w:tblCellMar>
      </w:tblPr>
      <w:tblGrid>
        <w:gridCol w:w="1594"/>
        <w:gridCol w:w="109"/>
        <w:gridCol w:w="109"/>
        <w:gridCol w:w="562"/>
        <w:gridCol w:w="109"/>
        <w:gridCol w:w="109"/>
        <w:gridCol w:w="109"/>
        <w:gridCol w:w="109"/>
        <w:gridCol w:w="841"/>
        <w:gridCol w:w="109"/>
        <w:gridCol w:w="109"/>
        <w:gridCol w:w="109"/>
        <w:gridCol w:w="109"/>
        <w:gridCol w:w="109"/>
        <w:gridCol w:w="886"/>
        <w:gridCol w:w="109"/>
        <w:gridCol w:w="109"/>
        <w:gridCol w:w="109"/>
        <w:gridCol w:w="109"/>
        <w:gridCol w:w="109"/>
        <w:gridCol w:w="1009"/>
        <w:gridCol w:w="109"/>
        <w:gridCol w:w="109"/>
        <w:gridCol w:w="109"/>
        <w:gridCol w:w="155"/>
        <w:gridCol w:w="155"/>
        <w:gridCol w:w="1028"/>
        <w:gridCol w:w="157"/>
        <w:gridCol w:w="109"/>
        <w:gridCol w:w="109"/>
        <w:gridCol w:w="109"/>
        <w:gridCol w:w="109"/>
        <w:gridCol w:w="961"/>
        <w:gridCol w:w="109"/>
        <w:gridCol w:w="109"/>
        <w:gridCol w:w="109"/>
        <w:gridCol w:w="164"/>
        <w:gridCol w:w="164"/>
        <w:gridCol w:w="1086"/>
        <w:gridCol w:w="165"/>
        <w:gridCol w:w="109"/>
        <w:gridCol w:w="109"/>
        <w:gridCol w:w="109"/>
        <w:gridCol w:w="109"/>
        <w:gridCol w:w="961"/>
        <w:gridCol w:w="109"/>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Capital</w:t>
            </w:r>
            <w:r>
              <w:rPr/>
              <w:t xml:space="preserve"> </w:t>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Equity</w:t>
            </w:r>
            <w:r>
              <w:rPr/>
              <w:t xml:space="preserve"> </w:t>
              <w:br/>
            </w:r>
            <w:r>
              <w:rPr>
                <w:spacing w:val="-3"/>
              </w:rPr>
              <w:t>attributable to</w:t>
            </w:r>
            <w:r>
              <w:rPr/>
              <w:t xml:space="preserve"> </w:t>
              <w:br/>
            </w:r>
            <w:r>
              <w:rPr>
                <w:spacing w:val="-3"/>
              </w:rPr>
              <w:t>owners of</w:t>
            </w:r>
            <w:r>
              <w:rPr/>
              <w:t xml:space="preserve"> </w:t>
              <w:br/>
            </w:r>
            <w:r>
              <w:rPr>
                <w:spacing w:val="-3"/>
              </w:rPr>
              <w:t xml:space="preserve">SCHMID N.V.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9" w:type="dxa"/>
            <w:gridSpan w:val="4"/>
            <w:tcBorders>
              <w:bottom w:val="single" w:sz="2" w:space="0" w:color="000000"/>
            </w:tcBorders>
            <w:vAlign w:val="center"/>
          </w:tcPr>
          <w:p>
            <w:pPr>
              <w:pStyle w:val="TableContents"/>
              <w:bidi w:val="0"/>
              <w:spacing w:before="0" w:after="0"/>
              <w:jc w:val="center"/>
              <w:rPr/>
            </w:pPr>
            <w:r>
              <w:rPr>
                <w:spacing w:val="-3"/>
              </w:rPr>
              <w:t>Non-controlling</w:t>
            </w:r>
            <w:r>
              <w:rPr/>
              <w:t xml:space="preserve"> </w:t>
              <w:br/>
            </w: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1/1/2023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23,004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47,475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(131,235)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(239)</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(60,996)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6,681</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(54,315)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0"/>
              <w:jc w:val="right"/>
              <w:rPr/>
            </w:pPr>
            <w:r>
              <w:rPr/>
              <w:t>​</w:t>
            </w:r>
          </w:p>
        </w:tc>
        <w:tc>
          <w:tcPr>
            <w:tcW w:w="1028" w:type="dxa"/>
            <w:tcBorders/>
            <w:tcMar>
              <w:bottom w:w="0" w:type="dxa"/>
            </w:tcMar>
            <w:vAlign w:val="center"/>
          </w:tcPr>
          <w:p>
            <w:pPr>
              <w:pStyle w:val="TableContents"/>
              <w:bidi w:val="0"/>
              <w:spacing w:before="0" w:after="0"/>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1,086</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37,954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4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09"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(1,199)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(409)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(1,199)</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677</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23,004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47,603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(94,367)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(1,438)</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(25,198)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7,358</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(17,841)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7</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65</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Minority interest reduction – SCHMID Technology (Guangdong) Co., Ltd. (STG)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(6,755)</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(6,755)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Reorganization – Share based payment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(22,573)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431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(1,138)</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(61,113)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(31)</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(1,121)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(90)</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(72,252)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3" w:type="dxa"/>
            </w:tcMar>
            <w:vAlign w:val="center"/>
          </w:tcPr>
          <w:p>
            <w:pPr>
              <w:pStyle w:val="TableContents"/>
              <w:bidi w:val="0"/>
              <w:spacing w:before="0" w:after="0"/>
              <w:jc w:val="center"/>
              <w:rPr>
                <w:spacing w:val="4"/>
              </w:rPr>
            </w:pPr>
            <w:r>
              <w:rPr>
                <w:spacing w:val="4"/>
              </w:rPr>
              <w:t xml:space="preserve">22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431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114,980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(245,896)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(2,259)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579</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SCSO3"/>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Cash Flows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377"/>
        <w:gridCol w:w="109"/>
        <w:gridCol w:w="109"/>
        <w:gridCol w:w="109"/>
        <w:gridCol w:w="109"/>
        <w:gridCol w:w="881"/>
        <w:gridCol w:w="109"/>
        <w:gridCol w:w="109"/>
        <w:gridCol w:w="109"/>
        <w:gridCol w:w="109"/>
        <w:gridCol w:w="109"/>
        <w:gridCol w:w="881"/>
        <w:gridCol w:w="109"/>
        <w:gridCol w:w="109"/>
        <w:gridCol w:w="109"/>
        <w:gridCol w:w="109"/>
        <w:gridCol w:w="109"/>
        <w:gridCol w:w="881"/>
        <w:gridCol w:w="109"/>
        <w:gridCol w:w="157"/>
      </w:tblGrid>
      <w:tr>
        <w:trPr/>
        <w:tc>
          <w:tcPr>
            <w:tcW w:w="437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37,954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Adjustments to reconcile consolidated net income (loss) to net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Net loss (gain) from the disposal of intangibles and PP&amp;E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impairments of financial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Other non-cash (income)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equity method investments (non-cash)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non-current financial assets (non-cash)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283"/>
              <w:jc w:val="left"/>
              <w:rPr>
                <w:spacing w:val="4"/>
              </w:rPr>
            </w:pPr>
            <w:r>
              <w:rPr>
                <w:spacing w:val="4"/>
              </w:rPr>
              <w:t xml:space="preserve">Working capital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(6,729)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(1,161)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(2,578)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9,897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(6,907)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Receipts from sale and leaseback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sale (purchases) of financial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Payment for loan to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disposal of a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61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(6,227)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(4,054)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72,019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(81,871)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business combination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financing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2,923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(83,714)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spacing w:val="4"/>
              </w:rPr>
            </w:pPr>
            <w:r>
              <w:rPr>
                <w:spacing w:val="4"/>
              </w:rPr>
              <w:t xml:space="preserve">Effect of foreign exchange rate changes on cash and cash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5,710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8,332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5,710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1BDE"/>
      <w:bookmarkEnd w:id="52"/>
      <w:r>
        <w:rPr>
          <w:rFonts w:ascii="calibri;arial;sans-serif" w:hAnsi="calibri;arial;sans-serif"/>
          <w:b w:val="false"/>
          <w:i w:val="false"/>
          <w:caps w:val="false"/>
          <w:smallCaps w:val="false"/>
          <w:color w:val="000000"/>
          <w:sz w:val="16"/>
        </w:rPr>
        <w:t>​</w:t>
      </w:r>
      <w:bookmarkStart w:id="53" w:name="t2OP"/>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BUSINESS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 crucial factor for SCHMID’s business success. The majority of research work and the development of SCHMID technologies are conducted in Freudenstadt.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and for the years ended December 31, 2025 and 2024 have been prepared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in conformity with International Financial Reporting Standards (“IFRS Accounting Standards”), as issued by the International Accounting Standards Board (“IASB”).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entities which comprise the consolidated financial statements and its investments in joint ventures accounted for using the equity method are as follows: </w:t>
      </w:r>
    </w:p>
    <w:tbl>
      <w:tblPr>
        <w:tblW w:w="8812" w:type="dxa"/>
        <w:jc w:val="left"/>
        <w:tblInd w:w="1393" w:type="dxa"/>
        <w:tblLayout w:type="fixed"/>
        <w:tblCellMar>
          <w:top w:w="0" w:type="dxa"/>
          <w:left w:w="0" w:type="dxa"/>
          <w:bottom w:w="43" w:type="dxa"/>
          <w:right w:w="0" w:type="dxa"/>
        </w:tblCellMar>
      </w:tblPr>
      <w:tblGrid>
        <w:gridCol w:w="4051"/>
        <w:gridCol w:w="109"/>
        <w:gridCol w:w="109"/>
        <w:gridCol w:w="1653"/>
        <w:gridCol w:w="109"/>
        <w:gridCol w:w="109"/>
        <w:gridCol w:w="130"/>
        <w:gridCol w:w="130"/>
        <w:gridCol w:w="758"/>
        <w:gridCol w:w="130"/>
        <w:gridCol w:w="109"/>
        <w:gridCol w:w="109"/>
        <w:gridCol w:w="130"/>
        <w:gridCol w:w="130"/>
        <w:gridCol w:w="758"/>
        <w:gridCol w:w="130"/>
        <w:gridCol w:w="158"/>
      </w:tblGrid>
      <w:tr>
        <w:trPr/>
        <w:tc>
          <w:tcPr>
            <w:tcW w:w="40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Group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USA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Singapore Pte.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Korea Co.,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Technology Guangdong Co., Ltd.</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China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Shenzhen Ltd.</w:t>
            </w:r>
            <w:r>
              <w:rPr>
                <w:spacing w:val="3"/>
                <w:sz w:val="13"/>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(Kunshan)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Taiwan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Taiwan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Automation (Zhuhai)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Solar (Shenzhen) Ltd. 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Trading (Zhongshan)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Pegasus Digital Mobility Acquisition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Pacific Sdn. Bhd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Malaysia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150"/>
        <w:gridCol w:w="109"/>
        <w:gridCol w:w="109"/>
        <w:gridCol w:w="1397"/>
        <w:gridCol w:w="109"/>
        <w:gridCol w:w="109"/>
        <w:gridCol w:w="153"/>
        <w:gridCol w:w="153"/>
        <w:gridCol w:w="766"/>
        <w:gridCol w:w="153"/>
        <w:gridCol w:w="109"/>
        <w:gridCol w:w="109"/>
        <w:gridCol w:w="153"/>
        <w:gridCol w:w="153"/>
        <w:gridCol w:w="766"/>
        <w:gridCol w:w="153"/>
        <w:gridCol w:w="161"/>
      </w:tblGrid>
      <w:tr>
        <w:trPr/>
        <w:tc>
          <w:tcPr>
            <w:tcW w:w="41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7"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283"/>
              <w:jc w:val="left"/>
              <w:rPr/>
            </w:pPr>
            <w:r>
              <w:rPr>
                <w:spacing w:val="-4"/>
              </w:rPr>
              <w:t>Equity method investees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150"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Avaco Korea,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7" w:type="dxa"/>
            <w:tcBorders/>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Energy Systems GmbH (SES)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transfer of the remaining minority shares not yet executed as of December 31, 2025. </w:t>
      </w:r>
      <w:r>
        <mc:AlternateContent>
          <mc:Choice Requires="wps">
            <w:drawing>
              <wp:anchor behindDoc="0" distT="83820" distB="0" distL="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Shenzhen Ltd. was liquidated in September 2025 and SCHMID Solar (Shenzhen) Ltd. in January 2026 </w:t>
      </w:r>
      <w:r>
        <mc:AlternateContent>
          <mc:Choice Requires="wps">
            <w:drawing>
              <wp:anchor behindDoc="0" distT="33020" distB="0" distL="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were authorized for issuance by the Board on May 12, 2026.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Intra-reporting entity transactions and balances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Going Concern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preparation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and 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3DE"/>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as of December 31, 2025, the Group had a significant working capital deficiency, reflecting the impact of continued operating losses and constrained access to financing during the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Measures implemented after the reporting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December 31, 2025, the Group implemented several measures to strengthen liquidity and reduce near-term obligations,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debt-for-equity set-off with XJ Harbour, effective in 2025 based on irrevocable contracts signed in November 2025, with the issuance of 12,540,539 shares being completed on January 16, 2026, eliminating the related payment obligation; </w:t>
      </w:r>
      <w:r>
        <mc:AlternateContent>
          <mc:Choice Requires="wps">
            <w:drawing>
              <wp:anchor behindDoc="0" distT="9906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an Investment Agreement in January 2026 for the issuance of USD 30.0 million senior convertible notes structured in two tranches of USD 15.0 million each and additional warrants. The first tranche was received on January 21, 2026 and the second tranche was received on March 5, 2026; and </w:t>
      </w:r>
      <w:r>
        <mc:AlternateContent>
          <mc:Choice Requires="wps">
            <w:drawing>
              <wp:anchor behindDoc="0" distT="9906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 </w:t>
      </w:r>
      <w:r>
        <mc:AlternateContent>
          <mc:Choice Requires="wps">
            <w:drawing>
              <wp:anchor behindDoc="0" distT="9906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plans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has prepared detailed cash flow forecasts covering at least twelve months from the date of authorization of these consolidated financial statements. These forecasts reflect: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conversion of the €51 million order backlog as of December 31, 2025 into revenues,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order intake during the forecast period,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implementation of planned cost reduction measures, including a €4 million annual cost-savings program in Germany; and </w:t>
      </w:r>
      <w:r>
        <mc:AlternateContent>
          <mc:Choice Requires="wps">
            <w:drawing>
              <wp:anchor behindDoc="0" distT="7366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external financing, including the SEPA facility if needed.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DE-SPAC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4A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with Merger Sub as the surviving company, SCHMID GmbH N.V. would be the ultimate parent company of SCHMID GmbH (altogether: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was incorporated for the purpose of holding Merger Sub and SCHMID GmbH following the consummation of the Business Combination which occurred on April 30, 2024. Ordinary shares and warrants issued by SCHMID Group N.V. are listed on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Pegasus constituted a transaction by SCHMID Group N.V., which is accounted for within the scope of IFRS 2 as a “reverse recapitalization”.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MATERIAL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Research and development (R&amp;D) costs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Patents and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expenditures on assets are capitalized only when it is probable that future economic benefits associated with the expenditure will flow to SCHMID. Repairs and maintenance are expensed in profit or loss in the period the costs are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items of property, plant and equipment are sold or disposed of, the gain or loss arising from the disposal is recognized as other operating income or expense in the consolidated statement of profit or loss and other comprehensive income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calculated on a straight-line basis based on the following useful lives: </w:t>
      </w:r>
    </w:p>
    <w:tbl>
      <w:tblPr>
        <w:tblW w:w="5663" w:type="dxa"/>
        <w:jc w:val="left"/>
        <w:tblInd w:w="1393" w:type="dxa"/>
        <w:tblLayout w:type="fixed"/>
        <w:tblCellMar>
          <w:top w:w="0" w:type="dxa"/>
          <w:left w:w="0" w:type="dxa"/>
          <w:bottom w:w="28" w:type="dxa"/>
          <w:right w:w="0" w:type="dxa"/>
        </w:tblCellMar>
      </w:tblPr>
      <w:tblGrid>
        <w:gridCol w:w="3848"/>
        <w:gridCol w:w="109"/>
        <w:gridCol w:w="109"/>
        <w:gridCol w:w="1443"/>
        <w:gridCol w:w="154"/>
      </w:tblGrid>
      <w:tr>
        <w:trPr/>
        <w:tc>
          <w:tcPr>
            <w:tcW w:w="38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Useful life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and building improvements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10 – 50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8" w:type="dxa"/>
            <w:tcBorders/>
            <w:tcMar>
              <w:bottom w:w="0" w:type="dxa"/>
            </w:tcMar>
            <w:vAlign w:val="center"/>
          </w:tcPr>
          <w:p>
            <w:pPr>
              <w:pStyle w:val="TableContents"/>
              <w:bidi w:val="0"/>
              <w:spacing w:before="0" w:after="0"/>
              <w:jc w:val="left"/>
              <w:rPr>
                <w:spacing w:val="4"/>
              </w:rPr>
            </w:pPr>
            <w:r>
              <w:rPr>
                <w:spacing w:val="4"/>
              </w:rPr>
              <w:t xml:space="preserve">Technical equipment and machinery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3" w:type="dxa"/>
            <w:tcBorders/>
            <w:tcMar>
              <w:bottom w:w="0" w:type="dxa"/>
            </w:tcMar>
            <w:vAlign w:val="center"/>
          </w:tcPr>
          <w:p>
            <w:pPr>
              <w:pStyle w:val="TableContents"/>
              <w:bidi w:val="0"/>
              <w:spacing w:before="0" w:after="0"/>
              <w:jc w:val="right"/>
              <w:rPr/>
            </w:pPr>
            <w:r>
              <w:rPr>
                <w:spacing w:val="4"/>
              </w:rPr>
              <w:t>2 – 21 years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other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3 – 13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residual values, useful lives and methods of depreciation of property, plant and equipment are reviewed at each financial year end and adjusted prospectively, if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lessee, at the inception of a contract, SCHMID assesses whether the contract is, or contains, a lease. A contract is, or contains, a lease if the contract conveys the right to control the use of an identified asset for a period in exchange for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arising from a lease are initially measured at present value of lease payments discounted using interest rate implicit in the lease or incremental borrowing rate in case interest rate implicit in the lease is not readily determinable.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 components of the lease payments included in the measurement of the lease liability comprise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lease payments;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variable lease payments that depend on an index or rate, initially measured using the index or rate as at the commencement date; </w:t>
      </w:r>
      <w:r>
        <mc:AlternateContent>
          <mc:Choice Requires="wps">
            <w:drawing>
              <wp:anchor behindDoc="0" distT="7493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in an optional renewal period if SCHMID is reasonably certain to exercise an extension option; </w:t>
      </w:r>
      <w:r>
        <mc:AlternateContent>
          <mc:Choice Requires="wps">
            <w:drawing>
              <wp:anchor behindDoc="0" distT="7493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non-lease components are not separated from lease components but accounted for as single lease components.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related to retirement obligations for leased buildings are included in the cost of right of use assets for the respective underlying building lease.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 and Leaseback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Cash and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assets include cash and cash equivalents, trade and other receivables as well as other financial assets. Other financial assets consist of a loan to one shareholder and other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initially measured at fair value plus, in the case of a financial asset not measured at fair value through profit or loss, transaction costs. As an exception to this general rule, trade receivables are measured at their transaction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asset is derecognized (i.e., removed from SCHMID’s consolidated statement of financial position) when the rights to receive cash flows from the financial asset have expired or have been transferred and SCHMID has transferred substantially all risks and rewards of ownership.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of financial assets — expected credit losses (“ECLs”)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Current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Deferred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liabilities are measured at the tax rates that are expected to apply in the year in which the asset is realized, or the liability is settled, based on tax rates (and tax laws) that have been enacted or substantively enacted at the reporting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deferred tax liabilities are not discounted and are always classified as non-current asset or liabilities in the consolidated statement of financial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Fair Values of Assets and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contains the use of unadjusted quoted prices in active markets for identical assets or liabilities </w:t>
      </w:r>
      <w:r>
        <mc:AlternateContent>
          <mc:Choice Requires="wps">
            <w:drawing>
              <wp:anchor behindDoc="0" distT="762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other than quoted prices included within Level 1 that are observable for the asset or liability either directly or indirectly </w:t>
      </w:r>
      <w:r>
        <mc:AlternateContent>
          <mc:Choice Requires="wps">
            <w:drawing>
              <wp:anchor behindDoc="0" distT="762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based on unobservable market data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transfers between levels of the fair value hierarchy at the end of the reporting period during which the change has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granted a defined benefit pension to Christian Schmid. The cost of providing benefits under the defined benefit plan is determined using the projected unit credit method.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interest is calculated by applying the discount rate to the net defined benefit liability. SCHMID recognizes the changes in the net defined benefit obligation under OCI.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Revenue Recognition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these long-term development contracts, revenue is recognized over time as these contracts meet the criteria of IFRS 15.35. Revenue resulting from fixed payments that the Company receives —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Inventories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Government Grants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grants related to costs incurred by SCHMID are recognized in profit or loss as other operating income in the period in which the Company recognizes as expenses the related costs to be compensated by the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Interests in equity-accounted investees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Group’s interests in equity-accounted investees comprise interests in associates. Associates are those entities in which the Group has significant influence, but not control or joint control, over the financial and operating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and amended standards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applied the following standards and amendments for the first time for its annual reporting period commencing January 1, 2025: Amendment to IAS 21 — Lack of Exchangeability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5AJE"/>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listed above did not have any material impact on the amounts recognized in prior periods and is not expected to significantly affect the current or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Standards and Interpretations not yet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 </w:t>
      </w:r>
    </w:p>
    <w:tbl>
      <w:tblPr>
        <w:tblW w:w="8812" w:type="dxa"/>
        <w:jc w:val="left"/>
        <w:tblInd w:w="1393" w:type="dxa"/>
        <w:tblLayout w:type="fixed"/>
        <w:tblCellMar>
          <w:top w:w="0" w:type="dxa"/>
          <w:left w:w="0" w:type="dxa"/>
          <w:bottom w:w="50" w:type="dxa"/>
          <w:right w:w="0" w:type="dxa"/>
        </w:tblCellMar>
      </w:tblPr>
      <w:tblGrid>
        <w:gridCol w:w="7130"/>
        <w:gridCol w:w="109"/>
        <w:gridCol w:w="109"/>
        <w:gridCol w:w="119"/>
        <w:gridCol w:w="119"/>
        <w:gridCol w:w="950"/>
        <w:gridCol w:w="119"/>
        <w:gridCol w:w="157"/>
      </w:tblGrid>
      <w:tr>
        <w:trPr/>
        <w:tc>
          <w:tcPr>
            <w:tcW w:w="7130" w:type="dxa"/>
            <w:tcBorders>
              <w:bottom w:val="single" w:sz="2" w:space="0" w:color="000000"/>
            </w:tcBorders>
            <w:vAlign w:val="center"/>
          </w:tcPr>
          <w:p>
            <w:pPr>
              <w:pStyle w:val="TableContents"/>
              <w:bidi w:val="0"/>
              <w:spacing w:before="0" w:after="0"/>
              <w:jc w:val="left"/>
              <w:rPr>
                <w:spacing w:val="-3"/>
              </w:rPr>
            </w:pPr>
            <w:r>
              <w:rPr>
                <w:spacing w:val="-3"/>
              </w:rPr>
              <w:t xml:space="preserve">Standard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Effective date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Contracts Referencing Nature-dependent Electricity – Amendments to IFRS 9 and IFRS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Annual Improvements Volume 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1/1/2026</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Amendments to the Classification and Measurement of Financial Instruments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IFRS 18 – Presentation and Disclosure in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1/1/2027</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IFRS 18 Presentation and Disclosure in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currently working to identify all impacts the amendments will have on the primary financial statements and notes to the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SIGNIFICANT ACCOUNTING JUDGMENTS, ESTIMATES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Debt to equity swap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6AGI"/>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test on R&amp;D costs capitalized on assets that are not yet ready for use is performed at each reporting date. For detailed information on key assumptions underlying recoverable amounts please see note 19. Intangible Assets.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 in Group14 shares, a private company whose share are not publicly traded, require significant estimates to determine the fair value of the Group14 shares. For further detail refer to note 22.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SEGMENT AND GEOGRAPHIC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CODM examines the Company’s performance from a product perspective and has therefore identified two operating segments: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Technical equipment and processes includes mainly the sale of machines including installation and extended warranties. </w:t>
      </w:r>
      <w:r>
        <mc:AlternateContent>
          <mc:Choice Requires="wps">
            <w:drawing>
              <wp:anchor behindDoc="0" distT="11684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Spare parts and services includes the sale of spare parts as well as services including repairs, modifications of machines and inspections. </w:t>
      </w:r>
      <w:r>
        <mc:AlternateContent>
          <mc:Choice Requires="wps">
            <w:drawing>
              <wp:anchor behindDoc="0" distT="11684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segments are also the reporting segments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are neither allocated to the operating segments nor regularly provided to the CODM.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key financial metrics by segment are as follows: </w:t>
      </w:r>
    </w:p>
    <w:tbl>
      <w:tblPr>
        <w:tblW w:w="8765" w:type="dxa"/>
        <w:jc w:val="left"/>
        <w:tblInd w:w="1393" w:type="dxa"/>
        <w:tblLayout w:type="fixed"/>
        <w:tblCellMar>
          <w:top w:w="0" w:type="dxa"/>
          <w:left w:w="0" w:type="dxa"/>
          <w:bottom w:w="28" w:type="dxa"/>
          <w:right w:w="0" w:type="dxa"/>
        </w:tblCellMar>
      </w:tblPr>
      <w:tblGrid>
        <w:gridCol w:w="2878"/>
        <w:gridCol w:w="109"/>
        <w:gridCol w:w="109"/>
        <w:gridCol w:w="143"/>
        <w:gridCol w:w="143"/>
        <w:gridCol w:w="1009"/>
        <w:gridCol w:w="143"/>
        <w:gridCol w:w="109"/>
        <w:gridCol w:w="109"/>
        <w:gridCol w:w="129"/>
        <w:gridCol w:w="129"/>
        <w:gridCol w:w="906"/>
        <w:gridCol w:w="129"/>
        <w:gridCol w:w="109"/>
        <w:gridCol w:w="109"/>
        <w:gridCol w:w="109"/>
        <w:gridCol w:w="109"/>
        <w:gridCol w:w="466"/>
        <w:gridCol w:w="109"/>
        <w:gridCol w:w="109"/>
        <w:gridCol w:w="109"/>
        <w:gridCol w:w="132"/>
        <w:gridCol w:w="132"/>
        <w:gridCol w:w="938"/>
        <w:gridCol w:w="135"/>
        <w:gridCol w:w="154"/>
      </w:tblGrid>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1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54,446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11,885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66,945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3,415</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2,261</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6,267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585"/>
        <w:gridCol w:w="109"/>
        <w:gridCol w:w="109"/>
        <w:gridCol w:w="137"/>
        <w:gridCol w:w="137"/>
        <w:gridCol w:w="969"/>
        <w:gridCol w:w="137"/>
        <w:gridCol w:w="109"/>
        <w:gridCol w:w="109"/>
        <w:gridCol w:w="125"/>
        <w:gridCol w:w="125"/>
        <w:gridCol w:w="883"/>
        <w:gridCol w:w="125"/>
        <w:gridCol w:w="109"/>
        <w:gridCol w:w="109"/>
        <w:gridCol w:w="109"/>
        <w:gridCol w:w="109"/>
        <w:gridCol w:w="903"/>
        <w:gridCol w:w="109"/>
        <w:gridCol w:w="109"/>
        <w:gridCol w:w="109"/>
        <w:gridCol w:w="123"/>
        <w:gridCol w:w="123"/>
        <w:gridCol w:w="956"/>
        <w:gridCol w:w="125"/>
        <w:gridCol w:w="160"/>
      </w:tblGrid>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4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49,593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11,192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60,836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611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2,459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(77,527)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(74,457)</w:t>
            </w:r>
          </w:p>
        </w:tc>
        <w:tc>
          <w:tcPr>
            <w:tcW w:w="12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689"/>
        <w:gridCol w:w="109"/>
        <w:gridCol w:w="109"/>
        <w:gridCol w:w="139"/>
        <w:gridCol w:w="139"/>
        <w:gridCol w:w="982"/>
        <w:gridCol w:w="139"/>
        <w:gridCol w:w="109"/>
        <w:gridCol w:w="109"/>
        <w:gridCol w:w="126"/>
        <w:gridCol w:w="126"/>
        <w:gridCol w:w="890"/>
        <w:gridCol w:w="126"/>
        <w:gridCol w:w="109"/>
        <w:gridCol w:w="109"/>
        <w:gridCol w:w="109"/>
        <w:gridCol w:w="109"/>
        <w:gridCol w:w="766"/>
        <w:gridCol w:w="109"/>
        <w:gridCol w:w="109"/>
        <w:gridCol w:w="109"/>
        <w:gridCol w:w="131"/>
        <w:gridCol w:w="131"/>
        <w:gridCol w:w="933"/>
        <w:gridCol w:w="134"/>
        <w:gridCol w:w="162"/>
      </w:tblGrid>
      <w:tr>
        <w:trPr/>
        <w:tc>
          <w:tcPr>
            <w:tcW w:w="26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3"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78,743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11,503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33" w:type="dxa"/>
            <w:tcBorders/>
            <w:shd w:fill="CCEEFF" w:val="clear"/>
            <w:tcMar>
              <w:bottom w:w="0" w:type="dxa"/>
            </w:tcMar>
            <w:vAlign w:val="center"/>
          </w:tcPr>
          <w:p>
            <w:pPr>
              <w:pStyle w:val="TableContents"/>
              <w:bidi w:val="0"/>
              <w:spacing w:before="0" w:after="283"/>
              <w:jc w:val="right"/>
              <w:rPr/>
            </w:pPr>
            <w:r>
              <w:rPr/>
              <w:t>90,246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89"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12,872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3,787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33" w:type="dxa"/>
            <w:tcBorders/>
            <w:tcMar>
              <w:bottom w:w="0" w:type="dxa"/>
            </w:tcMar>
            <w:vAlign w:val="center"/>
          </w:tcPr>
          <w:p>
            <w:pPr>
              <w:pStyle w:val="TableContents"/>
              <w:bidi w:val="0"/>
              <w:spacing w:before="0" w:after="283"/>
              <w:jc w:val="right"/>
              <w:rPr/>
            </w:pPr>
            <w:r>
              <w:rPr/>
              <w:t>39,099</w:t>
            </w:r>
          </w:p>
        </w:tc>
        <w:tc>
          <w:tcPr>
            <w:tcW w:w="13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column “Other” includes costs related to head office and group services as well as certain effects not directly attributable to the operating segments.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expense in “Other” is mainly due to the share listing expense amounting to €71,631 thousand as well as other cost associated with the listing (€ 1,765 thousand), legal and consulting (€3,607 thousand) as well as general and administration costs (€3,250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from total Segment Adjusted EBITDA to income (loss) for the period according to IFRS: </w:t>
      </w:r>
    </w:p>
    <w:tbl>
      <w:tblPr>
        <w:tblW w:w="8764" w:type="dxa"/>
        <w:jc w:val="left"/>
        <w:tblInd w:w="1393" w:type="dxa"/>
        <w:tblLayout w:type="fixed"/>
        <w:tblCellMar>
          <w:top w:w="0" w:type="dxa"/>
          <w:left w:w="0" w:type="dxa"/>
          <w:bottom w:w="50" w:type="dxa"/>
          <w:right w:w="0" w:type="dxa"/>
        </w:tblCellMar>
      </w:tblPr>
      <w:tblGrid>
        <w:gridCol w:w="4347"/>
        <w:gridCol w:w="109"/>
        <w:gridCol w:w="109"/>
        <w:gridCol w:w="109"/>
        <w:gridCol w:w="109"/>
        <w:gridCol w:w="916"/>
        <w:gridCol w:w="109"/>
        <w:gridCol w:w="109"/>
        <w:gridCol w:w="109"/>
        <w:gridCol w:w="109"/>
        <w:gridCol w:w="109"/>
        <w:gridCol w:w="916"/>
        <w:gridCol w:w="109"/>
        <w:gridCol w:w="109"/>
        <w:gridCol w:w="109"/>
        <w:gridCol w:w="109"/>
        <w:gridCol w:w="109"/>
        <w:gridCol w:w="796"/>
        <w:gridCol w:w="109"/>
        <w:gridCol w:w="154"/>
      </w:tblGrid>
      <w:tr>
        <w:trPr/>
        <w:tc>
          <w:tcPr>
            <w:tcW w:w="43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(74,457)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7"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37,953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can be split into the following geographical areas: </w:t>
      </w:r>
    </w:p>
    <w:tbl>
      <w:tblPr>
        <w:tblW w:w="6532"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EMEA w/o 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are presented based on the location of the customer receiving the service or goods. In 2025, no customer had a revenue share of more 10% individually of the total revenues.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customers in 2024 with a revenue share of more than 10% individually of the total revenues. The revenue with the first customer amounts to €7,866 thousand (2023: €17,649 thousand), €6,500 thousand for the second customer (2023: €16,361 thousand) and €6,232 thousand for the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7FCW"/>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(2023: €12,280 thousand). Revenue for these three customers is recognized within both the “Technical equipment and processes” and “Spare parts and services” operating segments.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Non-current assets are distributed among geographical areas as follows: </w:t>
      </w:r>
    </w:p>
    <w:tbl>
      <w:tblPr>
        <w:tblW w:w="4472" w:type="dxa"/>
        <w:jc w:val="left"/>
        <w:tblInd w:w="1393" w:type="dxa"/>
        <w:tblLayout w:type="fixed"/>
        <w:tblCellMar>
          <w:top w:w="0" w:type="dxa"/>
          <w:left w:w="0" w:type="dxa"/>
          <w:bottom w:w="50" w:type="dxa"/>
          <w:right w:w="0" w:type="dxa"/>
        </w:tblCellMar>
      </w:tblPr>
      <w:tblGrid>
        <w:gridCol w:w="1426"/>
        <w:gridCol w:w="109"/>
        <w:gridCol w:w="109"/>
        <w:gridCol w:w="122"/>
        <w:gridCol w:w="122"/>
        <w:gridCol w:w="862"/>
        <w:gridCol w:w="122"/>
        <w:gridCol w:w="109"/>
        <w:gridCol w:w="109"/>
        <w:gridCol w:w="122"/>
        <w:gridCol w:w="122"/>
        <w:gridCol w:w="862"/>
        <w:gridCol w:w="122"/>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25,833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966</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1,741</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460</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29,495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28,034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non-current assets include property, plant and equipment as well as intangible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REVENUE FROM CONTRACTS WITH CUSTOMERS AND COST OF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split of SCHMID revenues according to types of sales categories is as follows: </w:t>
      </w:r>
    </w:p>
    <w:tbl>
      <w:tblPr>
        <w:tblW w:w="7882" w:type="dxa"/>
        <w:jc w:val="left"/>
        <w:tblInd w:w="1393" w:type="dxa"/>
        <w:tblLayout w:type="fixed"/>
        <w:tblCellMar>
          <w:top w:w="0" w:type="dxa"/>
          <w:left w:w="0" w:type="dxa"/>
          <w:bottom w:w="50" w:type="dxa"/>
          <w:right w:w="0" w:type="dxa"/>
        </w:tblCellMar>
      </w:tblPr>
      <w:tblGrid>
        <w:gridCol w:w="379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379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0"/>
              <w:jc w:val="left"/>
              <w:rPr/>
            </w:pPr>
            <w:r>
              <w:rPr>
                <w:spacing w:val="4"/>
              </w:rPr>
              <w:t>Technical equipment and processes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tcMar>
              <w:bottom w:w="0" w:type="dxa"/>
            </w:tcMar>
            <w:vAlign w:val="center"/>
          </w:tcPr>
          <w:p>
            <w:pPr>
              <w:pStyle w:val="TableContents"/>
              <w:bidi w:val="0"/>
              <w:spacing w:before="0" w:after="0"/>
              <w:jc w:val="left"/>
              <w:rPr>
                <w:spacing w:val="4"/>
              </w:rPr>
            </w:pPr>
            <w:r>
              <w:rPr>
                <w:spacing w:val="4"/>
              </w:rPr>
              <w:t xml:space="preserve">Spare Parts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283"/>
              <w:jc w:val="left"/>
              <w:rPr/>
            </w:pPr>
            <w:r>
              <w:rPr>
                <w:spacing w:val="4"/>
              </w:rPr>
              <w:t>Service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bottom w:val="single" w:sz="2" w:space="0" w:color="FFFFFF"/>
            </w:tcBorders>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615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1,189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“Technical equipment and processes” category is revenue from the sale and installation of machines, long-term development and extended warranties. </w:t>
      </w:r>
      <w:r>
        <mc:AlternateContent>
          <mc:Choice Requires="wps">
            <w:drawing>
              <wp:anchor behindDoc="0" distT="102870" distB="0" distL="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“Services” category is revenue from repair services, installations of modifications and inspections. </w:t>
      </w:r>
      <w:r>
        <mc:AlternateContent>
          <mc:Choice Requires="wps">
            <w:drawing>
              <wp:anchor behindDoc="0" distT="52070" distB="0" distL="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contract liabilities for years ended December 31, 2025 and 2024 are as follows: </w:t>
      </w:r>
    </w:p>
    <w:tbl>
      <w:tblPr>
        <w:tblW w:w="8812" w:type="dxa"/>
        <w:jc w:val="left"/>
        <w:tblInd w:w="1393" w:type="dxa"/>
        <w:tblLayout w:type="fixed"/>
        <w:tblCellMar>
          <w:top w:w="0" w:type="dxa"/>
          <w:left w:w="0" w:type="dxa"/>
          <w:bottom w:w="50" w:type="dxa"/>
          <w:right w:w="0" w:type="dxa"/>
        </w:tblCellMar>
      </w:tblPr>
      <w:tblGrid>
        <w:gridCol w:w="5782"/>
        <w:gridCol w:w="109"/>
        <w:gridCol w:w="109"/>
        <w:gridCol w:w="109"/>
        <w:gridCol w:w="109"/>
        <w:gridCol w:w="892"/>
        <w:gridCol w:w="109"/>
        <w:gridCol w:w="109"/>
        <w:gridCol w:w="109"/>
        <w:gridCol w:w="109"/>
        <w:gridCol w:w="109"/>
        <w:gridCol w:w="892"/>
        <w:gridCol w:w="109"/>
        <w:gridCol w:w="156"/>
      </w:tblGrid>
      <w:tr>
        <w:trPr/>
        <w:tc>
          <w:tcPr>
            <w:tcW w:w="578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82" w:type="dxa"/>
            <w:tcBorders/>
            <w:shd w:fill="CCEEFF" w:val="clear"/>
            <w:tcMar>
              <w:bottom w:w="0" w:type="dxa"/>
            </w:tcMar>
            <w:vAlign w:val="center"/>
          </w:tcPr>
          <w:p>
            <w:pPr>
              <w:pStyle w:val="TableContents"/>
              <w:bidi w:val="0"/>
              <w:spacing w:before="0" w:after="0"/>
              <w:jc w:val="left"/>
              <w:rPr/>
            </w:pPr>
            <w:r>
              <w:rPr>
                <w:spacing w:val="-4"/>
              </w:rPr>
              <w:t>Balance at January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2" w:type="dxa"/>
            <w:tcBorders/>
            <w:tcMar>
              <w:bottom w:w="0" w:type="dxa"/>
            </w:tcMar>
            <w:vAlign w:val="center"/>
          </w:tcPr>
          <w:p>
            <w:pPr>
              <w:pStyle w:val="TableContents"/>
              <w:bidi w:val="0"/>
              <w:spacing w:before="0" w:after="0"/>
              <w:jc w:val="left"/>
              <w:rPr>
                <w:spacing w:val="4"/>
              </w:rPr>
            </w:pPr>
            <w:r>
              <w:rPr>
                <w:spacing w:val="4"/>
              </w:rPr>
              <w:t xml:space="preserve">Sales revenues included in contractual liabilities at the beginning of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(17,769)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Increase due to customer payments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13,425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11,121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82" w:type="dxa"/>
            <w:tcBorders>
              <w:bottom w:val="single" w:sz="2" w:space="0" w:color="FFFFFF"/>
            </w:tcBorders>
            <w:vAlign w:val="center"/>
          </w:tcPr>
          <w:p>
            <w:pPr>
              <w:pStyle w:val="TableContents"/>
              <w:bidi w:val="0"/>
              <w:spacing w:before="0" w:after="0"/>
              <w:jc w:val="left"/>
              <w:rPr/>
            </w:pPr>
            <w:r>
              <w:rPr>
                <w:spacing w:val="-4"/>
              </w:rPr>
              <w:t>Balance at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13,555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11,284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the Order Backlog for the machine sales amounts to €50,886 thousand (December 31, 2024: €27,713 thousand,December 31, 2023: €48,651 thousand). All order backlog is expected to be realized within 12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8SEX"/>
      <w:bookmarkEnd w:id="59"/>
      <w:r>
        <w:rPr>
          <w:rFonts w:ascii="calibri;arial;sans-serif" w:hAnsi="calibri;arial;sans-serif"/>
          <w:b w:val="false"/>
          <w:i w:val="false"/>
          <w:caps w:val="false"/>
          <w:smallCaps w:val="false"/>
          <w:color w:val="000000"/>
          <w:sz w:val="16"/>
        </w:rPr>
        <w:t>​</w:t>
      </w:r>
      <w:bookmarkStart w:id="60" w:name="t9AE"/>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Backlog represents the goods or services contractually committed by customers but not delivered/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provided as of the date of the statement of financial position.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cost of sales include the following cost types: </w:t>
      </w:r>
    </w:p>
    <w:tbl>
      <w:tblPr>
        <w:tblW w:w="7251" w:type="dxa"/>
        <w:jc w:val="left"/>
        <w:tblInd w:w="1393" w:type="dxa"/>
        <w:tblLayout w:type="fixed"/>
        <w:tblCellMar>
          <w:top w:w="0" w:type="dxa"/>
          <w:left w:w="0" w:type="dxa"/>
          <w:bottom w:w="50" w:type="dxa"/>
          <w:right w:w="0" w:type="dxa"/>
        </w:tblCellMar>
      </w:tblPr>
      <w:tblGrid>
        <w:gridCol w:w="2714"/>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271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Material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(24,911)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(35,767)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(4,217)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(6,488)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jc w:val="left"/>
              <w:rPr/>
            </w:pPr>
            <w:r>
              <w:rPr>
                <w:spacing w:val="-4"/>
              </w:rPr>
              <w:t>Total cost of sales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(50,928)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(48,791)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(63,849)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a variety of positions such as cost for outward freight, production-related short-term leases and facility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SELLING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consist of the following: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Sales Commission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Distribution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(1,537)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Advertisement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(1,021)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selling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(11,999)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(12,895)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(12,577)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Distribution-related external administration comprises costs including utilities, insurance, travel expenses or expenses for short-term leases. Other expenses include mainly depreciation.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Commission expenses in 2024 include €900 thousand compensation from a settlement agreement with a former sales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ADMINISTRATION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administrative expenses consist of the following: </w:t>
      </w:r>
    </w:p>
    <w:tbl>
      <w:tblPr>
        <w:tblW w:w="7916" w:type="dxa"/>
        <w:jc w:val="left"/>
        <w:tblInd w:w="1393" w:type="dxa"/>
        <w:tblLayout w:type="fixed"/>
        <w:tblCellMar>
          <w:top w:w="0" w:type="dxa"/>
          <w:left w:w="0" w:type="dxa"/>
          <w:bottom w:w="50" w:type="dxa"/>
          <w:right w:w="0" w:type="dxa"/>
        </w:tblCellMar>
      </w:tblPr>
      <w:tblGrid>
        <w:gridCol w:w="337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337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(4,401)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External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bottom w:val="single" w:sz="2" w:space="0" w:color="FFFFFF"/>
            </w:tcBorders>
            <w:vAlign w:val="center"/>
          </w:tcPr>
          <w:p>
            <w:pPr>
              <w:pStyle w:val="TableContents"/>
              <w:bidi w:val="0"/>
              <w:spacing w:before="0" w:after="0"/>
              <w:jc w:val="left"/>
              <w:rPr>
                <w:spacing w:val="4"/>
              </w:rPr>
            </w:pPr>
            <w:r>
              <w:rPr>
                <w:spacing w:val="4"/>
              </w:rPr>
              <w:t xml:space="preserve">Other administrative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(1,229)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bottom w:val="single" w:sz="2" w:space="0" w:color="CCEEFF"/>
            </w:tcBorders>
            <w:shd w:fill="CCEEFF" w:val="clear"/>
            <w:vAlign w:val="center"/>
          </w:tcPr>
          <w:p>
            <w:pPr>
              <w:pStyle w:val="TableContents"/>
              <w:bidi w:val="0"/>
              <w:spacing w:before="0" w:after="0"/>
              <w:jc w:val="left"/>
              <w:rPr/>
            </w:pPr>
            <w:r>
              <w:rPr>
                <w:spacing w:val="-4"/>
              </w:rPr>
              <w:t>Total administrative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(11,404)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(11,792)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1ADE"/>
      <w:bookmarkEnd w:id="61"/>
      <w:r>
        <w:rPr>
          <w:rFonts w:ascii="calibri;arial;sans-serif" w:hAnsi="calibri;arial;sans-serif"/>
          <w:b w:val="false"/>
          <w:i w:val="false"/>
          <w:caps w:val="false"/>
          <w:smallCaps w:val="false"/>
          <w:color w:val="000000"/>
          <w:sz w:val="16"/>
        </w:rPr>
        <w:t>​</w:t>
      </w:r>
      <w:bookmarkStart w:id="62" w:name="t11IN"/>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RESEARCH AND DEVELOPMENT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expenses that do not fulfill the recognition criteria according to IAS 38 consist of the following: </w:t>
      </w:r>
    </w:p>
    <w:tbl>
      <w:tblPr>
        <w:tblW w:w="8453" w:type="dxa"/>
        <w:jc w:val="left"/>
        <w:tblInd w:w="1393" w:type="dxa"/>
        <w:tblLayout w:type="fixed"/>
        <w:tblCellMar>
          <w:top w:w="0" w:type="dxa"/>
          <w:left w:w="0" w:type="dxa"/>
          <w:bottom w:w="50" w:type="dxa"/>
          <w:right w:w="0" w:type="dxa"/>
        </w:tblCellMar>
      </w:tblPr>
      <w:tblGrid>
        <w:gridCol w:w="4276"/>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42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R&amp;D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research and development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76" w:type="dxa"/>
            <w:tcBorders>
              <w:bottom w:val="single" w:sz="2" w:space="0" w:color="FFFFFF"/>
            </w:tcBorders>
            <w:vAlign w:val="center"/>
          </w:tcPr>
          <w:p>
            <w:pPr>
              <w:pStyle w:val="TableContents"/>
              <w:bidi w:val="0"/>
              <w:spacing w:before="0" w:after="0"/>
              <w:jc w:val="left"/>
              <w:rPr/>
            </w:pPr>
            <w:r>
              <w:rPr>
                <w:spacing w:val="-4"/>
              </w:rPr>
              <w:t>Total research and development expenses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(3,974)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(5,148)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related external administration comprises allocated costs such as utilities, insurance, travel expenses or expenses for short-term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03" w:type="dxa"/>
        <w:jc w:val="left"/>
        <w:tblInd w:w="1393" w:type="dxa"/>
        <w:tblLayout w:type="fixed"/>
        <w:tblCellMar>
          <w:top w:w="0" w:type="dxa"/>
          <w:left w:w="0" w:type="dxa"/>
          <w:bottom w:w="50" w:type="dxa"/>
          <w:right w:w="0" w:type="dxa"/>
        </w:tblCellMar>
      </w:tblPr>
      <w:tblGrid>
        <w:gridCol w:w="3036"/>
        <w:gridCol w:w="109"/>
        <w:gridCol w:w="109"/>
        <w:gridCol w:w="109"/>
        <w:gridCol w:w="109"/>
        <w:gridCol w:w="766"/>
        <w:gridCol w:w="109"/>
        <w:gridCol w:w="109"/>
        <w:gridCol w:w="109"/>
        <w:gridCol w:w="109"/>
        <w:gridCol w:w="109"/>
        <w:gridCol w:w="646"/>
        <w:gridCol w:w="109"/>
        <w:gridCol w:w="109"/>
        <w:gridCol w:w="109"/>
        <w:gridCol w:w="109"/>
        <w:gridCol w:w="109"/>
        <w:gridCol w:w="766"/>
        <w:gridCol w:w="109"/>
        <w:gridCol w:w="154"/>
      </w:tblGrid>
      <w:tr>
        <w:trPr/>
        <w:tc>
          <w:tcPr>
            <w:tcW w:w="30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Other miscellaneous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0"/>
              <w:jc w:val="left"/>
              <w:rPr>
                <w:spacing w:val="4"/>
              </w:rPr>
            </w:pPr>
            <w:r>
              <w:rPr>
                <w:spacing w:val="4"/>
              </w:rPr>
              <w:t xml:space="preserve">Bonus payments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9,200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vAlign w:val="center"/>
          </w:tcPr>
          <w:p>
            <w:pPr>
              <w:pStyle w:val="TableContents"/>
              <w:bidi w:val="0"/>
              <w:spacing w:before="0" w:after="0"/>
              <w:jc w:val="left"/>
              <w:rPr/>
            </w:pPr>
            <w:r>
              <w:rPr>
                <w:spacing w:val="-4"/>
              </w:rPr>
              <w:t>Total other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12,217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9,018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15,985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currency gains for the financial year ended December 31, 2025 are mainly related to USD denominated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SCHMID acquired the remaining shares in the former at-equity participation SES. The majority of the shares have been transferred to a third-party investor in 2024 resulting in a gain of €3,703 thousand. For further detail refer to note 35. Equity method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12EX"/>
      <w:bookmarkEnd w:id="63"/>
      <w:r>
        <w:rPr>
          <w:rFonts w:ascii="calibri;arial;sans-serif" w:hAnsi="calibri;arial;sans-serif"/>
          <w:b w:val="false"/>
          <w:i w:val="false"/>
          <w:caps w:val="false"/>
          <w:smallCaps w:val="false"/>
          <w:color w:val="000000"/>
          <w:sz w:val="16"/>
        </w:rPr>
        <w:t>​</w:t>
      </w:r>
      <w:bookmarkStart w:id="64" w:name="t1LE"/>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 loan between CS and SCHMID. The proceeds from the shareholder loan were used to repay certain borrowings of SCHMID.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receivables from the Silicon Group which had been impaired in 2017 by SCHMID became recoverable as a result of the SPA resulting in an impairment reversal of €21,375 thousand.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part of the SPA, certain liabilities of the Silicon Group due to SCHMID were settled with the transfer of shares of Group14 to SCHMID valued at €17,664 thousand.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CS repaid the shareholder loan to SCHMID with a total cash amount of €70,000 thousand.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credit loss of €1,418 thousand was therefore reversed.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OTHER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consist of the following: </w:t>
      </w:r>
    </w:p>
    <w:tbl>
      <w:tblPr>
        <w:tblW w:w="6703" w:type="dxa"/>
        <w:jc w:val="left"/>
        <w:tblInd w:w="1393" w:type="dxa"/>
        <w:tblLayout w:type="fixed"/>
        <w:tblCellMar>
          <w:top w:w="0" w:type="dxa"/>
          <w:left w:w="0" w:type="dxa"/>
          <w:bottom w:w="50" w:type="dxa"/>
          <w:right w:w="0" w:type="dxa"/>
        </w:tblCellMar>
      </w:tblPr>
      <w:tblGrid>
        <w:gridCol w:w="2706"/>
        <w:gridCol w:w="109"/>
        <w:gridCol w:w="109"/>
        <w:gridCol w:w="109"/>
        <w:gridCol w:w="109"/>
        <w:gridCol w:w="616"/>
        <w:gridCol w:w="109"/>
        <w:gridCol w:w="109"/>
        <w:gridCol w:w="109"/>
        <w:gridCol w:w="109"/>
        <w:gridCol w:w="109"/>
        <w:gridCol w:w="796"/>
        <w:gridCol w:w="109"/>
        <w:gridCol w:w="109"/>
        <w:gridCol w:w="109"/>
        <w:gridCol w:w="109"/>
        <w:gridCol w:w="109"/>
        <w:gridCol w:w="796"/>
        <w:gridCol w:w="109"/>
        <w:gridCol w:w="154"/>
      </w:tblGrid>
      <w:tr>
        <w:trPr/>
        <w:tc>
          <w:tcPr>
            <w:tcW w:w="270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tcMar>
              <w:bottom w:w="0" w:type="dxa"/>
            </w:tcMar>
            <w:vAlign w:val="center"/>
          </w:tcPr>
          <w:p>
            <w:pPr>
              <w:pStyle w:val="TableContents"/>
              <w:bidi w:val="0"/>
              <w:spacing w:before="0" w:after="0"/>
              <w:jc w:val="left"/>
              <w:rPr>
                <w:spacing w:val="4"/>
              </w:rPr>
            </w:pPr>
            <w:r>
              <w:rPr>
                <w:spacing w:val="4"/>
              </w:rPr>
              <w:t xml:space="preserve">Other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Loss on disposal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0"/>
              <w:jc w:val="left"/>
              <w:rPr>
                <w:spacing w:val="4"/>
              </w:rPr>
            </w:pPr>
            <w:r>
              <w:rPr>
                <w:spacing w:val="4"/>
              </w:rPr>
              <w:t xml:space="preserve">Miscellaneous other items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1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bottom w:val="single" w:sz="2" w:space="0" w:color="CCEEFF"/>
            </w:tcBorders>
            <w:shd w:fill="CCEEFF" w:val="clear"/>
            <w:vAlign w:val="center"/>
          </w:tcPr>
          <w:p>
            <w:pPr>
              <w:pStyle w:val="TableContents"/>
              <w:bidi w:val="0"/>
              <w:spacing w:before="0" w:after="0"/>
              <w:jc w:val="left"/>
              <w:rPr/>
            </w:pPr>
            <w:r>
              <w:rPr>
                <w:spacing w:val="-4"/>
              </w:rPr>
              <w:t>Total other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16" w:type="dxa"/>
            <w:tcBorders>
              <w:bottom w:val="single" w:sz="2" w:space="0" w:color="000000"/>
            </w:tcBorders>
            <w:shd w:fill="CCEEFF" w:val="clear"/>
            <w:vAlign w:val="center"/>
          </w:tcPr>
          <w:p>
            <w:pPr>
              <w:pStyle w:val="TableContents"/>
              <w:bidi w:val="0"/>
              <w:spacing w:before="0" w:after="283"/>
              <w:jc w:val="right"/>
              <w:rPr/>
            </w:pPr>
            <w:r>
              <w:rPr/>
              <w:t>(607)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(2,564)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(2,620)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SHARE LISTING EXPENSE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1ROF"/>
      <w:bookmarkEnd w:id="65"/>
      <w:r>
        <w:rPr>
          <w:rFonts w:ascii="calibri;arial;sans-serif" w:hAnsi="calibri;arial;sans-serif"/>
          <w:b w:val="false"/>
          <w:i w:val="false"/>
          <w:caps w:val="false"/>
          <w:smallCaps w:val="false"/>
          <w:color w:val="000000"/>
          <w:sz w:val="16"/>
        </w:rPr>
        <w:t>​</w:t>
      </w:r>
      <w:bookmarkStart w:id="66" w:name="t15RE"/>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 </w:t>
      </w:r>
    </w:p>
    <w:tbl>
      <w:tblPr>
        <w:tblW w:w="8812" w:type="dxa"/>
        <w:jc w:val="left"/>
        <w:tblInd w:w="1393" w:type="dxa"/>
        <w:tblLayout w:type="fixed"/>
        <w:tblCellMar>
          <w:top w:w="0" w:type="dxa"/>
          <w:left w:w="0" w:type="dxa"/>
          <w:bottom w:w="50" w:type="dxa"/>
          <w:right w:w="0" w:type="dxa"/>
        </w:tblCellMar>
      </w:tblPr>
      <w:tblGrid>
        <w:gridCol w:w="6754"/>
        <w:gridCol w:w="109"/>
        <w:gridCol w:w="109"/>
        <w:gridCol w:w="344"/>
        <w:gridCol w:w="109"/>
        <w:gridCol w:w="109"/>
        <w:gridCol w:w="109"/>
        <w:gridCol w:w="109"/>
        <w:gridCol w:w="795"/>
        <w:gridCol w:w="109"/>
        <w:gridCol w:w="156"/>
      </w:tblGrid>
      <w:tr>
        <w:trPr/>
        <w:tc>
          <w:tcPr>
            <w:tcW w:w="675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Shares to be issued by TopCo to Pegasus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tcMar>
              <w:bottom w:w="0" w:type="dxa"/>
            </w:tcMar>
            <w:vAlign w:val="center"/>
          </w:tcPr>
          <w:p>
            <w:pPr>
              <w:pStyle w:val="TableContents"/>
              <w:bidi w:val="0"/>
              <w:spacing w:before="0" w:after="0"/>
              <w:jc w:val="left"/>
              <w:rPr>
                <w:spacing w:val="4"/>
              </w:rPr>
            </w:pPr>
            <w:r>
              <w:rPr>
                <w:spacing w:val="4"/>
              </w:rPr>
              <w:t xml:space="preserve">Pegasus closing price as of 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9.61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Fair value of shares deemed issued (AxB)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68.106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bottom w:val="single" w:sz="2" w:space="0" w:color="FFFFFF"/>
            </w:tcBorders>
            <w:vAlign w:val="center"/>
          </w:tcPr>
          <w:p>
            <w:pPr>
              <w:pStyle w:val="TableContents"/>
              <w:bidi w:val="0"/>
              <w:spacing w:before="0" w:after="0"/>
              <w:jc w:val="left"/>
              <w:rPr>
                <w:spacing w:val="4"/>
              </w:rPr>
            </w:pPr>
            <w:r>
              <w:rPr>
                <w:spacing w:val="4"/>
              </w:rPr>
              <w:t xml:space="preserve">Pegasus net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5" w:type="dxa"/>
            <w:tcBorders>
              <w:bottom w:val="single" w:sz="2" w:space="0" w:color="000000"/>
            </w:tcBorders>
            <w:vAlign w:val="center"/>
          </w:tcPr>
          <w:p>
            <w:pPr>
              <w:pStyle w:val="TableContents"/>
              <w:bidi w:val="0"/>
              <w:spacing w:before="0" w:after="283"/>
              <w:jc w:val="right"/>
              <w:rPr/>
            </w:pPr>
            <w:r>
              <w:rPr/>
              <w:t>(3,529)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bottom w:val="single" w:sz="2" w:space="0" w:color="CCEEFF"/>
            </w:tcBorders>
            <w:shd w:fill="CCEEFF" w:val="clear"/>
            <w:vAlign w:val="center"/>
          </w:tcPr>
          <w:p>
            <w:pPr>
              <w:pStyle w:val="TableContents"/>
              <w:bidi w:val="0"/>
              <w:spacing w:before="0" w:after="0"/>
              <w:jc w:val="left"/>
              <w:rPr/>
            </w:pPr>
            <w:r>
              <w:rPr>
                <w:spacing w:val="-4"/>
              </w:rPr>
              <w:t>Excess of Fair value of shares over Pegasus’s net assets acquired (C – 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71,630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IMPAIRMENT REVERSAL OF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Reversals of impairments of financial assets includes the following amounts: </w:t>
      </w:r>
    </w:p>
    <w:tbl>
      <w:tblPr>
        <w:tblW w:w="8812" w:type="dxa"/>
        <w:jc w:val="left"/>
        <w:tblInd w:w="1393" w:type="dxa"/>
        <w:tblLayout w:type="fixed"/>
        <w:tblCellMar>
          <w:top w:w="0" w:type="dxa"/>
          <w:left w:w="0" w:type="dxa"/>
          <w:bottom w:w="50" w:type="dxa"/>
          <w:right w:w="0" w:type="dxa"/>
        </w:tblCellMar>
      </w:tblPr>
      <w:tblGrid>
        <w:gridCol w:w="5565"/>
        <w:gridCol w:w="109"/>
        <w:gridCol w:w="109"/>
        <w:gridCol w:w="109"/>
        <w:gridCol w:w="109"/>
        <w:gridCol w:w="346"/>
        <w:gridCol w:w="109"/>
        <w:gridCol w:w="109"/>
        <w:gridCol w:w="109"/>
        <w:gridCol w:w="109"/>
        <w:gridCol w:w="109"/>
        <w:gridCol w:w="346"/>
        <w:gridCol w:w="109"/>
        <w:gridCol w:w="109"/>
        <w:gridCol w:w="109"/>
        <w:gridCol w:w="109"/>
        <w:gridCol w:w="109"/>
        <w:gridCol w:w="766"/>
        <w:gridCol w:w="109"/>
        <w:gridCol w:w="154"/>
      </w:tblGrid>
      <w:tr>
        <w:trPr/>
        <w:tc>
          <w:tcPr>
            <w:tcW w:w="556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65"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receivables from the Silicon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65" w:type="dxa"/>
            <w:tcBorders/>
            <w:tcMar>
              <w:bottom w:w="0" w:type="dxa"/>
            </w:tcMar>
            <w:vAlign w:val="center"/>
          </w:tcPr>
          <w:p>
            <w:pPr>
              <w:pStyle w:val="TableContents"/>
              <w:bidi w:val="0"/>
              <w:spacing w:before="0" w:after="0"/>
              <w:ind w:left="200" w:right="0" w:hanging="200"/>
              <w:jc w:val="left"/>
              <w:rPr>
                <w:spacing w:val="4"/>
              </w:rPr>
            </w:pPr>
            <w:r>
              <w:rPr>
                <w:spacing w:val="4"/>
              </w:rPr>
              <w:t xml:space="preserve">Reversal of impairment of shareholder loan (included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565"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FINANCIAL RESULT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result includes the following: </w:t>
      </w:r>
    </w:p>
    <w:tbl>
      <w:tblPr>
        <w:tblW w:w="8812" w:type="dxa"/>
        <w:jc w:val="left"/>
        <w:tblInd w:w="1393" w:type="dxa"/>
        <w:tblLayout w:type="fixed"/>
        <w:tblCellMar>
          <w:top w:w="0" w:type="dxa"/>
          <w:left w:w="0" w:type="dxa"/>
          <w:bottom w:w="50" w:type="dxa"/>
          <w:right w:w="0" w:type="dxa"/>
        </w:tblCellMar>
      </w:tblPr>
      <w:tblGrid>
        <w:gridCol w:w="4459"/>
        <w:gridCol w:w="109"/>
        <w:gridCol w:w="109"/>
        <w:gridCol w:w="109"/>
        <w:gridCol w:w="109"/>
        <w:gridCol w:w="894"/>
        <w:gridCol w:w="109"/>
        <w:gridCol w:w="109"/>
        <w:gridCol w:w="109"/>
        <w:gridCol w:w="109"/>
        <w:gridCol w:w="109"/>
        <w:gridCol w:w="774"/>
        <w:gridCol w:w="109"/>
        <w:gridCol w:w="109"/>
        <w:gridCol w:w="109"/>
        <w:gridCol w:w="109"/>
        <w:gridCol w:w="109"/>
        <w:gridCol w:w="894"/>
        <w:gridCol w:w="109"/>
        <w:gridCol w:w="156"/>
      </w:tblGrid>
      <w:tr>
        <w:trPr/>
        <w:tc>
          <w:tcPr>
            <w:tcW w:w="445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Finance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1,888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19,685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1,028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income and similar proceeds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gain from loan extinguishment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15,802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jc w:val="left"/>
              <w:rPr/>
            </w:pPr>
            <w:r>
              <w:rPr>
                <w:spacing w:val="-4"/>
              </w:rPr>
              <w:t>Finance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(72,244)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(5,712)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and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7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9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modification loss 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change in estimate XJ host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(8,451)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portion of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interest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(2,951)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(5,071)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(9,988)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(72,178)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(3,824)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9,594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1LIE"/>
      <w:bookmarkEnd w:id="67"/>
      <w:r>
        <w:rPr>
          <w:rFonts w:ascii="calibri;arial;sans-serif" w:hAnsi="calibri;arial;sans-serif"/>
          <w:b w:val="false"/>
          <w:i w:val="false"/>
          <w:caps w:val="false"/>
          <w:smallCaps w:val="false"/>
          <w:color w:val="000000"/>
          <w:sz w:val="16"/>
        </w:rPr>
        <w:t>​</w:t>
      </w:r>
      <w:bookmarkStart w:id="68" w:name="t17TA"/>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modification loss XJ Harbour Set-off agreement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expenses are mainly resulting from financial liabilities and are recognized based on the effective interest method and the additional payment for the debt fund during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PROFIT (LOSS) IN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2025 result from the share of loss from the equity method investee located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recognized in the Consolidated Statement of Profit or Loss and Other Comprehensive Income are as follows: </w:t>
      </w:r>
    </w:p>
    <w:tbl>
      <w:tblPr>
        <w:tblW w:w="7872" w:type="dxa"/>
        <w:jc w:val="left"/>
        <w:tblInd w:w="1393" w:type="dxa"/>
        <w:tblLayout w:type="fixed"/>
        <w:tblCellMar>
          <w:top w:w="0" w:type="dxa"/>
          <w:left w:w="0" w:type="dxa"/>
          <w:bottom w:w="50" w:type="dxa"/>
          <w:right w:w="0" w:type="dxa"/>
        </w:tblCellMar>
      </w:tblPr>
      <w:tblGrid>
        <w:gridCol w:w="3845"/>
        <w:gridCol w:w="109"/>
        <w:gridCol w:w="109"/>
        <w:gridCol w:w="109"/>
        <w:gridCol w:w="109"/>
        <w:gridCol w:w="796"/>
        <w:gridCol w:w="109"/>
        <w:gridCol w:w="109"/>
        <w:gridCol w:w="109"/>
        <w:gridCol w:w="109"/>
        <w:gridCol w:w="109"/>
        <w:gridCol w:w="646"/>
        <w:gridCol w:w="109"/>
        <w:gridCol w:w="109"/>
        <w:gridCol w:w="109"/>
        <w:gridCol w:w="109"/>
        <w:gridCol w:w="109"/>
        <w:gridCol w:w="796"/>
        <w:gridCol w:w="109"/>
        <w:gridCol w:w="154"/>
      </w:tblGrid>
      <w:tr>
        <w:trPr/>
        <w:tc>
          <w:tcPr>
            <w:tcW w:w="38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Current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prior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Deferred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from temporary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thereof from tax loss carryforwards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3,144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45" w:type="dxa"/>
            <w:tcBorders>
              <w:bottom w:val="single" w:sz="2" w:space="0" w:color="FFFFFF"/>
            </w:tcBorders>
            <w:vAlign w:val="center"/>
          </w:tcPr>
          <w:p>
            <w:pPr>
              <w:pStyle w:val="TableContents"/>
              <w:bidi w:val="0"/>
              <w:spacing w:before="0" w:after="0"/>
              <w:jc w:val="left"/>
              <w:rPr/>
            </w:pPr>
            <w:r>
              <w:rPr>
                <w:spacing w:val="-4"/>
              </w:rPr>
              <w:t>Total income tax (expense) /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reconciliation of expected income taxes and reported effective income taxes. Expected income taxes were determined by multiplying consolidated profit before tax by SCHMID’s applicable income tax rate: </w:t>
      </w:r>
    </w:p>
    <w:tbl>
      <w:tblPr>
        <w:tblW w:w="8812" w:type="dxa"/>
        <w:jc w:val="left"/>
        <w:tblInd w:w="1393" w:type="dxa"/>
        <w:tblLayout w:type="fixed"/>
        <w:tblCellMar>
          <w:top w:w="0" w:type="dxa"/>
          <w:left w:w="0" w:type="dxa"/>
          <w:bottom w:w="50" w:type="dxa"/>
          <w:right w:w="0" w:type="dxa"/>
        </w:tblCellMar>
      </w:tblPr>
      <w:tblGrid>
        <w:gridCol w:w="4317"/>
        <w:gridCol w:w="109"/>
        <w:gridCol w:w="109"/>
        <w:gridCol w:w="109"/>
        <w:gridCol w:w="109"/>
        <w:gridCol w:w="901"/>
        <w:gridCol w:w="109"/>
        <w:gridCol w:w="109"/>
        <w:gridCol w:w="109"/>
        <w:gridCol w:w="109"/>
        <w:gridCol w:w="109"/>
        <w:gridCol w:w="901"/>
        <w:gridCol w:w="109"/>
        <w:gridCol w:w="109"/>
        <w:gridCol w:w="109"/>
        <w:gridCol w:w="109"/>
        <w:gridCol w:w="109"/>
        <w:gridCol w:w="901"/>
        <w:gridCol w:w="109"/>
        <w:gridCol w:w="157"/>
      </w:tblGrid>
      <w:tr>
        <w:trPr/>
        <w:tc>
          <w:tcPr>
            <w:tcW w:w="43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Income (loss) before income taxes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(72,994)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40,732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Applicable income tax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Expected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24,930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Foreign tax rate differential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spacing w:val="4"/>
              </w:rPr>
            </w:pPr>
            <w:r>
              <w:rPr>
                <w:spacing w:val="4"/>
              </w:rPr>
              <w:t xml:space="preserve">Non-deductible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(14,173)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(19,503)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Tax-free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Change in valuation allowance from temporary differences and tax </w:t>
            </w:r>
            <w:r>
              <w:rPr/>
              <w:br/>
            </w:r>
            <w:r>
              <w:rPr>
                <w:spacing w:val="4"/>
              </w:rPr>
              <w:t xml:space="preserve">loss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Non-recognition or utilization of unrecognized 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34" w:type="dxa"/>
        <w:jc w:val="left"/>
        <w:tblInd w:w="1393" w:type="dxa"/>
        <w:tblLayout w:type="fixed"/>
        <w:tblCellMar>
          <w:top w:w="0" w:type="dxa"/>
          <w:left w:w="0" w:type="dxa"/>
          <w:bottom w:w="50" w:type="dxa"/>
          <w:right w:w="0" w:type="dxa"/>
        </w:tblCellMar>
      </w:tblPr>
      <w:tblGrid>
        <w:gridCol w:w="3807"/>
        <w:gridCol w:w="109"/>
        <w:gridCol w:w="109"/>
        <w:gridCol w:w="109"/>
        <w:gridCol w:w="109"/>
        <w:gridCol w:w="721"/>
        <w:gridCol w:w="109"/>
        <w:gridCol w:w="109"/>
        <w:gridCol w:w="109"/>
        <w:gridCol w:w="109"/>
        <w:gridCol w:w="109"/>
        <w:gridCol w:w="721"/>
        <w:gridCol w:w="109"/>
        <w:gridCol w:w="109"/>
        <w:gridCol w:w="109"/>
        <w:gridCol w:w="109"/>
        <w:gridCol w:w="109"/>
        <w:gridCol w:w="796"/>
        <w:gridCol w:w="109"/>
        <w:gridCol w:w="154"/>
      </w:tblGrid>
      <w:tr>
        <w:trPr/>
        <w:tc>
          <w:tcPr>
            <w:tcW w:w="380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reconciling items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(460)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07" w:type="dxa"/>
            <w:tcBorders>
              <w:bottom w:val="single" w:sz="2" w:space="0" w:color="FFFFFF"/>
            </w:tcBorders>
            <w:vAlign w:val="center"/>
          </w:tcPr>
          <w:p>
            <w:pPr>
              <w:pStyle w:val="TableContents"/>
              <w:bidi w:val="0"/>
              <w:spacing w:before="0" w:after="0"/>
              <w:jc w:val="left"/>
              <w:rPr/>
            </w:pPr>
            <w:r>
              <w:rPr>
                <w:spacing w:val="-4"/>
              </w:rPr>
              <w:t>Effective income tax (expense) / benefit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Effective tax rate in %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0.06%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1.74%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7834"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resulting from the tax rate change is related to the corporate income tax rate reduction in Germany.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deferred tax assets (“DTA”) and deferred tax liabilities (“DTL”) relate to the following line items of the Consolidated Statement of Financial Position are summarized below: </w:t>
      </w:r>
    </w:p>
    <w:tbl>
      <w:tblPr>
        <w:tblW w:w="8812" w:type="dxa"/>
        <w:jc w:val="left"/>
        <w:tblInd w:w="1393" w:type="dxa"/>
        <w:tblLayout w:type="fixed"/>
        <w:tblCellMar>
          <w:top w:w="0" w:type="dxa"/>
          <w:left w:w="0" w:type="dxa"/>
          <w:bottom w:w="28" w:type="dxa"/>
          <w:right w:w="0" w:type="dxa"/>
        </w:tblCellMar>
      </w:tblPr>
      <w:tblGrid>
        <w:gridCol w:w="3096"/>
        <w:gridCol w:w="109"/>
        <w:gridCol w:w="109"/>
        <w:gridCol w:w="109"/>
        <w:gridCol w:w="109"/>
        <w:gridCol w:w="776"/>
        <w:gridCol w:w="109"/>
        <w:gridCol w:w="109"/>
        <w:gridCol w:w="109"/>
        <w:gridCol w:w="109"/>
        <w:gridCol w:w="109"/>
        <w:gridCol w:w="868"/>
        <w:gridCol w:w="109"/>
        <w:gridCol w:w="109"/>
        <w:gridCol w:w="109"/>
        <w:gridCol w:w="109"/>
        <w:gridCol w:w="109"/>
        <w:gridCol w:w="868"/>
        <w:gridCol w:w="109"/>
        <w:gridCol w:w="109"/>
        <w:gridCol w:w="109"/>
        <w:gridCol w:w="109"/>
        <w:gridCol w:w="109"/>
        <w:gridCol w:w="868"/>
        <w:gridCol w:w="109"/>
        <w:gridCol w:w="156"/>
      </w:tblGrid>
      <w:tr>
        <w:trPr/>
        <w:tc>
          <w:tcPr>
            <w:tcW w:w="3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Property, plant and equipment including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1,558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1,893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(6,477)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2,129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2,660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Non-current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1,947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provisions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(839)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(1,909)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2,977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(3,919)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2,836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(4,224)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Tax loss carryforwards (Other income tax)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Deferred taxes (before offsetting)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12,262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(11,910)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12,828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(11,662)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Offsetting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pPr>
            <w:r>
              <w:rPr>
                <w:spacing w:val="-4"/>
              </w:rPr>
              <w:t>Deferred taxes (after offsetting)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deferred taxes: </w:t>
      </w:r>
    </w:p>
    <w:tbl>
      <w:tblPr>
        <w:tblW w:w="6279" w:type="dxa"/>
        <w:jc w:val="left"/>
        <w:tblInd w:w="1393" w:type="dxa"/>
        <w:tblLayout w:type="fixed"/>
        <w:tblCellMar>
          <w:top w:w="0" w:type="dxa"/>
          <w:left w:w="0" w:type="dxa"/>
          <w:bottom w:w="50" w:type="dxa"/>
          <w:right w:w="0" w:type="dxa"/>
        </w:tblCellMar>
      </w:tblPr>
      <w:tblGrid>
        <w:gridCol w:w="4784"/>
        <w:gridCol w:w="109"/>
        <w:gridCol w:w="109"/>
        <w:gridCol w:w="109"/>
        <w:gridCol w:w="109"/>
        <w:gridCol w:w="796"/>
        <w:gridCol w:w="109"/>
        <w:gridCol w:w="154"/>
      </w:tblGrid>
      <w:tr>
        <w:trPr/>
        <w:tc>
          <w:tcPr>
            <w:tcW w:w="478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pPr>
            <w:r>
              <w:rPr>
                <w:spacing w:val="-4"/>
              </w:rPr>
              <w:t>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OCI movement of deferred taxes is entirely attributed to “Provisions for pensions” and the equity movement is mainly attributed to transaction costs (IAS 32.35).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deferred tax assets were recognized for the following tax attributes (gross): </w:t>
      </w:r>
    </w:p>
    <w:tbl>
      <w:tblPr>
        <w:tblW w:w="7893" w:type="dxa"/>
        <w:jc w:val="left"/>
        <w:tblInd w:w="1393" w:type="dxa"/>
        <w:tblLayout w:type="fixed"/>
        <w:tblCellMar>
          <w:top w:w="0" w:type="dxa"/>
          <w:left w:w="0" w:type="dxa"/>
          <w:bottom w:w="28" w:type="dxa"/>
          <w:right w:w="0" w:type="dxa"/>
        </w:tblCellMar>
      </w:tblPr>
      <w:tblGrid>
        <w:gridCol w:w="3566"/>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54"/>
      </w:tblGrid>
      <w:tr>
        <w:trPr/>
        <w:tc>
          <w:tcPr>
            <w:tcW w:w="35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Deductible temporary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91,405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maturities of the tax loss carryforwards for which no deferred tax assets were recognized are as follows: </w:t>
      </w:r>
    </w:p>
    <w:tbl>
      <w:tblPr>
        <w:tblW w:w="6051" w:type="dxa"/>
        <w:jc w:val="left"/>
        <w:tblInd w:w="1393" w:type="dxa"/>
        <w:tblLayout w:type="fixed"/>
        <w:tblCellMar>
          <w:top w:w="0" w:type="dxa"/>
          <w:left w:w="0" w:type="dxa"/>
          <w:bottom w:w="28" w:type="dxa"/>
          <w:right w:w="0" w:type="dxa"/>
        </w:tblCellMar>
      </w:tblPr>
      <w:tblGrid>
        <w:gridCol w:w="1604"/>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6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Up to 10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15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Unlimited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239,160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131,586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Taxable temporary differences associated with investments in entities, branches and associates and interests in joint arrangements in the amount of €615 thousand as of December 31, 2025 (December 31, 2024: €483 thousand, December 31, 2023: €935 thousand) have not been recognized.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exceeding deferred tax liabilities in the amount of €2,317 thousand as of December 31, 2025 (December 31, 2024: €2,684 thousand, December 31, 2023: €522 thousand) for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1PS"/>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generated a loss in the current or previous period were recognized as these are considered to be recoverable based on the positive profit for financial year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EARNINGS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per share is calculated by dividing the profit or loss for the period attributable to equity holders of the Company by the weighted average number of ordinary shares in issue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net income (loss) and share data used in the basic and diluted EPS calculations: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Basic and diluted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18"/>
        <w:gridCol w:w="109"/>
        <w:gridCol w:w="109"/>
        <w:gridCol w:w="109"/>
        <w:gridCol w:w="109"/>
        <w:gridCol w:w="639"/>
        <w:gridCol w:w="109"/>
        <w:gridCol w:w="109"/>
        <w:gridCol w:w="109"/>
        <w:gridCol w:w="109"/>
        <w:gridCol w:w="109"/>
        <w:gridCol w:w="639"/>
        <w:gridCol w:w="109"/>
        <w:gridCol w:w="109"/>
        <w:gridCol w:w="109"/>
        <w:gridCol w:w="109"/>
        <w:gridCol w:w="109"/>
        <w:gridCol w:w="526"/>
        <w:gridCol w:w="109"/>
        <w:gridCol w:w="155"/>
      </w:tblGrid>
      <w:tr>
        <w:trPr/>
        <w:tc>
          <w:tcPr>
            <w:tcW w:w="52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55" w:type="dxa"/>
            <w:tcBorders/>
            <w:tcMar>
              <w:bottom w:w="0" w:type="dxa"/>
            </w:tcMar>
            <w:vAlign w:val="center"/>
          </w:tcPr>
          <w:p>
            <w:pPr>
              <w:pStyle w:val="TableContents"/>
              <w:bidi w:val="0"/>
              <w:spacing w:before="0" w:after="283"/>
              <w:jc w:val="left"/>
              <w:rPr/>
            </w:pPr>
            <w:r>
              <w:rPr/>
              <w:t>​</w:t>
            </w:r>
          </w:p>
        </w:tc>
      </w:tr>
      <w:tr>
        <w:trPr/>
        <w:tc>
          <w:tcPr>
            <w:tcW w:w="521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Total basic and diluted earnings per share attributable to the ordinary equity holders of the company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(1.87)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(2.41)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earnings used in calculating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508"/>
        <w:gridCol w:w="109"/>
        <w:gridCol w:w="109"/>
        <w:gridCol w:w="109"/>
        <w:gridCol w:w="109"/>
        <w:gridCol w:w="874"/>
        <w:gridCol w:w="109"/>
        <w:gridCol w:w="109"/>
        <w:gridCol w:w="109"/>
        <w:gridCol w:w="109"/>
        <w:gridCol w:w="109"/>
        <w:gridCol w:w="874"/>
        <w:gridCol w:w="109"/>
        <w:gridCol w:w="109"/>
        <w:gridCol w:w="109"/>
        <w:gridCol w:w="109"/>
        <w:gridCol w:w="109"/>
        <w:gridCol w:w="766"/>
        <w:gridCol w:w="109"/>
        <w:gridCol w:w="155"/>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in €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Profit / (Loss) from continuing operations as presented in the statement of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Weighted average number of shares used as the denominator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65"/>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3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used as the </w:t>
            </w:r>
            <w:r>
              <w:rPr/>
              <w:br/>
            </w:r>
            <w:r>
              <w:rPr>
                <w:spacing w:val="4"/>
              </w:rPr>
              <w:t xml:space="preserve">denominator in calculating basic and diluted earnings </w:t>
            </w:r>
            <w:r>
              <w:rPr/>
              <w:br/>
            </w: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38,062,427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34,935,357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28,725,000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19A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19.   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comprise the following: </w:t>
      </w:r>
    </w:p>
    <w:tbl>
      <w:tblPr>
        <w:tblW w:w="8465"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18"/>
        <w:gridCol w:w="118"/>
        <w:gridCol w:w="866"/>
        <w:gridCol w:w="118"/>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4,869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34,444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1,447</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35,891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(15,243)</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(952)</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(16,196)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Amortization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(2,328)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87</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(17,548)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(1,081)</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(18,629)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14,354</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588</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16,895</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366</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17,262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464"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36"/>
        <w:gridCol w:w="136"/>
        <w:gridCol w:w="811"/>
        <w:gridCol w:w="136"/>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25,729</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1,372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27,102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3,878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129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38</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12/31/2024</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(11,452)</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(684)</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(12,136)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Amortization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(3,801)</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(364)</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(15,243)</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(952)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(16,196)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14,278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689</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14,354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588</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2PA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0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 on development cost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comprised of the following: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76"/>
        <w:gridCol w:w="176"/>
        <w:gridCol w:w="877"/>
        <w:gridCol w:w="179"/>
        <w:gridCol w:w="109"/>
        <w:gridCol w:w="109"/>
        <w:gridCol w:w="109"/>
        <w:gridCol w:w="109"/>
        <w:gridCol w:w="842"/>
        <w:gridCol w:w="109"/>
        <w:gridCol w:w="109"/>
        <w:gridCol w:w="109"/>
        <w:gridCol w:w="109"/>
        <w:gridCol w:w="109"/>
        <w:gridCol w:w="842"/>
        <w:gridCol w:w="109"/>
        <w:gridCol w:w="109"/>
        <w:gridCol w:w="109"/>
        <w:gridCol w:w="137"/>
        <w:gridCol w:w="137"/>
        <w:gridCol w:w="816"/>
        <w:gridCol w:w="139"/>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1,043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328</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1,513</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33,690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(860)</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(121)</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(13,604)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(28,186)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973</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5,280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207</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1,513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21L"/>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93"/>
        <w:gridCol w:w="193"/>
        <w:gridCol w:w="827"/>
        <w:gridCol w:w="195"/>
        <w:gridCol w:w="109"/>
        <w:gridCol w:w="109"/>
        <w:gridCol w:w="109"/>
        <w:gridCol w:w="109"/>
        <w:gridCol w:w="842"/>
        <w:gridCol w:w="109"/>
        <w:gridCol w:w="109"/>
        <w:gridCol w:w="109"/>
        <w:gridCol w:w="109"/>
        <w:gridCol w:w="109"/>
        <w:gridCol w:w="842"/>
        <w:gridCol w:w="109"/>
        <w:gridCol w:w="109"/>
        <w:gridCol w:w="109"/>
        <w:gridCol w:w="168"/>
        <w:gridCol w:w="168"/>
        <w:gridCol w:w="722"/>
        <w:gridCol w:w="171"/>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15,386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32,449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14</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53</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(96)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(71)</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(26,744)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(21)</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831</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149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3,016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5,704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973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470</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includes right-of-use assets amounting to €6,730 thousand as of December 31, 2025 (December 31, 2024: €7,812 thousand). For further information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21.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Lessee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The carrying amounts of right-of-use assets recognized and the movements during the period were as follows: </w:t>
      </w:r>
    </w:p>
    <w:tbl>
      <w:tblPr>
        <w:tblW w:w="8812" w:type="dxa"/>
        <w:jc w:val="left"/>
        <w:tblInd w:w="1393" w:type="dxa"/>
        <w:tblLayout w:type="fixed"/>
        <w:tblCellMar>
          <w:top w:w="0" w:type="dxa"/>
          <w:left w:w="0" w:type="dxa"/>
          <w:bottom w:w="50" w:type="dxa"/>
          <w:right w:w="0" w:type="dxa"/>
        </w:tblCellMar>
      </w:tblPr>
      <w:tblGrid>
        <w:gridCol w:w="4733"/>
        <w:gridCol w:w="109"/>
        <w:gridCol w:w="109"/>
        <w:gridCol w:w="116"/>
        <w:gridCol w:w="116"/>
        <w:gridCol w:w="842"/>
        <w:gridCol w:w="116"/>
        <w:gridCol w:w="109"/>
        <w:gridCol w:w="109"/>
        <w:gridCol w:w="111"/>
        <w:gridCol w:w="111"/>
        <w:gridCol w:w="628"/>
        <w:gridCol w:w="111"/>
        <w:gridCol w:w="109"/>
        <w:gridCol w:w="109"/>
        <w:gridCol w:w="109"/>
        <w:gridCol w:w="109"/>
        <w:gridCol w:w="788"/>
        <w:gridCol w:w="109"/>
        <w:gridCol w:w="159"/>
      </w:tblGrid>
      <w:tr>
        <w:trPr/>
        <w:tc>
          <w:tcPr>
            <w:tcW w:w="47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8,697</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365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9,063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 / (De-recognition)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489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(1,354)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(293)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30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7,253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560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7,812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326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220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(71)</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(17)</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6,253</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478</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6,730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variable lease payments resulting from indexed rental payments or other variable rental components. The carrying amounts of lease liabilities and the movements during the period were as follows: </w:t>
      </w:r>
    </w:p>
    <w:tbl>
      <w:tblPr>
        <w:tblW w:w="4879" w:type="dxa"/>
        <w:jc w:val="left"/>
        <w:tblInd w:w="1393" w:type="dxa"/>
        <w:tblLayout w:type="fixed"/>
        <w:tblCellMar>
          <w:top w:w="0" w:type="dxa"/>
          <w:left w:w="0" w:type="dxa"/>
          <w:bottom w:w="50" w:type="dxa"/>
          <w:right w:w="0" w:type="dxa"/>
        </w:tblCellMar>
      </w:tblPr>
      <w:tblGrid>
        <w:gridCol w:w="2969"/>
        <w:gridCol w:w="109"/>
        <w:gridCol w:w="109"/>
        <w:gridCol w:w="149"/>
        <w:gridCol w:w="149"/>
        <w:gridCol w:w="1091"/>
        <w:gridCol w:w="149"/>
        <w:gridCol w:w="154"/>
      </w:tblGrid>
      <w:tr>
        <w:trPr/>
        <w:tc>
          <w:tcPr>
            <w:tcW w:w="296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Lease Liability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10,886</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306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655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(2,184)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32</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9,694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461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586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(2,098)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vAlign w:val="center"/>
          </w:tcPr>
          <w:p>
            <w:pPr>
              <w:pStyle w:val="TableContents"/>
              <w:bidi w:val="0"/>
              <w:spacing w:before="0" w:after="283"/>
              <w:jc w:val="right"/>
              <w:rPr/>
            </w:pPr>
            <w:r>
              <w:rPr/>
              <w:t>​</w:t>
            </w:r>
          </w:p>
        </w:tc>
        <w:tc>
          <w:tcPr>
            <w:tcW w:w="1091" w:type="dxa"/>
            <w:tcBorders>
              <w:bottom w:val="single" w:sz="2" w:space="0" w:color="000000"/>
            </w:tcBorders>
            <w:vAlign w:val="center"/>
          </w:tcPr>
          <w:p>
            <w:pPr>
              <w:pStyle w:val="TableContents"/>
              <w:bidi w:val="0"/>
              <w:spacing w:before="0" w:after="283"/>
              <w:jc w:val="right"/>
              <w:rPr/>
            </w:pPr>
            <w:r>
              <w:rPr/>
              <w:t>(94)</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8,550</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statement of profit or loss and other comprehensive income (loss) included the following amounts of lease related expense: </w:t>
      </w:r>
    </w:p>
    <w:tbl>
      <w:tblPr>
        <w:tblW w:w="7867" w:type="dxa"/>
        <w:jc w:val="left"/>
        <w:tblInd w:w="1393" w:type="dxa"/>
        <w:tblLayout w:type="fixed"/>
        <w:tblCellMar>
          <w:top w:w="0" w:type="dxa"/>
          <w:left w:w="0" w:type="dxa"/>
          <w:bottom w:w="50" w:type="dxa"/>
          <w:right w:w="0" w:type="dxa"/>
        </w:tblCellMar>
      </w:tblPr>
      <w:tblGrid>
        <w:gridCol w:w="3690"/>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6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of right 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tcMar>
              <w:bottom w:w="0" w:type="dxa"/>
            </w:tcMar>
            <w:vAlign w:val="center"/>
          </w:tcPr>
          <w:p>
            <w:pPr>
              <w:pStyle w:val="TableContents"/>
              <w:bidi w:val="0"/>
              <w:spacing w:before="0" w:after="0"/>
              <w:jc w:val="left"/>
              <w:rPr>
                <w:spacing w:val="4"/>
              </w:rPr>
            </w:pPr>
            <w:r>
              <w:rPr>
                <w:spacing w:val="4"/>
              </w:rPr>
              <w:t xml:space="preserve">Interest expense on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lease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bottom w:val="single" w:sz="2" w:space="0" w:color="FFFFFF"/>
            </w:tcBorders>
            <w:vAlign w:val="center"/>
          </w:tcPr>
          <w:p>
            <w:pPr>
              <w:pStyle w:val="TableContents"/>
              <w:bidi w:val="0"/>
              <w:spacing w:before="0" w:after="0"/>
              <w:jc w:val="left"/>
              <w:rPr>
                <w:spacing w:val="4"/>
              </w:rPr>
            </w:pPr>
            <w:r>
              <w:rPr>
                <w:spacing w:val="4"/>
              </w:rPr>
              <w:t xml:space="preserve">Lease expenses for low-value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bottom w:val="single" w:sz="2" w:space="0" w:color="CCEEFF"/>
            </w:tcBorders>
            <w:shd w:fill="CCEEFF" w:val="clear"/>
            <w:vAlign w:val="center"/>
          </w:tcPr>
          <w:p>
            <w:pPr>
              <w:pStyle w:val="TableContents"/>
              <w:bidi w:val="0"/>
              <w:spacing w:before="0" w:after="0"/>
              <w:jc w:val="left"/>
              <w:rPr/>
            </w:pPr>
            <w:r>
              <w:rPr>
                <w:spacing w:val="-4"/>
              </w:rPr>
              <w:t>Total amount recognized in expense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(2,490)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(1,273)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provides information on the total cash outflow from all leases during the year: </w:t>
      </w:r>
    </w:p>
    <w:tbl>
      <w:tblPr>
        <w:tblW w:w="7438" w:type="dxa"/>
        <w:jc w:val="left"/>
        <w:tblInd w:w="1393" w:type="dxa"/>
        <w:tblLayout w:type="fixed"/>
        <w:tblCellMar>
          <w:top w:w="0" w:type="dxa"/>
          <w:left w:w="0" w:type="dxa"/>
          <w:bottom w:w="50" w:type="dxa"/>
          <w:right w:w="0" w:type="dxa"/>
        </w:tblCellMar>
      </w:tblPr>
      <w:tblGrid>
        <w:gridCol w:w="3261"/>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26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1" w:type="dxa"/>
            <w:tcBorders/>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1"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Short term and low value leases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261" w:type="dxa"/>
            <w:tcBorders>
              <w:bottom w:val="single" w:sz="2" w:space="0" w:color="FFFFFF"/>
            </w:tcBorders>
            <w:vAlign w:val="center"/>
          </w:tcPr>
          <w:p>
            <w:pPr>
              <w:pStyle w:val="TableContents"/>
              <w:bidi w:val="0"/>
              <w:spacing w:before="0" w:after="0"/>
              <w:jc w:val="left"/>
              <w:rPr/>
            </w:pPr>
            <w:r>
              <w:rPr>
                <w:spacing w:val="-4"/>
              </w:rPr>
              <w:t>Total amount paid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(2,462)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(1,209)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shows a maturity analysis of undiscounted lease payments for which a right-of-use asset and lease liability were recognized: </w:t>
      </w:r>
    </w:p>
    <w:tbl>
      <w:tblPr>
        <w:tblW w:w="8812" w:type="dxa"/>
        <w:jc w:val="left"/>
        <w:tblInd w:w="1393" w:type="dxa"/>
        <w:tblLayout w:type="fixed"/>
        <w:tblCellMar>
          <w:top w:w="0" w:type="dxa"/>
          <w:left w:w="0" w:type="dxa"/>
          <w:bottom w:w="50" w:type="dxa"/>
          <w:right w:w="0" w:type="dxa"/>
        </w:tblCellMar>
      </w:tblPr>
      <w:tblGrid>
        <w:gridCol w:w="4315"/>
        <w:gridCol w:w="109"/>
        <w:gridCol w:w="109"/>
        <w:gridCol w:w="194"/>
        <w:gridCol w:w="194"/>
        <w:gridCol w:w="1370"/>
        <w:gridCol w:w="195"/>
        <w:gridCol w:w="109"/>
        <w:gridCol w:w="109"/>
        <w:gridCol w:w="194"/>
        <w:gridCol w:w="194"/>
        <w:gridCol w:w="1370"/>
        <w:gridCol w:w="195"/>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 </w:t>
            </w:r>
            <w:r>
              <w:rPr>
                <w:spacing w:val="4"/>
              </w:rPr>
              <w:t xml:space="preserve">1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1,902</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2,029</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0"/>
              <w:jc w:val="left"/>
              <w:rPr>
                <w:spacing w:val="4"/>
              </w:rPr>
            </w:pPr>
            <w:r>
              <w:rPr>
                <w:spacing w:val="4"/>
              </w:rPr>
              <w:t xml:space="preserve">&gt; 1 ≤ 2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1,452</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1,755</w:t>
            </w:r>
          </w:p>
        </w:tc>
        <w:tc>
          <w:tcPr>
            <w:tcW w:w="1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&gt; 2 ≤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3,733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3,778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&gt; 5 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3,600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4,800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Gross lease liabilities – minimum lease payments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10,688</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12,361</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Discount and foreign currency effects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(2,138)</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(2,667)</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Present value of the lease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8,550</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9,694</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22AS"/>
      <w:bookmarkEnd w:id="73"/>
      <w:r>
        <w:rPr>
          <w:rFonts w:ascii="calibri;arial;sans-serif" w:hAnsi="calibri;arial;sans-serif"/>
          <w:b w:val="false"/>
          <w:i w:val="false"/>
          <w:caps w:val="false"/>
          <w:smallCaps w:val="false"/>
          <w:color w:val="000000"/>
          <w:sz w:val="16"/>
        </w:rPr>
        <w:t>​</w:t>
      </w:r>
      <w:bookmarkStart w:id="74" w:name="t23I"/>
      <w:bookmarkEnd w:id="74"/>
      <w:r>
        <w:rPr>
          <w:rFonts w:ascii="calibri;arial;sans-serif" w:hAnsi="calibri;arial;sans-serif"/>
          <w:b w:val="false"/>
          <w:i w:val="false"/>
          <w:caps w:val="false"/>
          <w:smallCaps w:val="false"/>
          <w:color w:val="000000"/>
          <w:sz w:val="16"/>
        </w:rPr>
        <w:t>​</w:t>
      </w:r>
      <w:bookmarkStart w:id="75" w:name="t2RAO"/>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Lessor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22.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included in financial assets is a derivative resulting from the XJ Harbour Set-off agreement amounting to €7,713 thousand. For more detailed information refer to note 29. Non-current and current financial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23.   INVENTORIES</w:t>
      </w:r>
      <w:r>
        <w:rPr>
          <w:rFonts w:ascii="Times New Roman;Times;serif" w:hAnsi="Times New Roman;Times;serif"/>
          <w:b/>
          <w:i w:val="false"/>
          <w:caps w:val="false"/>
          <w:smallCaps w:val="false"/>
          <w:color w:val="000000"/>
          <w:spacing w:val="4"/>
          <w:sz w:val="20"/>
        </w:rPr>
        <w:t xml:space="preserve"> </w:t>
      </w:r>
    </w:p>
    <w:tbl>
      <w:tblPr>
        <w:tblW w:w="5883" w:type="dxa"/>
        <w:jc w:val="left"/>
        <w:tblInd w:w="1393" w:type="dxa"/>
        <w:tblLayout w:type="fixed"/>
        <w:tblCellMar>
          <w:top w:w="0" w:type="dxa"/>
          <w:left w:w="0" w:type="dxa"/>
          <w:bottom w:w="50" w:type="dxa"/>
          <w:right w:w="0" w:type="dxa"/>
        </w:tblCellMar>
      </w:tblPr>
      <w:tblGrid>
        <w:gridCol w:w="2837"/>
        <w:gridCol w:w="109"/>
        <w:gridCol w:w="109"/>
        <w:gridCol w:w="122"/>
        <w:gridCol w:w="122"/>
        <w:gridCol w:w="862"/>
        <w:gridCol w:w="122"/>
        <w:gridCol w:w="109"/>
        <w:gridCol w:w="109"/>
        <w:gridCol w:w="122"/>
        <w:gridCol w:w="122"/>
        <w:gridCol w:w="862"/>
        <w:gridCol w:w="122"/>
        <w:gridCol w:w="154"/>
      </w:tblGrid>
      <w:tr>
        <w:trPr/>
        <w:tc>
          <w:tcPr>
            <w:tcW w:w="283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4"/>
              </w:rPr>
            </w:pPr>
            <w:r>
              <w:rPr>
                <w:spacing w:val="4"/>
              </w:rPr>
              <w:t xml:space="preserve">Raw materials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4,136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4"/>
              </w:rPr>
            </w:pPr>
            <w:r>
              <w:rPr>
                <w:spacing w:val="4"/>
              </w:rPr>
              <w:t xml:space="preserve">Work in progress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9,147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6,317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Finished goods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5,423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5,281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837" w:type="dxa"/>
            <w:tcBorders>
              <w:bottom w:val="single" w:sz="2" w:space="0" w:color="FFFFFF"/>
            </w:tcBorders>
            <w:vAlign w:val="center"/>
          </w:tcPr>
          <w:p>
            <w:pPr>
              <w:pStyle w:val="TableContents"/>
              <w:bidi w:val="0"/>
              <w:spacing w:before="0" w:after="283"/>
              <w:jc w:val="left"/>
              <w:rPr/>
            </w:pPr>
            <w:r>
              <w:rPr>
                <w:spacing w:val="-4"/>
              </w:rPr>
              <w:t>Inventories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18,112</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15,734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24.   TRADE RECEIVABLES AND OTHER RECEIVABLES</w:t>
      </w:r>
      <w:r>
        <w:rPr>
          <w:rFonts w:ascii="Times New Roman;Times;serif" w:hAnsi="Times New Roman;Times;serif"/>
          <w:b/>
          <w:i w:val="false"/>
          <w:caps w:val="false"/>
          <w:smallCaps w:val="false"/>
          <w:color w:val="000000"/>
          <w:spacing w:val="4"/>
          <w:sz w:val="20"/>
        </w:rPr>
        <w:t xml:space="preserve"> </w:t>
      </w:r>
    </w:p>
    <w:tbl>
      <w:tblPr>
        <w:tblW w:w="7326" w:type="dxa"/>
        <w:jc w:val="left"/>
        <w:tblInd w:w="1393" w:type="dxa"/>
        <w:tblLayout w:type="fixed"/>
        <w:tblCellMar>
          <w:top w:w="0" w:type="dxa"/>
          <w:left w:w="0" w:type="dxa"/>
          <w:bottom w:w="50" w:type="dxa"/>
          <w:right w:w="0" w:type="dxa"/>
        </w:tblCellMar>
      </w:tblPr>
      <w:tblGrid>
        <w:gridCol w:w="4280"/>
        <w:gridCol w:w="109"/>
        <w:gridCol w:w="109"/>
        <w:gridCol w:w="122"/>
        <w:gridCol w:w="122"/>
        <w:gridCol w:w="862"/>
        <w:gridCol w:w="122"/>
        <w:gridCol w:w="109"/>
        <w:gridCol w:w="109"/>
        <w:gridCol w:w="122"/>
        <w:gridCol w:w="122"/>
        <w:gridCol w:w="862"/>
        <w:gridCol w:w="122"/>
        <w:gridCol w:w="154"/>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28,865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24,704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Receivables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4,435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4,711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receivables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4,599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trade and other receivables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33,653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38,221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2CA"/>
      <w:bookmarkEnd w:id="76"/>
      <w:r>
        <w:rPr>
          <w:rFonts w:ascii="calibri;arial;sans-serif" w:hAnsi="calibri;arial;sans-serif"/>
          <w:b w:val="false"/>
          <w:i w:val="false"/>
          <w:caps w:val="false"/>
          <w:smallCaps w:val="false"/>
          <w:color w:val="000000"/>
          <w:sz w:val="16"/>
        </w:rPr>
        <w:t>​</w:t>
      </w:r>
      <w:bookmarkStart w:id="77" w:name="t2CE"/>
      <w:bookmarkEnd w:id="77"/>
      <w:r>
        <w:rPr>
          <w:rFonts w:ascii="calibri;arial;sans-serif" w:hAnsi="calibri;arial;sans-serif"/>
          <w:b w:val="false"/>
          <w:i w:val="false"/>
          <w:caps w:val="false"/>
          <w:smallCaps w:val="false"/>
          <w:color w:val="000000"/>
          <w:sz w:val="16"/>
        </w:rPr>
        <w:t>​</w:t>
      </w:r>
      <w:bookmarkStart w:id="78" w:name="t27E"/>
      <w:bookmarkEnd w:id="78"/>
      <w:r>
        <w:rPr>
          <w:rFonts w:ascii="calibri;arial;sans-serif" w:hAnsi="calibri;arial;sans-serif"/>
          <w:b w:val="false"/>
          <w:i w:val="false"/>
          <w:caps w:val="false"/>
          <w:smallCaps w:val="false"/>
          <w:color w:val="000000"/>
          <w:sz w:val="16"/>
        </w:rPr>
        <w:t>​</w:t>
      </w:r>
      <w:bookmarkStart w:id="79" w:name="t28IN"/>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receivables have a residual term of less than one year. Receivables from equity investees refer to SCHMID Avaco Korea, Co. Ltd and SCHMID Energy Systems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   OTHER CURRENT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non-financial assets are as follows: </w:t>
      </w:r>
    </w:p>
    <w:tbl>
      <w:tblPr>
        <w:tblW w:w="6763" w:type="dxa"/>
        <w:jc w:val="left"/>
        <w:tblInd w:w="1393" w:type="dxa"/>
        <w:tblLayout w:type="fixed"/>
        <w:tblCellMar>
          <w:top w:w="0" w:type="dxa"/>
          <w:left w:w="0" w:type="dxa"/>
          <w:bottom w:w="50" w:type="dxa"/>
          <w:right w:w="0" w:type="dxa"/>
        </w:tblCellMar>
      </w:tblPr>
      <w:tblGrid>
        <w:gridCol w:w="3717"/>
        <w:gridCol w:w="109"/>
        <w:gridCol w:w="109"/>
        <w:gridCol w:w="137"/>
        <w:gridCol w:w="137"/>
        <w:gridCol w:w="817"/>
        <w:gridCol w:w="137"/>
        <w:gridCol w:w="109"/>
        <w:gridCol w:w="109"/>
        <w:gridCol w:w="137"/>
        <w:gridCol w:w="137"/>
        <w:gridCol w:w="817"/>
        <w:gridCol w:w="137"/>
        <w:gridCol w:w="154"/>
      </w:tblGrid>
      <w:tr>
        <w:trPr/>
        <w:tc>
          <w:tcPr>
            <w:tcW w:w="3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17"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2,021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1,899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17" w:type="dxa"/>
            <w:tcBorders/>
            <w:tcMar>
              <w:bottom w:w="0" w:type="dxa"/>
            </w:tcMar>
            <w:vAlign w:val="center"/>
          </w:tcPr>
          <w:p>
            <w:pPr>
              <w:pStyle w:val="TableContents"/>
              <w:bidi w:val="0"/>
              <w:spacing w:before="0" w:after="0"/>
              <w:jc w:val="left"/>
              <w:rPr>
                <w:spacing w:val="4"/>
              </w:rPr>
            </w:pPr>
            <w:r>
              <w:rPr>
                <w:spacing w:val="4"/>
              </w:rPr>
              <w:t xml:space="preserve">Advance payments on 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1,097</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1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0</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59</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17" w:type="dxa"/>
            <w:tcBorders>
              <w:bottom w:val="single" w:sz="2" w:space="0" w:color="FFFFFF"/>
            </w:tcBorders>
            <w:vAlign w:val="center"/>
          </w:tcPr>
          <w:p>
            <w:pPr>
              <w:pStyle w:val="TableContents"/>
              <w:bidi w:val="0"/>
              <w:spacing w:before="0" w:after="0"/>
              <w:jc w:val="left"/>
              <w:rPr/>
            </w:pPr>
            <w:r>
              <w:rPr>
                <w:spacing w:val="-4"/>
              </w:rPr>
              <w:t>Total other current non-financial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3,918</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3,054</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refers to bank accounts that are used as securities for customer prepayments, mainly in China. Changes within the restricted cash have been disclosed within the operating cashflow.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prepaid expenses mainly comprise prepaid expenses for insurance expenses of €1,617 thousand (December 31, 2024: €1,500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26.   CASH &amp;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as well as deposits on bank accounts amounting to €1,574 thousand as of December 31, 2025 (December 31, 2024: €3,791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27.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reserves amount to €114,980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reserves comprise loss carried forward, net profit/loss for the year, remeasurement of defined benefit obligation and currency translation differences.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 contains the equity, profit/loss carried forward and currency translation differences relating to the minority shareholders of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28.    NON-CONTROLLING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interests relate to SCHMID Singapore Pte. Ltd. (10.00%) and SCHMID Taiwan Ltd. (13.95%).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2ACF"/>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at present value of the redemption amount), with corresponding adjustment recorded in equity. Accordingly as of December 31, 2024 and December 31, 2025, no non-controlling interests are recognized in STG. </w:t>
      </w:r>
    </w:p>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assets attributable to NCI are €652 thousand (2024: €742 thousand).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29.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2025: </w:t>
      </w:r>
    </w:p>
    <w:tbl>
      <w:tblPr>
        <w:tblW w:w="7215" w:type="dxa"/>
        <w:jc w:val="left"/>
        <w:tblInd w:w="1393" w:type="dxa"/>
        <w:tblLayout w:type="fixed"/>
        <w:tblCellMar>
          <w:top w:w="0" w:type="dxa"/>
          <w:left w:w="0" w:type="dxa"/>
          <w:bottom w:w="50" w:type="dxa"/>
          <w:right w:w="0" w:type="dxa"/>
        </w:tblCellMar>
      </w:tblPr>
      <w:tblGrid>
        <w:gridCol w:w="4243"/>
        <w:gridCol w:w="109"/>
        <w:gridCol w:w="109"/>
        <w:gridCol w:w="127"/>
        <w:gridCol w:w="127"/>
        <w:gridCol w:w="904"/>
        <w:gridCol w:w="131"/>
        <w:gridCol w:w="109"/>
        <w:gridCol w:w="109"/>
        <w:gridCol w:w="109"/>
        <w:gridCol w:w="109"/>
        <w:gridCol w:w="766"/>
        <w:gridCol w:w="109"/>
        <w:gridCol w:w="154"/>
      </w:tblGrid>
      <w:tr>
        <w:trPr/>
        <w:tc>
          <w:tcPr>
            <w:tcW w:w="424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1,191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574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2,200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35,965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Black forest term loan facility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XJ Harbour Set-off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9,459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26,094</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43"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71,518</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87,148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2024: </w:t>
      </w:r>
    </w:p>
    <w:tbl>
      <w:tblPr>
        <w:tblW w:w="6602" w:type="dxa"/>
        <w:jc w:val="left"/>
        <w:tblInd w:w="1393" w:type="dxa"/>
        <w:tblLayout w:type="fixed"/>
        <w:tblCellMar>
          <w:top w:w="0" w:type="dxa"/>
          <w:left w:w="0" w:type="dxa"/>
          <w:bottom w:w="50" w:type="dxa"/>
          <w:right w:w="0" w:type="dxa"/>
        </w:tblCellMar>
      </w:tblPr>
      <w:tblGrid>
        <w:gridCol w:w="3630"/>
        <w:gridCol w:w="109"/>
        <w:gridCol w:w="109"/>
        <w:gridCol w:w="127"/>
        <w:gridCol w:w="127"/>
        <w:gridCol w:w="904"/>
        <w:gridCol w:w="131"/>
        <w:gridCol w:w="109"/>
        <w:gridCol w:w="109"/>
        <w:gridCol w:w="109"/>
        <w:gridCol w:w="109"/>
        <w:gridCol w:w="766"/>
        <w:gridCol w:w="109"/>
        <w:gridCol w:w="154"/>
      </w:tblGrid>
      <w:tr>
        <w:trPr/>
        <w:tc>
          <w:tcPr>
            <w:tcW w:w="36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XJ Harbour share purchase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23,539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14,000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37,000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5,053</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30"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42,053</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40,433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8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banks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loans from banks relate to a long-standing overdraft facility held by Gebr. SCHMID GmbH with a local bank in Germany. The non-current loans from banks relate to a new bank loan granted to STG by a Chinese bank.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Black forest term loan facility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payment has not been executed and is no longer expected by the Company. The term loan facility has a 15% p.a. interest rate with interest payable at maturity, unless the conversion right is exercised and interest is also converted into shares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XJ</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Harbour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Set-off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changes from those derivatives are recognized in finance expense. The book and fair value of the share price protection clause is €9,459 thousand whereas the corresponding cap is recognized as a non-current financial asset amounting to €7,713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third party loans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loans from shareholders of €21 million are due end of 2027. The term is automatically extended by a further year if the contract is not terminated 6 months before expiry. Interest is floating at 3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30PR"/>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EURIBOR plus 1% margin. SCHMID entered into an agreement after the balance sheet date to set off those liabilities by issuing share.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other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30.   OTHER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Movement in provisions during the year is as follows: </w:t>
      </w:r>
    </w:p>
    <w:tbl>
      <w:tblPr>
        <w:tblW w:w="8812" w:type="dxa"/>
        <w:jc w:val="left"/>
        <w:tblInd w:w="1393" w:type="dxa"/>
        <w:tblLayout w:type="fixed"/>
        <w:tblCellMar>
          <w:top w:w="0" w:type="dxa"/>
          <w:left w:w="0" w:type="dxa"/>
          <w:bottom w:w="50" w:type="dxa"/>
          <w:right w:w="0" w:type="dxa"/>
        </w:tblCellMar>
      </w:tblPr>
      <w:tblGrid>
        <w:gridCol w:w="1890"/>
        <w:gridCol w:w="109"/>
        <w:gridCol w:w="109"/>
        <w:gridCol w:w="135"/>
        <w:gridCol w:w="135"/>
        <w:gridCol w:w="580"/>
        <w:gridCol w:w="135"/>
        <w:gridCol w:w="109"/>
        <w:gridCol w:w="109"/>
        <w:gridCol w:w="142"/>
        <w:gridCol w:w="142"/>
        <w:gridCol w:w="609"/>
        <w:gridCol w:w="143"/>
        <w:gridCol w:w="109"/>
        <w:gridCol w:w="109"/>
        <w:gridCol w:w="158"/>
        <w:gridCol w:w="158"/>
        <w:gridCol w:w="613"/>
        <w:gridCol w:w="160"/>
        <w:gridCol w:w="109"/>
        <w:gridCol w:w="109"/>
        <w:gridCol w:w="228"/>
        <w:gridCol w:w="228"/>
        <w:gridCol w:w="884"/>
        <w:gridCol w:w="229"/>
        <w:gridCol w:w="109"/>
        <w:gridCol w:w="109"/>
        <w:gridCol w:w="135"/>
        <w:gridCol w:w="135"/>
        <w:gridCol w:w="580"/>
        <w:gridCol w:w="135"/>
        <w:gridCol w:w="168"/>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211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128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134</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(8)</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126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Total non-current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345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39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84" w:type="dxa"/>
            <w:tcBorders/>
            <w:tcMar>
              <w:bottom w:w="0" w:type="dxa"/>
            </w:tcMar>
            <w:vAlign w:val="center"/>
          </w:tcPr>
          <w:p>
            <w:pPr>
              <w:pStyle w:val="TableContents"/>
              <w:bidi w:val="0"/>
              <w:spacing w:before="0" w:after="283"/>
              <w:jc w:val="right"/>
              <w:rPr/>
            </w:pPr>
            <w:r>
              <w:rPr/>
              <w:t>83</w:t>
            </w:r>
          </w:p>
        </w:tc>
        <w:tc>
          <w:tcPr>
            <w:tcW w:w="2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122</w:t>
            </w:r>
          </w:p>
        </w:tc>
        <w:tc>
          <w:tcPr>
            <w:tcW w:w="135"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165</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(17)</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285</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bottom w:val="single" w:sz="2" w:space="0" w:color="CCEEFF"/>
            </w:tcBorders>
            <w:shd w:fill="CCEEFF" w:val="cle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184</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vAlign w:val="center"/>
          </w:tcPr>
          <w:p>
            <w:pPr>
              <w:pStyle w:val="TableContents"/>
              <w:bidi w:val="0"/>
              <w:spacing w:before="0" w:after="283"/>
              <w:jc w:val="right"/>
              <w:rPr/>
            </w:pPr>
            <w:r>
              <w:rPr/>
              <w:t>​</w:t>
            </w:r>
          </w:p>
        </w:tc>
        <w:tc>
          <w:tcPr>
            <w:tcW w:w="609" w:type="dxa"/>
            <w:tcBorders>
              <w:bottom w:val="single" w:sz="2" w:space="0" w:color="000000"/>
            </w:tcBorders>
            <w:shd w:fill="CCEEFF" w:val="clear"/>
            <w:vAlign w:val="center"/>
          </w:tcPr>
          <w:p>
            <w:pPr>
              <w:pStyle w:val="TableContents"/>
              <w:bidi w:val="0"/>
              <w:spacing w:before="0" w:after="283"/>
              <w:jc w:val="right"/>
              <w:rPr/>
            </w:pPr>
            <w:r>
              <w:rPr/>
              <w:t>165</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CCEEFF" w:val="clear"/>
            <w:vAlign w:val="center"/>
          </w:tcPr>
          <w:p>
            <w:pPr>
              <w:pStyle w:val="TableContents"/>
              <w:bidi w:val="0"/>
              <w:spacing w:before="0" w:after="283"/>
              <w:jc w:val="right"/>
              <w:rPr/>
            </w:pPr>
            <w:r>
              <w:rPr/>
              <w:t>​</w:t>
            </w:r>
          </w:p>
        </w:tc>
        <w:tc>
          <w:tcPr>
            <w:tcW w:w="613" w:type="dxa"/>
            <w:tcBorders>
              <w:bottom w:val="single" w:sz="2" w:space="0" w:color="000000"/>
            </w:tcBorders>
            <w:shd w:fill="CCEEFF" w:val="clear"/>
            <w:vAlign w:val="center"/>
          </w:tcPr>
          <w:p>
            <w:pPr>
              <w:pStyle w:val="TableContents"/>
              <w:bidi w:val="0"/>
              <w:spacing w:before="0" w:after="283"/>
              <w:jc w:val="right"/>
              <w:rPr/>
            </w:pPr>
            <w:r>
              <w:rPr/>
              <w:t>(17)</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shd w:fill="CCEEFF" w:val="clear"/>
            <w:vAlign w:val="center"/>
          </w:tcPr>
          <w:p>
            <w:pPr>
              <w:pStyle w:val="TableContents"/>
              <w:bidi w:val="0"/>
              <w:spacing w:before="0" w:after="283"/>
              <w:jc w:val="right"/>
              <w:rPr/>
            </w:pPr>
            <w:r>
              <w:rPr/>
              <w:t>​</w:t>
            </w:r>
          </w:p>
        </w:tc>
        <w:tc>
          <w:tcPr>
            <w:tcW w:w="884" w:type="dxa"/>
            <w:tcBorders>
              <w:bottom w:val="single" w:sz="2" w:space="0" w:color="000000"/>
            </w:tcBorders>
            <w:shd w:fill="CCEEFF" w:val="clear"/>
            <w:vAlign w:val="center"/>
          </w:tcPr>
          <w:p>
            <w:pPr>
              <w:pStyle w:val="TableContents"/>
              <w:bidi w:val="0"/>
              <w:spacing w:before="0" w:after="283"/>
              <w:jc w:val="right"/>
              <w:rPr/>
            </w:pPr>
            <w:r>
              <w:rPr/>
              <w:t>83</w:t>
            </w:r>
          </w:p>
        </w:tc>
        <w:tc>
          <w:tcPr>
            <w:tcW w:w="2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415</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2264"/>
        <w:gridCol w:w="109"/>
        <w:gridCol w:w="109"/>
        <w:gridCol w:w="142"/>
        <w:gridCol w:w="142"/>
        <w:gridCol w:w="609"/>
        <w:gridCol w:w="142"/>
        <w:gridCol w:w="109"/>
        <w:gridCol w:w="109"/>
        <w:gridCol w:w="143"/>
        <w:gridCol w:w="143"/>
        <w:gridCol w:w="613"/>
        <w:gridCol w:w="144"/>
        <w:gridCol w:w="109"/>
        <w:gridCol w:w="109"/>
        <w:gridCol w:w="109"/>
        <w:gridCol w:w="109"/>
        <w:gridCol w:w="772"/>
        <w:gridCol w:w="109"/>
        <w:gridCol w:w="109"/>
        <w:gridCol w:w="109"/>
        <w:gridCol w:w="157"/>
        <w:gridCol w:w="157"/>
        <w:gridCol w:w="610"/>
        <w:gridCol w:w="159"/>
        <w:gridCol w:w="109"/>
        <w:gridCol w:w="109"/>
        <w:gridCol w:w="142"/>
        <w:gridCol w:w="142"/>
        <w:gridCol w:w="609"/>
        <w:gridCol w:w="142"/>
        <w:gridCol w:w="163"/>
      </w:tblGrid>
      <w:tr>
        <w:trPr/>
        <w:tc>
          <w:tcPr>
            <w:tcW w:w="226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3" w:type="dxa"/>
            <w:gridSpan w:val="4"/>
            <w:tcBorders>
              <w:bottom w:val="single" w:sz="2" w:space="0" w:color="000000"/>
            </w:tcBorders>
            <w:vAlign w:val="center"/>
          </w:tcPr>
          <w:p>
            <w:pPr>
              <w:pStyle w:val="TableContents"/>
              <w:bidi w:val="0"/>
              <w:spacing w:before="0" w:after="0"/>
              <w:jc w:val="center"/>
              <w:rPr/>
            </w:pPr>
            <w:r>
              <w:rPr>
                <w:spacing w:val="-3"/>
              </w:rPr>
              <w:t>Reversal of</w:t>
            </w:r>
            <w:r>
              <w:rPr/>
              <w:t xml:space="preserve"> </w:t>
              <w:br/>
            </w:r>
            <w:r>
              <w:rPr>
                <w:spacing w:val="-3"/>
              </w:rPr>
              <w:t>unused</w:t>
            </w:r>
            <w:r>
              <w:rPr/>
              <w:t xml:space="preserve"> </w:t>
              <w:br/>
            </w:r>
            <w:r>
              <w:rPr>
                <w:spacing w:val="-3"/>
              </w:rPr>
              <w:t xml:space="preserve">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238</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(2)</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169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134</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b/>
              </w:rPr>
            </w:pPr>
            <w:r>
              <w:rPr>
                <w:b/>
                <w:spacing w:val="-4"/>
              </w:rPr>
              <w:t>Total non-current provisions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237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0"/>
              <w:jc w:val="right"/>
              <w:rPr/>
            </w:pPr>
            <w:r>
              <w:rPr/>
              <w:t>​</w:t>
            </w:r>
          </w:p>
        </w:tc>
        <w:tc>
          <w:tcPr>
            <w:tcW w:w="613" w:type="dxa"/>
            <w:tcBorders/>
            <w:shd w:fill="CCEEFF" w:val="clear"/>
            <w:tcMar>
              <w:bottom w:w="0" w:type="dxa"/>
            </w:tcMar>
            <w:vAlign w:val="center"/>
          </w:tcPr>
          <w:p>
            <w:pPr>
              <w:pStyle w:val="TableContents"/>
              <w:bidi w:val="0"/>
              <w:spacing w:before="0" w:after="0"/>
              <w:jc w:val="right"/>
              <w:rPr>
                <w:b/>
              </w:rPr>
            </w:pPr>
            <w:r>
              <w:rPr>
                <w:b/>
              </w:rPr>
              <w:t>169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2" w:type="dxa"/>
            <w:tcBorders/>
            <w:shd w:fill="CCEEFF" w:val="clear"/>
            <w:tcMar>
              <w:bottom w:w="0" w:type="dxa"/>
            </w:tcMar>
            <w:vAlign w:val="center"/>
          </w:tcPr>
          <w:p>
            <w:pPr>
              <w:pStyle w:val="TableContents"/>
              <w:bidi w:val="0"/>
              <w:spacing w:before="0" w:after="0"/>
              <w:jc w:val="right"/>
              <w:rPr>
                <w:b/>
              </w:rPr>
            </w:pPr>
            <w:r>
              <w:rPr>
                <w:b/>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345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225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250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610" w:type="dxa"/>
            <w:tcBorders/>
            <w:tcMar>
              <w:bottom w:w="0" w:type="dxa"/>
            </w:tcMar>
            <w:vAlign w:val="center"/>
          </w:tcPr>
          <w:p>
            <w:pPr>
              <w:pStyle w:val="TableContents"/>
              <w:bidi w:val="0"/>
              <w:spacing w:before="0" w:after="283"/>
              <w:jc w:val="right"/>
              <w:rPr/>
            </w:pPr>
            <w:r>
              <w:rPr/>
              <w:t>(62)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w:t>
            </w:r>
          </w:p>
        </w:tc>
        <w:tc>
          <w:tcPr>
            <w:tcW w:w="14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53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(4)</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(700)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(28)</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136</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973</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shd w:fill="CCEEFF" w:val="clear"/>
            <w:tcMar>
              <w:bottom w:w="50" w:type="dxa"/>
            </w:tcMar>
            <w:vAlign w:val="center"/>
          </w:tcPr>
          <w:p>
            <w:pPr>
              <w:pStyle w:val="TableContents"/>
              <w:bidi w:val="0"/>
              <w:spacing w:before="0" w:after="283"/>
              <w:jc w:val="right"/>
              <w:rPr/>
            </w:pPr>
            <w:r>
              <w:rPr/>
              <w:t>420</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shd w:fill="CCEEFF" w:val="clear"/>
            <w:tcMar>
              <w:bottom w:w="50" w:type="dxa"/>
            </w:tcMar>
            <w:vAlign w:val="center"/>
          </w:tcPr>
          <w:p>
            <w:pPr>
              <w:pStyle w:val="TableContents"/>
              <w:bidi w:val="0"/>
              <w:spacing w:before="0" w:after="283"/>
              <w:jc w:val="right"/>
              <w:rPr/>
            </w:pPr>
            <w:r>
              <w:rPr/>
              <w:t>(1,115)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shd w:fill="CCEEFF" w:val="clear"/>
            <w:tcMar>
              <w:bottom w:w="50" w:type="dxa"/>
            </w:tcMar>
            <w:vAlign w:val="center"/>
          </w:tcPr>
          <w:p>
            <w:pPr>
              <w:pStyle w:val="TableContents"/>
              <w:bidi w:val="0"/>
              <w:spacing w:before="0" w:after="283"/>
              <w:jc w:val="right"/>
              <w:rPr/>
            </w:pPr>
            <w:r>
              <w:rPr/>
              <w:t>(94)</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184</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1BE"/>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31.   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contribution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 </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benefit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of the defined benefit obligation at the end of the fiscal year 2025 amounted to €969 thousand (December 31, 2024: €978 thousand, December 31, 2023: €894 thousand).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net defined benefit liability: </w:t>
      </w:r>
    </w:p>
    <w:tbl>
      <w:tblPr>
        <w:tblW w:w="8812" w:type="dxa"/>
        <w:jc w:val="left"/>
        <w:tblInd w:w="1393" w:type="dxa"/>
        <w:tblLayout w:type="fixed"/>
        <w:tblCellMar>
          <w:top w:w="0" w:type="dxa"/>
          <w:left w:w="0" w:type="dxa"/>
          <w:bottom w:w="50" w:type="dxa"/>
          <w:right w:w="0" w:type="dxa"/>
        </w:tblCellMar>
      </w:tblPr>
      <w:tblGrid>
        <w:gridCol w:w="6611"/>
        <w:gridCol w:w="109"/>
        <w:gridCol w:w="109"/>
        <w:gridCol w:w="109"/>
        <w:gridCol w:w="109"/>
        <w:gridCol w:w="490"/>
        <w:gridCol w:w="109"/>
        <w:gridCol w:w="109"/>
        <w:gridCol w:w="109"/>
        <w:gridCol w:w="109"/>
        <w:gridCol w:w="109"/>
        <w:gridCol w:w="466"/>
        <w:gridCol w:w="109"/>
        <w:gridCol w:w="155"/>
      </w:tblGrid>
      <w:tr>
        <w:trPr/>
        <w:tc>
          <w:tcPr>
            <w:tcW w:w="661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January 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611" w:type="dxa"/>
            <w:tcBorders/>
            <w:tcMar>
              <w:bottom w:w="0" w:type="dxa"/>
            </w:tcMar>
            <w:vAlign w:val="center"/>
          </w:tcPr>
          <w:p>
            <w:pPr>
              <w:pStyle w:val="TableContents"/>
              <w:bidi w:val="0"/>
              <w:spacing w:before="0" w:after="0"/>
              <w:jc w:val="left"/>
              <w:rPr>
                <w:spacing w:val="4"/>
              </w:rPr>
            </w:pPr>
            <w:r>
              <w:rPr>
                <w:spacing w:val="4"/>
              </w:rPr>
              <w:t xml:space="preserve">Defined benefit income recognized in consolidated statement of profit or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11" w:type="dxa"/>
            <w:tcBorders/>
            <w:shd w:fill="CCEEFF" w:val="clear"/>
            <w:tcMar>
              <w:bottom w:w="0" w:type="dxa"/>
            </w:tcMar>
            <w:vAlign w:val="center"/>
          </w:tcPr>
          <w:p>
            <w:pPr>
              <w:pStyle w:val="TableContents"/>
              <w:bidi w:val="0"/>
              <w:spacing w:before="0" w:after="0"/>
              <w:jc w:val="left"/>
              <w:rPr>
                <w:spacing w:val="4"/>
              </w:rPr>
            </w:pPr>
            <w:r>
              <w:rPr>
                <w:spacing w:val="4"/>
              </w:rPr>
              <w:t xml:space="preserve">Defined benefit cost recognized in other comprehensive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611" w:type="dxa"/>
            <w:tcBorders>
              <w:bottom w:val="single" w:sz="2" w:space="0" w:color="FFFFFF"/>
            </w:tcBorders>
            <w:vAlign w:val="center"/>
          </w:tcPr>
          <w:p>
            <w:pPr>
              <w:pStyle w:val="TableContents"/>
              <w:bidi w:val="0"/>
              <w:spacing w:before="0" w:after="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0"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amount recognized in the consolidated statement of financial position: </w:t>
      </w:r>
    </w:p>
    <w:tbl>
      <w:tblPr>
        <w:tblW w:w="7919" w:type="dxa"/>
        <w:jc w:val="left"/>
        <w:tblInd w:w="1393" w:type="dxa"/>
        <w:tblLayout w:type="fixed"/>
        <w:tblCellMar>
          <w:top w:w="0" w:type="dxa"/>
          <w:left w:w="0" w:type="dxa"/>
          <w:bottom w:w="50" w:type="dxa"/>
          <w:right w:w="0" w:type="dxa"/>
        </w:tblCellMar>
      </w:tblPr>
      <w:tblGrid>
        <w:gridCol w:w="5713"/>
        <w:gridCol w:w="109"/>
        <w:gridCol w:w="109"/>
        <w:gridCol w:w="109"/>
        <w:gridCol w:w="109"/>
        <w:gridCol w:w="496"/>
        <w:gridCol w:w="109"/>
        <w:gridCol w:w="109"/>
        <w:gridCol w:w="109"/>
        <w:gridCol w:w="109"/>
        <w:gridCol w:w="109"/>
        <w:gridCol w:w="466"/>
        <w:gridCol w:w="109"/>
        <w:gridCol w:w="154"/>
      </w:tblGrid>
      <w:tr>
        <w:trPr/>
        <w:tc>
          <w:tcPr>
            <w:tcW w:w="57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b/>
              </w:rPr>
            </w:pPr>
            <w:r>
              <w:rPr>
                <w:b/>
                <w:spacing w:val="-4"/>
              </w:rPr>
              <w:t>Employee benefit obligations recognized as of January 1</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13" w:type="dxa"/>
            <w:tcBorders/>
            <w:tcMar>
              <w:bottom w:w="0" w:type="dxa"/>
            </w:tcMar>
            <w:vAlign w:val="center"/>
          </w:tcPr>
          <w:p>
            <w:pPr>
              <w:pStyle w:val="TableContents"/>
              <w:bidi w:val="0"/>
              <w:spacing w:before="0" w:after="0"/>
              <w:ind w:left="200" w:right="0" w:hanging="0"/>
              <w:jc w:val="left"/>
              <w:rPr>
                <w:spacing w:val="4"/>
              </w:rPr>
            </w:pPr>
            <w:r>
              <w:rPr>
                <w:spacing w:val="4"/>
              </w:rPr>
              <w:t xml:space="preserve">Actuarial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pPr>
            <w:r>
              <w:rPr>
                <w:spacing w:val="-4"/>
              </w:rPr>
              <w:t>Employee benefit obligations recognized as of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recognized in the consolidated statements of profit or loss and other comprehensive income is as follows </w:t>
      </w:r>
    </w:p>
    <w:tbl>
      <w:tblPr>
        <w:tblW w:w="8812" w:type="dxa"/>
        <w:jc w:val="left"/>
        <w:tblInd w:w="1393" w:type="dxa"/>
        <w:tblLayout w:type="fixed"/>
        <w:tblCellMar>
          <w:top w:w="0" w:type="dxa"/>
          <w:left w:w="0" w:type="dxa"/>
          <w:bottom w:w="50" w:type="dxa"/>
          <w:right w:w="0" w:type="dxa"/>
        </w:tblCellMar>
      </w:tblPr>
      <w:tblGrid>
        <w:gridCol w:w="5836"/>
        <w:gridCol w:w="109"/>
        <w:gridCol w:w="109"/>
        <w:gridCol w:w="109"/>
        <w:gridCol w:w="109"/>
        <w:gridCol w:w="362"/>
        <w:gridCol w:w="109"/>
        <w:gridCol w:w="109"/>
        <w:gridCol w:w="109"/>
        <w:gridCol w:w="109"/>
        <w:gridCol w:w="109"/>
        <w:gridCol w:w="362"/>
        <w:gridCol w:w="109"/>
        <w:gridCol w:w="109"/>
        <w:gridCol w:w="109"/>
        <w:gridCol w:w="109"/>
        <w:gridCol w:w="109"/>
        <w:gridCol w:w="461"/>
        <w:gridCol w:w="109"/>
        <w:gridCol w:w="156"/>
      </w:tblGrid>
      <w:tr>
        <w:trPr/>
        <w:tc>
          <w:tcPr>
            <w:tcW w:w="58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spacing w:val="4"/>
              </w:rPr>
            </w:pPr>
            <w:r>
              <w:rPr>
                <w:spacing w:val="4"/>
              </w:rPr>
              <w:t xml:space="preserve">Actuarial (gains) / losses deriving from changes in financial assumptions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Actuarial (gains) / losses deriving from experience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b/>
              </w:rPr>
            </w:pPr>
            <w:r>
              <w:rPr>
                <w:b/>
                <w:spacing w:val="-4"/>
              </w:rPr>
              <w:t>Included in other comprehensive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bottom w:val="single" w:sz="2" w:space="0" w:color="CCEEFF"/>
            </w:tcBorders>
            <w:shd w:fill="CCEEFF" w:val="clear"/>
            <w:vAlign w:val="center"/>
          </w:tcPr>
          <w:p>
            <w:pPr>
              <w:pStyle w:val="TableContents"/>
              <w:bidi w:val="0"/>
              <w:spacing w:before="0" w:after="0"/>
              <w:jc w:val="left"/>
              <w:rPr>
                <w:b/>
              </w:rPr>
            </w:pPr>
            <w:r>
              <w:rPr>
                <w:b/>
                <w:spacing w:val="-4"/>
              </w:rPr>
              <w:t>Included in the consolidated statements of profit or loss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1" w:type="dxa"/>
            <w:tcBorders>
              <w:bottom w:val="single" w:sz="2" w:space="0" w:color="000000"/>
            </w:tcBorders>
            <w:shd w:fill="CCEEFF" w:val="clear"/>
            <w:vAlign w:val="center"/>
          </w:tcPr>
          <w:p>
            <w:pPr>
              <w:pStyle w:val="TableContents"/>
              <w:bidi w:val="0"/>
              <w:spacing w:before="0" w:after="283"/>
              <w:jc w:val="right"/>
              <w:rPr/>
            </w:pPr>
            <w:r>
              <w:rPr/>
              <w:t>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8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Total included in the consolidated statements of profit or loss and other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461" w:type="dxa"/>
            <w:tcBorders>
              <w:bottom w:val="single" w:sz="2" w:space="0" w:color="000000"/>
            </w:tcBorders>
            <w:tcMar>
              <w:bottom w:w="37" w:type="dxa"/>
            </w:tcMar>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cost relating to the obligation is a component of the result from financing activities.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were the principal actuarial assumptions as of: </w:t>
      </w:r>
    </w:p>
    <w:tbl>
      <w:tblPr>
        <w:tblW w:w="4529" w:type="dxa"/>
        <w:jc w:val="left"/>
        <w:tblInd w:w="1393" w:type="dxa"/>
        <w:tblLayout w:type="fixed"/>
        <w:tblCellMar>
          <w:top w:w="0" w:type="dxa"/>
          <w:left w:w="0" w:type="dxa"/>
          <w:bottom w:w="28" w:type="dxa"/>
          <w:right w:w="0" w:type="dxa"/>
        </w:tblCellMar>
      </w:tblPr>
      <w:tblGrid>
        <w:gridCol w:w="1481"/>
        <w:gridCol w:w="109"/>
        <w:gridCol w:w="109"/>
        <w:gridCol w:w="144"/>
        <w:gridCol w:w="144"/>
        <w:gridCol w:w="797"/>
        <w:gridCol w:w="144"/>
        <w:gridCol w:w="109"/>
        <w:gridCol w:w="109"/>
        <w:gridCol w:w="144"/>
        <w:gridCol w:w="144"/>
        <w:gridCol w:w="797"/>
        <w:gridCol w:w="144"/>
        <w:gridCol w:w="154"/>
      </w:tblGrid>
      <w:tr>
        <w:trPr/>
        <w:tc>
          <w:tcPr>
            <w:tcW w:w="1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1" w:type="dxa"/>
            <w:tcBorders/>
            <w:shd w:fill="CCEEFF" w:val="clear"/>
            <w:tcMar>
              <w:bottom w:w="0" w:type="dxa"/>
            </w:tcMar>
            <w:vAlign w:val="center"/>
          </w:tcPr>
          <w:p>
            <w:pPr>
              <w:pStyle w:val="TableContents"/>
              <w:bidi w:val="0"/>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3.5%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3ARP"/>
      <w:bookmarkEnd w:id="83"/>
      <w:r>
        <w:rPr>
          <w:rFonts w:ascii="calibri;arial;sans-serif" w:hAnsi="calibri;arial;sans-serif"/>
          <w:b w:val="false"/>
          <w:i w:val="false"/>
          <w:caps w:val="false"/>
          <w:smallCaps w:val="false"/>
          <w:color w:val="000000"/>
          <w:sz w:val="16"/>
        </w:rPr>
        <w:t>​</w:t>
      </w:r>
      <w:bookmarkStart w:id="84" w:name="t3CL"/>
      <w:bookmarkEnd w:id="84"/>
      <w:r>
        <w:rPr>
          <w:rFonts w:ascii="calibri;arial;sans-serif" w:hAnsi="calibri;arial;sans-serif"/>
          <w:b w:val="false"/>
          <w:i w:val="false"/>
          <w:caps w:val="false"/>
          <w:smallCaps w:val="false"/>
          <w:color w:val="000000"/>
          <w:sz w:val="16"/>
        </w:rPr>
        <w:t>​</w:t>
      </w:r>
      <w:bookmarkStart w:id="85" w:name="t3IAF"/>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obligation is 10 years as of December 31, 2025 (December 31, 2024: 11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32.   TRADE AND RELATED PARTY PAYABLES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50" w:type="dxa"/>
          <w:right w:w="0" w:type="dxa"/>
        </w:tblCellMar>
      </w:tblPr>
      <w:tblGrid>
        <w:gridCol w:w="3613"/>
        <w:gridCol w:w="109"/>
        <w:gridCol w:w="109"/>
        <w:gridCol w:w="122"/>
        <w:gridCol w:w="122"/>
        <w:gridCol w:w="862"/>
        <w:gridCol w:w="122"/>
        <w:gridCol w:w="109"/>
        <w:gridCol w:w="109"/>
        <w:gridCol w:w="122"/>
        <w:gridCol w:w="122"/>
        <w:gridCol w:w="862"/>
        <w:gridCol w:w="122"/>
        <w:gridCol w:w="154"/>
      </w:tblGrid>
      <w:tr>
        <w:trPr/>
        <w:tc>
          <w:tcPr>
            <w:tcW w:w="36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35,408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27,822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3" w:type="dxa"/>
            <w:tcBorders>
              <w:bottom w:val="single" w:sz="2" w:space="0" w:color="FFFFFF"/>
            </w:tcBorders>
            <w:vAlign w:val="center"/>
          </w:tcPr>
          <w:p>
            <w:pPr>
              <w:pStyle w:val="TableContents"/>
              <w:bidi w:val="0"/>
              <w:spacing w:before="0" w:after="0"/>
              <w:jc w:val="left"/>
              <w:rPr>
                <w:spacing w:val="4"/>
              </w:rPr>
            </w:pPr>
            <w:r>
              <w:rPr>
                <w:spacing w:val="4"/>
              </w:rPr>
              <w:t xml:space="preserve">Associated company payables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2,663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357</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bottom w:val="single" w:sz="2" w:space="0" w:color="CCEEFF"/>
            </w:tcBorders>
            <w:shd w:fill="CCEEFF" w:val="clear"/>
            <w:vAlign w:val="center"/>
          </w:tcPr>
          <w:p>
            <w:pPr>
              <w:pStyle w:val="TableContents"/>
              <w:bidi w:val="0"/>
              <w:spacing w:before="0" w:after="0"/>
              <w:jc w:val="left"/>
              <w:rPr/>
            </w:pPr>
            <w:r>
              <w:rPr>
                <w:spacing w:val="-4"/>
              </w:rPr>
              <w:t>Total trade and related party payables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38,071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28,179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0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33.   OTHER CURRENT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non-financial liabilities are as follows: </w:t>
      </w:r>
    </w:p>
    <w:tbl>
      <w:tblPr>
        <w:tblW w:w="6865" w:type="dxa"/>
        <w:jc w:val="left"/>
        <w:tblInd w:w="1393" w:type="dxa"/>
        <w:tblLayout w:type="fixed"/>
        <w:tblCellMar>
          <w:top w:w="0" w:type="dxa"/>
          <w:left w:w="0" w:type="dxa"/>
          <w:bottom w:w="50" w:type="dxa"/>
          <w:right w:w="0" w:type="dxa"/>
        </w:tblCellMar>
      </w:tblPr>
      <w:tblGrid>
        <w:gridCol w:w="3819"/>
        <w:gridCol w:w="109"/>
        <w:gridCol w:w="109"/>
        <w:gridCol w:w="122"/>
        <w:gridCol w:w="122"/>
        <w:gridCol w:w="862"/>
        <w:gridCol w:w="122"/>
        <w:gridCol w:w="109"/>
        <w:gridCol w:w="109"/>
        <w:gridCol w:w="122"/>
        <w:gridCol w:w="122"/>
        <w:gridCol w:w="862"/>
        <w:gridCol w:w="122"/>
        <w:gridCol w:w="154"/>
      </w:tblGrid>
      <w:tr>
        <w:trPr/>
        <w:tc>
          <w:tcPr>
            <w:tcW w:w="381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2,579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Tax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432</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Audit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1,853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Production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2,645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1,596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Liabilities due to reorganization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3,140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Miscellaneous other 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5,142</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4,557</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19" w:type="dxa"/>
            <w:tcBorders>
              <w:bottom w:val="single" w:sz="2" w:space="0" w:color="FFFFFF"/>
            </w:tcBorders>
            <w:vAlign w:val="center"/>
          </w:tcPr>
          <w:p>
            <w:pPr>
              <w:pStyle w:val="TableContents"/>
              <w:bidi w:val="0"/>
              <w:spacing w:before="0" w:after="0"/>
              <w:jc w:val="left"/>
              <w:rPr/>
            </w:pPr>
            <w:r>
              <w:rPr>
                <w:spacing w:val="-4"/>
              </w:rPr>
              <w:t>Total other current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15,505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17,513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INSTRUMENTS AND 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Carrying Amounts and Fair Values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disclose the carrying amounts of each class of financial instruments together with its corresponding fair value and the aggregated carrying amount per category. </w:t>
      </w:r>
    </w:p>
    <w:tbl>
      <w:tblPr>
        <w:tblW w:w="8812" w:type="dxa"/>
        <w:jc w:val="left"/>
        <w:tblInd w:w="1393" w:type="dxa"/>
        <w:tblLayout w:type="fixed"/>
        <w:tblCellMar>
          <w:top w:w="0" w:type="dxa"/>
          <w:left w:w="0" w:type="dxa"/>
          <w:bottom w:w="28" w:type="dxa"/>
          <w:right w:w="0" w:type="dxa"/>
        </w:tblCellMar>
      </w:tblPr>
      <w:tblGrid>
        <w:gridCol w:w="3378"/>
        <w:gridCol w:w="109"/>
        <w:gridCol w:w="109"/>
        <w:gridCol w:w="109"/>
        <w:gridCol w:w="109"/>
        <w:gridCol w:w="856"/>
        <w:gridCol w:w="109"/>
        <w:gridCol w:w="109"/>
        <w:gridCol w:w="109"/>
        <w:gridCol w:w="109"/>
        <w:gridCol w:w="109"/>
        <w:gridCol w:w="766"/>
        <w:gridCol w:w="109"/>
        <w:gridCol w:w="109"/>
        <w:gridCol w:w="109"/>
        <w:gridCol w:w="115"/>
        <w:gridCol w:w="115"/>
        <w:gridCol w:w="684"/>
        <w:gridCol w:w="115"/>
        <w:gridCol w:w="109"/>
        <w:gridCol w:w="109"/>
        <w:gridCol w:w="1099"/>
        <w:gridCol w:w="158"/>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Group14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8,478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XJ Harbour price protection cap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7,713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Receivables from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Non-current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price protection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pPr>
            <w:r>
              <w:rPr>
                <w:spacing w:val="-4"/>
              </w:rPr>
              <w:t>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jc w:val="left"/>
              <w:rPr>
                <w:spacing w:val="4"/>
              </w:rPr>
            </w:pPr>
            <w:r>
              <w:rPr>
                <w:spacing w:val="4"/>
              </w:rPr>
              <w:t xml:space="preserve">Trade and related party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loans and other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Receivables from equity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Non-current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Other 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6"/>
        <w:gridCol w:w="109"/>
        <w:gridCol w:w="109"/>
        <w:gridCol w:w="109"/>
        <w:gridCol w:w="109"/>
        <w:gridCol w:w="736"/>
        <w:gridCol w:w="109"/>
        <w:gridCol w:w="109"/>
        <w:gridCol w:w="109"/>
        <w:gridCol w:w="109"/>
        <w:gridCol w:w="109"/>
        <w:gridCol w:w="766"/>
        <w:gridCol w:w="109"/>
        <w:gridCol w:w="109"/>
        <w:gridCol w:w="109"/>
        <w:gridCol w:w="140"/>
        <w:gridCol w:w="140"/>
        <w:gridCol w:w="457"/>
        <w:gridCol w:w="140"/>
        <w:gridCol w:w="109"/>
        <w:gridCol w:w="109"/>
        <w:gridCol w:w="1114"/>
        <w:gridCol w:w="157"/>
      </w:tblGrid>
      <w:tr>
        <w:trPr/>
        <w:tc>
          <w:tcPr>
            <w:tcW w:w="3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283"/>
              <w:jc w:val="left"/>
              <w:rPr>
                <w:spacing w:val="4"/>
              </w:rPr>
            </w:pPr>
            <w:r>
              <w:rPr>
                <w:spacing w:val="4"/>
              </w:rPr>
              <w:t xml:space="preserve">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carrying amounts of cash and cash equivalents, trade and other receivables, loans from banks and trade payables, are considered reasonable estimates of their fair values because of the short maturities of these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Derivatives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Incentive options and conversion rights (Black forest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Share Price Protection and Cap: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85"/>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tables show the effect that an increase in historical volatility of the interest rates would have on the fair values of the embedded derivatives as of December 31, 2025. </w:t>
      </w:r>
    </w:p>
    <w:tbl>
      <w:tblPr>
        <w:tblW w:w="7370" w:type="dxa"/>
        <w:jc w:val="left"/>
        <w:tblInd w:w="1393" w:type="dxa"/>
        <w:tblLayout w:type="fixed"/>
        <w:tblCellMar>
          <w:top w:w="0" w:type="dxa"/>
          <w:left w:w="0" w:type="dxa"/>
          <w:bottom w:w="43" w:type="dxa"/>
          <w:right w:w="0" w:type="dxa"/>
        </w:tblCellMar>
      </w:tblPr>
      <w:tblGrid>
        <w:gridCol w:w="2565"/>
        <w:gridCol w:w="109"/>
        <w:gridCol w:w="109"/>
        <w:gridCol w:w="234"/>
        <w:gridCol w:w="234"/>
        <w:gridCol w:w="1650"/>
        <w:gridCol w:w="236"/>
        <w:gridCol w:w="109"/>
        <w:gridCol w:w="109"/>
        <w:gridCol w:w="208"/>
        <w:gridCol w:w="208"/>
        <w:gridCol w:w="1237"/>
        <w:gridCol w:w="208"/>
        <w:gridCol w:w="154"/>
      </w:tblGrid>
      <w:tr>
        <w:trPr/>
        <w:tc>
          <w:tcPr>
            <w:tcW w:w="2565" w:type="dxa"/>
            <w:tcBorders>
              <w:bottom w:val="single" w:sz="2" w:space="0" w:color="000000"/>
            </w:tcBorders>
            <w:vAlign w:val="center"/>
          </w:tcPr>
          <w:p>
            <w:pPr>
              <w:pStyle w:val="TableContents"/>
              <w:bidi w:val="0"/>
              <w:spacing w:before="0" w:after="283"/>
              <w:jc w:val="left"/>
              <w:rPr/>
            </w:pPr>
            <w:r>
              <w:rPr>
                <w:spacing w:val="-3"/>
              </w:rPr>
              <w:t>31.12.2025</w:t>
            </w:r>
            <w:r>
              <w:rPr/>
              <w:t xml:space="preserve"> </w:t>
              <w:br/>
            </w: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54" w:type="dxa"/>
            <w:gridSpan w:val="4"/>
            <w:tcBorders>
              <w:bottom w:val="single" w:sz="2" w:space="0" w:color="000000"/>
            </w:tcBorders>
            <w:vAlign w:val="center"/>
          </w:tcPr>
          <w:p>
            <w:pPr>
              <w:pStyle w:val="TableContents"/>
              <w:bidi w:val="0"/>
              <w:spacing w:before="0" w:after="0"/>
              <w:jc w:val="center"/>
              <w:rPr/>
            </w:pPr>
            <w:r>
              <w:rPr>
                <w:spacing w:val="-3"/>
              </w:rPr>
              <w:t>Fair value of 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pPr>
            <w:r>
              <w:rPr>
                <w:spacing w:val="-3"/>
              </w:rPr>
              <w:t>Effect on financial</w:t>
            </w:r>
            <w:r>
              <w:rPr/>
              <w:t xml:space="preserve"> </w:t>
              <w:br/>
            </w:r>
            <w:r>
              <w:rPr>
                <w:spacing w:val="-3"/>
              </w:rPr>
              <w:t xml:space="preserve">result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Share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11.460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1.031</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shd w:fill="CCEEFF" w:val="clear"/>
            <w:tcMar>
              <w:bottom w:w="50" w:type="dxa"/>
            </w:tcMar>
            <w:vAlign w:val="center"/>
          </w:tcPr>
          <w:p>
            <w:pPr>
              <w:pStyle w:val="TableContents"/>
              <w:bidi w:val="0"/>
              <w:spacing w:before="0" w:after="283"/>
              <w:jc w:val="right"/>
              <w:rPr/>
            </w:pPr>
            <w:r>
              <w:rPr/>
              <w:t>9.434</w:t>
            </w:r>
          </w:p>
        </w:tc>
        <w:tc>
          <w:tcPr>
            <w:tcW w:w="2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shd w:fill="CCEEFF" w:val="clear"/>
            <w:tcMar>
              <w:bottom w:w="50" w:type="dxa"/>
            </w:tcMar>
            <w:vAlign w:val="center"/>
          </w:tcPr>
          <w:p>
            <w:pPr>
              <w:pStyle w:val="TableContents"/>
              <w:bidi w:val="0"/>
              <w:spacing w:before="0" w:after="283"/>
              <w:jc w:val="right"/>
              <w:rPr/>
            </w:pPr>
            <w:r>
              <w:rPr/>
              <w:t>(995)</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Change in Share volatility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10.846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417</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tcMar>
              <w:bottom w:w="50" w:type="dxa"/>
            </w:tcMar>
            <w:vAlign w:val="center"/>
          </w:tcPr>
          <w:p>
            <w:pPr>
              <w:pStyle w:val="TableContents"/>
              <w:bidi w:val="0"/>
              <w:spacing w:before="0" w:after="283"/>
              <w:jc w:val="right"/>
              <w:rPr/>
            </w:pPr>
            <w:r>
              <w:rPr/>
              <w:t>9.946</w:t>
            </w:r>
          </w:p>
        </w:tc>
        <w:tc>
          <w:tcPr>
            <w:tcW w:w="2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(483)</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Credit Spread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10.390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(39)</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10.468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39</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transfers between levels 1, 2 and 3 for recurring fair value measurements during the year.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assets reconciliation: </w:t>
      </w:r>
    </w:p>
    <w:tbl>
      <w:tblPr>
        <w:tblW w:w="8812" w:type="dxa"/>
        <w:jc w:val="left"/>
        <w:tblInd w:w="1393" w:type="dxa"/>
        <w:tblLayout w:type="fixed"/>
        <w:tblCellMar>
          <w:top w:w="0" w:type="dxa"/>
          <w:left w:w="0" w:type="dxa"/>
          <w:bottom w:w="43" w:type="dxa"/>
          <w:right w:w="0" w:type="dxa"/>
        </w:tblCellMar>
      </w:tblPr>
      <w:tblGrid>
        <w:gridCol w:w="3696"/>
        <w:gridCol w:w="109"/>
        <w:gridCol w:w="109"/>
        <w:gridCol w:w="171"/>
        <w:gridCol w:w="171"/>
        <w:gridCol w:w="1019"/>
        <w:gridCol w:w="171"/>
        <w:gridCol w:w="109"/>
        <w:gridCol w:w="109"/>
        <w:gridCol w:w="163"/>
        <w:gridCol w:w="163"/>
        <w:gridCol w:w="1190"/>
        <w:gridCol w:w="163"/>
        <w:gridCol w:w="109"/>
        <w:gridCol w:w="109"/>
        <w:gridCol w:w="109"/>
        <w:gridCol w:w="109"/>
        <w:gridCol w:w="766"/>
        <w:gridCol w:w="109"/>
        <w:gridCol w:w="158"/>
      </w:tblGrid>
      <w:tr>
        <w:trPr/>
        <w:tc>
          <w:tcPr>
            <w:tcW w:w="369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9" w:type="dxa"/>
            <w:gridSpan w:val="4"/>
            <w:tcBorders>
              <w:bottom w:val="single" w:sz="2" w:space="0" w:color="000000"/>
            </w:tcBorders>
            <w:vAlign w:val="center"/>
          </w:tcPr>
          <w:p>
            <w:pPr>
              <w:pStyle w:val="TableContents"/>
              <w:bidi w:val="0"/>
              <w:spacing w:before="0" w:after="0"/>
              <w:jc w:val="center"/>
              <w:rPr/>
            </w:pPr>
            <w:r>
              <w:rPr>
                <w:spacing w:val="-3"/>
              </w:rPr>
              <w:t>XJ Harbour price</w:t>
            </w:r>
            <w:r>
              <w:rPr/>
              <w:t xml:space="preserve"> </w:t>
              <w:br/>
            </w:r>
            <w:r>
              <w:rPr>
                <w:spacing w:val="-3"/>
              </w:rPr>
              <w:t>protection cap</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6,234</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10,808</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17,042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2,244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(3,095)</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8,478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7,713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liabilities reconciliation: </w:t>
      </w:r>
    </w:p>
    <w:tbl>
      <w:tblPr>
        <w:tblW w:w="8812" w:type="dxa"/>
        <w:jc w:val="left"/>
        <w:tblInd w:w="1393" w:type="dxa"/>
        <w:tblLayout w:type="fixed"/>
        <w:tblCellMar>
          <w:top w:w="0" w:type="dxa"/>
          <w:left w:w="0" w:type="dxa"/>
          <w:bottom w:w="43" w:type="dxa"/>
          <w:right w:w="0" w:type="dxa"/>
        </w:tblCellMar>
      </w:tblPr>
      <w:tblGrid>
        <w:gridCol w:w="2833"/>
        <w:gridCol w:w="109"/>
        <w:gridCol w:w="109"/>
        <w:gridCol w:w="126"/>
        <w:gridCol w:w="126"/>
        <w:gridCol w:w="888"/>
        <w:gridCol w:w="126"/>
        <w:gridCol w:w="109"/>
        <w:gridCol w:w="109"/>
        <w:gridCol w:w="143"/>
        <w:gridCol w:w="143"/>
        <w:gridCol w:w="856"/>
        <w:gridCol w:w="147"/>
        <w:gridCol w:w="109"/>
        <w:gridCol w:w="109"/>
        <w:gridCol w:w="126"/>
        <w:gridCol w:w="126"/>
        <w:gridCol w:w="906"/>
        <w:gridCol w:w="126"/>
        <w:gridCol w:w="109"/>
        <w:gridCol w:w="109"/>
        <w:gridCol w:w="109"/>
        <w:gridCol w:w="109"/>
        <w:gridCol w:w="781"/>
        <w:gridCol w:w="109"/>
        <w:gridCol w:w="160"/>
      </w:tblGrid>
      <w:tr>
        <w:trPr/>
        <w:tc>
          <w:tcPr>
            <w:tcW w:w="28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pPr>
            <w:r>
              <w:rPr>
                <w:spacing w:val="-3"/>
              </w:rPr>
              <w:t>XJ Harbour – </w:t>
            </w:r>
            <w:r>
              <w:rPr/>
              <w:t xml:space="preserve"> </w:t>
              <w:br/>
            </w:r>
            <w:r>
              <w:rPr>
                <w:spacing w:val="-3"/>
              </w:rPr>
              <w:t>embedded</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3,418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1,904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12,964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18,286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(1,644)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(317)</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(3,505)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(5,466)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1,775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1,587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9,459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12,820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Items of income, expenses, gains or losses resulting from 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gains or losses for each of the financial instrument measurement categories differentiated by the respective sources were as follows: </w:t>
      </w:r>
    </w:p>
    <w:tbl>
      <w:tblPr>
        <w:tblW w:w="8577" w:type="dxa"/>
        <w:jc w:val="left"/>
        <w:tblInd w:w="1393" w:type="dxa"/>
        <w:tblLayout w:type="fixed"/>
        <w:tblCellMar>
          <w:top w:w="0" w:type="dxa"/>
          <w:left w:w="0" w:type="dxa"/>
          <w:bottom w:w="50" w:type="dxa"/>
          <w:right w:w="0" w:type="dxa"/>
        </w:tblCellMar>
      </w:tblPr>
      <w:tblGrid>
        <w:gridCol w:w="4040"/>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2025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(28,076)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(39,413)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83" w:type="dxa"/>
        <w:jc w:val="left"/>
        <w:tblInd w:w="1393" w:type="dxa"/>
        <w:tblLayout w:type="fixed"/>
        <w:tblCellMar>
          <w:top w:w="0" w:type="dxa"/>
          <w:left w:w="0" w:type="dxa"/>
          <w:bottom w:w="50" w:type="dxa"/>
          <w:right w:w="0" w:type="dxa"/>
        </w:tblCellMar>
      </w:tblPr>
      <w:tblGrid>
        <w:gridCol w:w="4040"/>
        <w:gridCol w:w="109"/>
        <w:gridCol w:w="109"/>
        <w:gridCol w:w="109"/>
        <w:gridCol w:w="109"/>
        <w:gridCol w:w="796"/>
        <w:gridCol w:w="109"/>
        <w:gridCol w:w="109"/>
        <w:gridCol w:w="109"/>
        <w:gridCol w:w="122"/>
        <w:gridCol w:w="122"/>
        <w:gridCol w:w="723"/>
        <w:gridCol w:w="122"/>
        <w:gridCol w:w="109"/>
        <w:gridCol w:w="109"/>
        <w:gridCol w:w="109"/>
        <w:gridCol w:w="109"/>
        <w:gridCol w:w="79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2024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1"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n/a</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n/a</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723" w:type="dxa"/>
            <w:tcBorders>
              <w:bottom w:val="single" w:sz="2" w:space="0" w:color="000000"/>
            </w:tcBorders>
            <w:shd w:fill="CCEEFF" w:val="clear"/>
            <w:vAlign w:val="center"/>
          </w:tcPr>
          <w:p>
            <w:pPr>
              <w:pStyle w:val="TableContents"/>
              <w:bidi w:val="0"/>
              <w:spacing w:before="0" w:after="283"/>
              <w:jc w:val="right"/>
              <w:rPr/>
            </w:pPr>
            <w:r>
              <w:rPr/>
              <w:t>1,028</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723" w:type="dxa"/>
            <w:tcBorders>
              <w:bottom w:val="single" w:sz="2" w:space="0" w:color="000000"/>
            </w:tcBorders>
            <w:vAlign w:val="center"/>
          </w:tcPr>
          <w:p>
            <w:pPr>
              <w:pStyle w:val="TableContents"/>
              <w:bidi w:val="0"/>
              <w:spacing w:before="0" w:after="283"/>
              <w:jc w:val="right"/>
              <w:rPr/>
            </w:pPr>
            <w:r>
              <w:rPr/>
              <w:t>1,028</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(2,975)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 Risk Management Objectives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Credit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allowances for ECL determined for the different classes of financial assets developed as follows: </w:t>
      </w:r>
    </w:p>
    <w:tbl>
      <w:tblPr>
        <w:tblW w:w="7391" w:type="dxa"/>
        <w:jc w:val="left"/>
        <w:tblInd w:w="1393" w:type="dxa"/>
        <w:tblLayout w:type="fixed"/>
        <w:tblCellMar>
          <w:top w:w="0" w:type="dxa"/>
          <w:left w:w="0" w:type="dxa"/>
          <w:bottom w:w="43" w:type="dxa"/>
          <w:right w:w="0" w:type="dxa"/>
        </w:tblCellMar>
      </w:tblPr>
      <w:tblGrid>
        <w:gridCol w:w="2813"/>
        <w:gridCol w:w="109"/>
        <w:gridCol w:w="109"/>
        <w:gridCol w:w="250"/>
        <w:gridCol w:w="250"/>
        <w:gridCol w:w="1242"/>
        <w:gridCol w:w="252"/>
        <w:gridCol w:w="109"/>
        <w:gridCol w:w="109"/>
        <w:gridCol w:w="250"/>
        <w:gridCol w:w="250"/>
        <w:gridCol w:w="1242"/>
        <w:gridCol w:w="252"/>
        <w:gridCol w:w="154"/>
      </w:tblGrid>
      <w:tr>
        <w:trPr/>
        <w:tc>
          <w:tcPr>
            <w:tcW w:w="28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not credit impaired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credit impaired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(137)</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(569)</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14</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193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(123)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(376)</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(196)</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(99)</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Closing Balance 31/12/2025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(319)</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(475)</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information about the gross carrying amounts by credit-risk rating classes for the several types of financial assets that are not measured at FVTPL and therefore generally subject to the impairment regulations of IFRS 9. </w:t>
      </w:r>
    </w:p>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22"/>
        <w:gridCol w:w="122"/>
        <w:gridCol w:w="862"/>
        <w:gridCol w:w="122"/>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11,459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17,622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11,459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37"/>
        <w:gridCol w:w="137"/>
        <w:gridCol w:w="817"/>
        <w:gridCol w:w="137"/>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4,711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5,473</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18,635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5,473</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Liquidity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 on the financial situation, please refer to the explanation on Going Concern (see note 2. Basis of Presentation).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3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details of the (undiscounted) cash outflows of financial liabilities (including interest payments).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12/31/2025</w:t>
            </w:r>
            <w:r>
              <w:rPr/>
              <w:t xml:space="preserve"> </w:t>
              <w:br/>
            </w:r>
            <w:r>
              <w:rPr>
                <w:spacing w:val="-3"/>
              </w:rPr>
              <w:t>Total cash</w:t>
            </w:r>
            <w:r>
              <w:rPr/>
              <w:t xml:space="preserve"> </w:t>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1,452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3,733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10,688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1,191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2,423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5,234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5" w:type="dxa"/>
            <w:tcBorders/>
            <w:tcMar>
              <w:bottom w:w="0" w:type="dxa"/>
            </w:tcMar>
            <w:vAlign w:val="center"/>
          </w:tcPr>
          <w:p>
            <w:pPr>
              <w:pStyle w:val="TableContents"/>
              <w:bidi w:val="0"/>
              <w:spacing w:before="0" w:after="0"/>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8,348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26,261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11,341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19,975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12/31/2024</w:t>
            </w:r>
            <w:r>
              <w:rPr/>
              <w:t xml:space="preserve"> </w:t>
              <w:br/>
            </w:r>
            <w:r>
              <w:rPr>
                <w:spacing w:val="-3"/>
              </w:rPr>
              <w:t xml:space="preserve">Total cash </w:t>
            </w:r>
            <w:r>
              <w:rPr/>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1,928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4,081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6,014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14,131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2,063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2,790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30,877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14,394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39,365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80" w:type="dxa"/>
        <w:jc w:val="left"/>
        <w:tblInd w:w="1393" w:type="dxa"/>
        <w:tblLayout w:type="fixed"/>
        <w:tblCellMar>
          <w:top w:w="0" w:type="dxa"/>
          <w:left w:w="0" w:type="dxa"/>
          <w:bottom w:w="50" w:type="dxa"/>
          <w:right w:w="0" w:type="dxa"/>
        </w:tblCellMar>
      </w:tblPr>
      <w:tblGrid>
        <w:gridCol w:w="1039"/>
        <w:gridCol w:w="109"/>
        <w:gridCol w:w="109"/>
        <w:gridCol w:w="109"/>
        <w:gridCol w:w="109"/>
        <w:gridCol w:w="766"/>
        <w:gridCol w:w="109"/>
        <w:gridCol w:w="109"/>
        <w:gridCol w:w="109"/>
        <w:gridCol w:w="109"/>
        <w:gridCol w:w="109"/>
        <w:gridCol w:w="721"/>
        <w:gridCol w:w="109"/>
        <w:gridCol w:w="109"/>
        <w:gridCol w:w="109"/>
        <w:gridCol w:w="109"/>
        <w:gridCol w:w="109"/>
        <w:gridCol w:w="841"/>
        <w:gridCol w:w="109"/>
        <w:gridCol w:w="109"/>
        <w:gridCol w:w="109"/>
        <w:gridCol w:w="109"/>
        <w:gridCol w:w="109"/>
        <w:gridCol w:w="541"/>
        <w:gridCol w:w="109"/>
        <w:gridCol w:w="109"/>
        <w:gridCol w:w="109"/>
        <w:gridCol w:w="109"/>
        <w:gridCol w:w="109"/>
        <w:gridCol w:w="109"/>
        <w:gridCol w:w="766"/>
        <w:gridCol w:w="109"/>
        <w:gridCol w:w="109"/>
        <w:gridCol w:w="109"/>
        <w:gridCol w:w="109"/>
        <w:gridCol w:w="109"/>
        <w:gridCol w:w="841"/>
        <w:gridCol w:w="109"/>
        <w:gridCol w:w="109"/>
        <w:gridCol w:w="109"/>
        <w:gridCol w:w="109"/>
        <w:gridCol w:w="109"/>
        <w:gridCol w:w="721"/>
        <w:gridCol w:w="109"/>
        <w:gridCol w:w="109"/>
        <w:gridCol w:w="109"/>
        <w:gridCol w:w="109"/>
        <w:gridCol w:w="109"/>
        <w:gridCol w:w="721"/>
        <w:gridCol w:w="109"/>
        <w:gridCol w:w="154"/>
      </w:tblGrid>
      <w:tr>
        <w:trPr/>
        <w:tc>
          <w:tcPr>
            <w:tcW w:w="1039" w:type="dxa"/>
            <w:tcBorders>
              <w:bottom w:val="single" w:sz="2" w:space="0" w:color="000000"/>
            </w:tcBorders>
            <w:vAlign w:val="center"/>
          </w:tcPr>
          <w:p>
            <w:pPr>
              <w:pStyle w:val="TableContents"/>
              <w:bidi w:val="0"/>
              <w:spacing w:before="0" w:after="0"/>
              <w:jc w:val="left"/>
              <w:rPr>
                <w:spacing w:val="-3"/>
              </w:rPr>
            </w:pPr>
            <w:r>
              <w:rPr>
                <w:spacing w:val="-3"/>
              </w:rPr>
              <w:t xml:space="preserve">functional currency entity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1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EUR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(62,449)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CNY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USD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TWD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HKD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KRW</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 </w:t>
      </w:r>
    </w:p>
    <w:tbl>
      <w:tblPr>
        <w:tblW w:w="6723" w:type="dxa"/>
        <w:jc w:val="left"/>
        <w:tblInd w:w="1393" w:type="dxa"/>
        <w:tblLayout w:type="fixed"/>
        <w:tblCellMar>
          <w:top w:w="0" w:type="dxa"/>
          <w:left w:w="0" w:type="dxa"/>
          <w:bottom w:w="50" w:type="dxa"/>
          <w:right w:w="0" w:type="dxa"/>
        </w:tblCellMar>
      </w:tblPr>
      <w:tblGrid>
        <w:gridCol w:w="1426"/>
        <w:gridCol w:w="109"/>
        <w:gridCol w:w="109"/>
        <w:gridCol w:w="109"/>
        <w:gridCol w:w="109"/>
        <w:gridCol w:w="646"/>
        <w:gridCol w:w="109"/>
        <w:gridCol w:w="109"/>
        <w:gridCol w:w="109"/>
        <w:gridCol w:w="109"/>
        <w:gridCol w:w="109"/>
        <w:gridCol w:w="796"/>
        <w:gridCol w:w="109"/>
        <w:gridCol w:w="109"/>
        <w:gridCol w:w="109"/>
        <w:gridCol w:w="109"/>
        <w:gridCol w:w="109"/>
        <w:gridCol w:w="109"/>
        <w:gridCol w:w="616"/>
        <w:gridCol w:w="109"/>
        <w:gridCol w:w="109"/>
        <w:gridCol w:w="109"/>
        <w:gridCol w:w="109"/>
        <w:gridCol w:w="109"/>
        <w:gridCol w:w="796"/>
        <w:gridCol w:w="109"/>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1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CNY/EUR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USD/EUR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Interest Rate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is the risk that the fair value or future cash flows of a financial instrument will fluctuate because of changes in market interest rates. As SCHMID in 2025 has no loans with variable interest rates, the exposure to interest rate risk is insignificant. </w:t>
      </w:r>
    </w:p>
    <w:tbl>
      <w:tblPr>
        <w:tblW w:w="5704" w:type="dxa"/>
        <w:jc w:val="left"/>
        <w:tblInd w:w="1393" w:type="dxa"/>
        <w:tblLayout w:type="fixed"/>
        <w:tblCellMar>
          <w:top w:w="0" w:type="dxa"/>
          <w:left w:w="0" w:type="dxa"/>
          <w:bottom w:w="43" w:type="dxa"/>
          <w:right w:w="0" w:type="dxa"/>
        </w:tblCellMar>
      </w:tblPr>
      <w:tblGrid>
        <w:gridCol w:w="2878"/>
        <w:gridCol w:w="109"/>
        <w:gridCol w:w="109"/>
        <w:gridCol w:w="308"/>
        <w:gridCol w:w="308"/>
        <w:gridCol w:w="1528"/>
        <w:gridCol w:w="310"/>
        <w:gridCol w:w="154"/>
      </w:tblGrid>
      <w:tr>
        <w:trPr/>
        <w:tc>
          <w:tcPr>
            <w:tcW w:w="287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before="0" w:after="0"/>
              <w:jc w:val="center"/>
              <w:rPr/>
            </w:pPr>
            <w:r>
              <w:rPr>
                <w:spacing w:val="-3"/>
              </w:rPr>
              <w:t>Impact to P/L</w:t>
            </w:r>
            <w:r>
              <w:rPr/>
              <w:t xml:space="preserve"> </w:t>
              <w:br/>
            </w:r>
            <w:r>
              <w:rPr>
                <w:spacing w:val="-3"/>
              </w:rPr>
              <w:t xml:space="preserve">(income (+)/ expense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388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(378)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378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Capital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subject to externally imposed capital requirements see note 29. Non-current and current financial liabilities for further details. No changes were made in the objectives, policies or processes for managing cash during the years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3MI"/>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changes in liabilities arising from financing activities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500"/>
        <w:gridCol w:w="109"/>
        <w:gridCol w:w="109"/>
        <w:gridCol w:w="109"/>
        <w:gridCol w:w="109"/>
        <w:gridCol w:w="880"/>
        <w:gridCol w:w="109"/>
        <w:gridCol w:w="109"/>
        <w:gridCol w:w="109"/>
        <w:gridCol w:w="109"/>
        <w:gridCol w:w="109"/>
        <w:gridCol w:w="760"/>
        <w:gridCol w:w="109"/>
        <w:gridCol w:w="109"/>
        <w:gridCol w:w="109"/>
        <w:gridCol w:w="109"/>
        <w:gridCol w:w="109"/>
        <w:gridCol w:w="880"/>
        <w:gridCol w:w="109"/>
        <w:gridCol w:w="157"/>
      </w:tblGrid>
      <w:tr>
        <w:trPr/>
        <w:tc>
          <w:tcPr>
            <w:tcW w:w="450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77,433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9,694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87,127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4,962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(2,098)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2,864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paid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(585)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(28,838)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954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(27,884)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(2,916)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3,363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Derecognition XJ share purchase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Loan forgiveness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53,556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8,550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62,106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4481"/>
        <w:gridCol w:w="109"/>
        <w:gridCol w:w="109"/>
        <w:gridCol w:w="109"/>
        <w:gridCol w:w="109"/>
        <w:gridCol w:w="879"/>
        <w:gridCol w:w="109"/>
        <w:gridCol w:w="109"/>
        <w:gridCol w:w="109"/>
        <w:gridCol w:w="109"/>
        <w:gridCol w:w="109"/>
        <w:gridCol w:w="781"/>
        <w:gridCol w:w="109"/>
        <w:gridCol w:w="109"/>
        <w:gridCol w:w="109"/>
        <w:gridCol w:w="109"/>
        <w:gridCol w:w="109"/>
        <w:gridCol w:w="879"/>
        <w:gridCol w:w="109"/>
        <w:gridCol w:w="157"/>
      </w:tblGrid>
      <w:tr>
        <w:trPr/>
        <w:tc>
          <w:tcPr>
            <w:tcW w:w="448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48,244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10,886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59,130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6,173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(2,184)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3,989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Proceeds from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23,016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993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24,009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22,644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measurement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77,433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9,694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87,127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35.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owns non-controlling interests in the following entities as of December 31, 2025 and 2024. The proportion of ownership interest is the same as the proportion of voting rights held. </w:t>
      </w:r>
    </w:p>
    <w:tbl>
      <w:tblPr>
        <w:tblW w:w="8812" w:type="dxa"/>
        <w:jc w:val="left"/>
        <w:tblInd w:w="1393" w:type="dxa"/>
        <w:tblLayout w:type="fixed"/>
        <w:tblCellMar>
          <w:top w:w="0" w:type="dxa"/>
          <w:left w:w="0" w:type="dxa"/>
          <w:bottom w:w="28" w:type="dxa"/>
          <w:right w:w="0" w:type="dxa"/>
        </w:tblCellMar>
      </w:tblPr>
      <w:tblGrid>
        <w:gridCol w:w="3583"/>
        <w:gridCol w:w="109"/>
        <w:gridCol w:w="109"/>
        <w:gridCol w:w="2193"/>
        <w:gridCol w:w="109"/>
        <w:gridCol w:w="109"/>
        <w:gridCol w:w="143"/>
        <w:gridCol w:w="143"/>
        <w:gridCol w:w="667"/>
        <w:gridCol w:w="143"/>
        <w:gridCol w:w="124"/>
        <w:gridCol w:w="124"/>
        <w:gridCol w:w="143"/>
        <w:gridCol w:w="143"/>
        <w:gridCol w:w="667"/>
        <w:gridCol w:w="143"/>
        <w:gridCol w:w="160"/>
      </w:tblGrid>
      <w:tr>
        <w:trPr/>
        <w:tc>
          <w:tcPr>
            <w:tcW w:w="35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ownership interest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the entity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Country of incorporation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shd w:fill="CCEEFF" w:val="clear"/>
            <w:tcMar>
              <w:bottom w:w="0" w:type="dxa"/>
            </w:tcMar>
            <w:vAlign w:val="center"/>
          </w:tcPr>
          <w:p>
            <w:pPr>
              <w:pStyle w:val="TableContents"/>
              <w:bidi w:val="0"/>
              <w:spacing w:before="0" w:after="0"/>
              <w:jc w:val="left"/>
              <w:rPr>
                <w:spacing w:val="4"/>
              </w:rPr>
            </w:pPr>
            <w:r>
              <w:rPr>
                <w:spacing w:val="4"/>
              </w:rPr>
              <w:t xml:space="preserve">SCHMID AVACO Korea Co. Ltd. (SAK)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9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583" w:type="dxa"/>
            <w:tcBorders/>
            <w:tcMar>
              <w:bottom w:w="0" w:type="dxa"/>
            </w:tcMar>
            <w:vAlign w:val="center"/>
          </w:tcPr>
          <w:p>
            <w:pPr>
              <w:pStyle w:val="TableContents"/>
              <w:bidi w:val="0"/>
              <w:spacing w:before="0" w:after="0"/>
              <w:jc w:val="left"/>
              <w:rPr>
                <w:spacing w:val="4"/>
              </w:rPr>
            </w:pPr>
            <w:r>
              <w:rPr>
                <w:spacing w:val="4"/>
              </w:rPr>
              <w:t xml:space="preserve">SCHMID Energy Systems GmbH (SES)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48%</w:t>
            </w:r>
          </w:p>
        </w:tc>
        <w:tc>
          <w:tcPr>
            <w:tcW w:w="143"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each entity is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AVACO Korea Co. Ltd. (SAK), South Korea is a company that specializes in the sales and marketing of Physical Vapor Etch (“PVE”) and Physical Vapor Deposition (“PVD”) equipment. SCHMID developed many innovative PVE and PVD processes and has access to the major manufacturers for PCB,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3AC"/>
      <w:bookmarkEnd w:id="87"/>
      <w:r>
        <w:rPr>
          <w:rFonts w:ascii="calibri;arial;sans-serif" w:hAnsi="calibri;arial;sans-serif"/>
          <w:b w:val="false"/>
          <w:i w:val="false"/>
          <w:caps w:val="false"/>
          <w:smallCaps w:val="false"/>
          <w:color w:val="000000"/>
          <w:sz w:val="16"/>
        </w:rPr>
        <w:t>​</w:t>
      </w:r>
      <w:bookmarkStart w:id="88" w:name="t3PD"/>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Substrates and Panel Level Packing. Avaco produces a wide range of equipment, which serves various industries including chip industry, automotive, electronics and telecommunications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36.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has commitments amounting to €13 thousand (December 31, 2024: €0 thousand) to acquire items of property, plant &amp; equipment.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37.   RELATED PARTY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a listed company with Christian Schmid and Anette Schmid as majority shareholders. Christian Schmid is also the CEO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Key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management personnel are defined as those persons who are responsible for SCHMID´s worldwide operating business, based on their function within SCHMID or the interests of SCHMID. The following individuals belong or belonged to SCHMID´s key management: </w:t>
      </w:r>
    </w:p>
    <w:tbl>
      <w:tblPr>
        <w:tblW w:w="8812" w:type="dxa"/>
        <w:jc w:val="left"/>
        <w:tblInd w:w="1393" w:type="dxa"/>
        <w:tblLayout w:type="fixed"/>
        <w:tblCellMar>
          <w:top w:w="0" w:type="dxa"/>
          <w:left w:w="0" w:type="dxa"/>
          <w:bottom w:w="43" w:type="dxa"/>
          <w:right w:w="0" w:type="dxa"/>
        </w:tblCellMar>
      </w:tblPr>
      <w:tblGrid>
        <w:gridCol w:w="2046"/>
        <w:gridCol w:w="109"/>
        <w:gridCol w:w="109"/>
        <w:gridCol w:w="2787"/>
        <w:gridCol w:w="109"/>
        <w:gridCol w:w="109"/>
        <w:gridCol w:w="3387"/>
        <w:gridCol w:w="156"/>
      </w:tblGrid>
      <w:tr>
        <w:trPr/>
        <w:tc>
          <w:tcPr>
            <w:tcW w:w="20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7"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7" w:type="dxa"/>
            <w:tcBorders>
              <w:bottom w:val="single" w:sz="2" w:space="0" w:color="000000"/>
            </w:tcBorders>
            <w:vAlign w:val="center"/>
          </w:tcPr>
          <w:p>
            <w:pPr>
              <w:pStyle w:val="TableContents"/>
              <w:bidi w:val="0"/>
              <w:spacing w:before="0" w:after="0"/>
              <w:jc w:val="center"/>
              <w:rPr/>
            </w:pPr>
            <w:r>
              <w:rPr>
                <w:spacing w:val="-3"/>
              </w:rPr>
              <w:t xml:space="preserve">Function &amp; Member of key management </w:t>
            </w:r>
            <w:r>
              <w:rPr/>
              <w:br/>
            </w:r>
            <w:r>
              <w:rPr>
                <w:spacing w:val="-3"/>
              </w:rPr>
              <w:t xml:space="preserve">since/until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Executive Director of SCHMID Group N. V., CEO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Prof. Dr. Dr. h.c.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Chairman of the Board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since 27.12.2024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Julia Natterer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CFO (Chief Financial Officer) (SCHMID Group N. V.: until 31.12.2025)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Roland Rettenmeier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CSO (Chief Sales Officer) since 01.03.2025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Helmut Rauch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COO (Chief Operational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Dian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CTO (Chief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Thomas Widmann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pPr>
            <w:r>
              <w:rPr>
                <w:spacing w:val="4"/>
              </w:rPr>
              <w:t>CIO (Chief Innovation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1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as medical, death and disability coverage, Company car and other usual facilities as applicable. The outstanding balances also include the liability in connection with the defined benefit obligation.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entities included in the consolidated financial statements and the at equity investments (see note 2. Basis of Presentation), SCHMID maintains relationships with other related parties. Related parties comprise the following entities (not individuals): </w:t>
      </w:r>
    </w:p>
    <w:tbl>
      <w:tblPr>
        <w:tblW w:w="8812" w:type="dxa"/>
        <w:jc w:val="left"/>
        <w:tblInd w:w="1393" w:type="dxa"/>
        <w:tblLayout w:type="fixed"/>
        <w:tblCellMar>
          <w:top w:w="0" w:type="dxa"/>
          <w:left w:w="0" w:type="dxa"/>
          <w:bottom w:w="50" w:type="dxa"/>
          <w:right w:w="0" w:type="dxa"/>
        </w:tblCellMar>
      </w:tblPr>
      <w:tblGrid>
        <w:gridCol w:w="4027"/>
        <w:gridCol w:w="109"/>
        <w:gridCol w:w="109"/>
        <w:gridCol w:w="4412"/>
        <w:gridCol w:w="155"/>
      </w:tblGrid>
      <w:tr>
        <w:trPr/>
        <w:tc>
          <w:tcPr>
            <w:tcW w:w="4027"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12"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Avaco Korea, Co. Ltd. (SAK)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Energy Systems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Verwaltungs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Jointly controlled by Christian and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pPr>
            <w:r>
              <w:rPr>
                <w:spacing w:val="4"/>
              </w:rPr>
              <w:t>Jointly controlled by Christian and Anette Schmid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transactions are proceeded with related parties. </w:t>
      </w:r>
    </w:p>
    <w:tbl>
      <w:tblPr>
        <w:tblW w:w="7651" w:type="dxa"/>
        <w:jc w:val="left"/>
        <w:tblInd w:w="1393" w:type="dxa"/>
        <w:tblLayout w:type="fixed"/>
        <w:tblCellMar>
          <w:top w:w="0" w:type="dxa"/>
          <w:left w:w="0" w:type="dxa"/>
          <w:bottom w:w="50" w:type="dxa"/>
          <w:right w:w="0" w:type="dxa"/>
        </w:tblCellMar>
      </w:tblPr>
      <w:tblGrid>
        <w:gridCol w:w="3804"/>
        <w:gridCol w:w="109"/>
        <w:gridCol w:w="109"/>
        <w:gridCol w:w="109"/>
        <w:gridCol w:w="109"/>
        <w:gridCol w:w="646"/>
        <w:gridCol w:w="109"/>
        <w:gridCol w:w="109"/>
        <w:gridCol w:w="109"/>
        <w:gridCol w:w="109"/>
        <w:gridCol w:w="109"/>
        <w:gridCol w:w="646"/>
        <w:gridCol w:w="109"/>
        <w:gridCol w:w="109"/>
        <w:gridCol w:w="109"/>
        <w:gridCol w:w="109"/>
        <w:gridCol w:w="109"/>
        <w:gridCol w:w="766"/>
        <w:gridCol w:w="109"/>
        <w:gridCol w:w="154"/>
      </w:tblGrid>
      <w:tr>
        <w:trPr/>
        <w:tc>
          <w:tcPr>
            <w:tcW w:w="38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income on loans granted to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expense on loans received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Purchases of goods or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283"/>
              <w:jc w:val="left"/>
              <w:rPr/>
            </w:pPr>
            <w:r>
              <w:rPr>
                <w:spacing w:val="-4"/>
              </w:rPr>
              <w:t>Sale of goods or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Salary and Bonus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6276" w:type="dxa"/>
        <w:jc w:val="left"/>
        <w:tblInd w:w="1393" w:type="dxa"/>
        <w:tblLayout w:type="fixed"/>
        <w:tblCellMar>
          <w:top w:w="0" w:type="dxa"/>
          <w:left w:w="0" w:type="dxa"/>
          <w:bottom w:w="50" w:type="dxa"/>
          <w:right w:w="0" w:type="dxa"/>
        </w:tblCellMar>
      </w:tblPr>
      <w:tblGrid>
        <w:gridCol w:w="3230"/>
        <w:gridCol w:w="109"/>
        <w:gridCol w:w="109"/>
        <w:gridCol w:w="122"/>
        <w:gridCol w:w="122"/>
        <w:gridCol w:w="862"/>
        <w:gridCol w:w="122"/>
        <w:gridCol w:w="109"/>
        <w:gridCol w:w="109"/>
        <w:gridCol w:w="122"/>
        <w:gridCol w:w="122"/>
        <w:gridCol w:w="862"/>
        <w:gridCol w:w="122"/>
        <w:gridCol w:w="154"/>
      </w:tblGrid>
      <w:tr>
        <w:trPr/>
        <w:tc>
          <w:tcPr>
            <w:tcW w:w="32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283"/>
              <w:jc w:val="left"/>
              <w:rPr/>
            </w:pPr>
            <w:r>
              <w:rPr>
                <w:spacing w:val="-4"/>
              </w:rPr>
              <w:t>Outstanding balances –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25,611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29,486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2,663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26,609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16,973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3ATR"/>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to other related parties include financial liabilities related to the Black Forest term loan. For further information, please see note 29. Non-current and current financial liabilities. </w:t>
      </w:r>
    </w:p>
    <w:tbl>
      <w:tblPr>
        <w:tblW w:w="6486" w:type="dxa"/>
        <w:jc w:val="left"/>
        <w:tblInd w:w="1393" w:type="dxa"/>
        <w:tblLayout w:type="fixed"/>
        <w:tblCellMar>
          <w:top w:w="0" w:type="dxa"/>
          <w:left w:w="0" w:type="dxa"/>
          <w:bottom w:w="50" w:type="dxa"/>
          <w:right w:w="0" w:type="dxa"/>
        </w:tblCellMar>
      </w:tblPr>
      <w:tblGrid>
        <w:gridCol w:w="3440"/>
        <w:gridCol w:w="109"/>
        <w:gridCol w:w="109"/>
        <w:gridCol w:w="137"/>
        <w:gridCol w:w="137"/>
        <w:gridCol w:w="817"/>
        <w:gridCol w:w="137"/>
        <w:gridCol w:w="109"/>
        <w:gridCol w:w="109"/>
        <w:gridCol w:w="137"/>
        <w:gridCol w:w="137"/>
        <w:gridCol w:w="817"/>
        <w:gridCol w:w="137"/>
        <w:gridCol w:w="154"/>
      </w:tblGrid>
      <w:tr>
        <w:trPr/>
        <w:tc>
          <w:tcPr>
            <w:tcW w:w="344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spacing w:val="-4"/>
              </w:rPr>
              <w:t>Outstanding balances –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4,261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4,068</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1,445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1,286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increase in Sale of goods or services as well as in Outstanding balances — Liabilities in 2023 are mainly due to the sale and leaseback transaction (for further information please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$30 Million 7.00% Senior Convertible Note due 2028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second tranche, the purchasers of the convertible notes issued six separate conversion notices, converting an aggregate principal amount of $12 million into 2,197,898 new ordinary shares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Two-Tranche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Q1 2026, SCHMID agreed with the lender of the term loan facility not to draw the second tranche (up to € 7,500 thousand). This does not affect the First tranche incentive options or the conversion right of the first tranche and therefore has no accounting implications.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Set-off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Standby Equity Purchase Agreement (“SEPA”)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Set-off of €30.8 million financial liabilities through planned share issuances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125307</Words>
  <Characters>682754</Characters>
  <CharactersWithSpaces>826482</CharactersWithSpaces>
  <Paragraphs>27053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