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Schmid Christian Mathias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ROBERT-BOSCH-STR. 32 - 36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FREUDENSTADT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2M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SCHMID Group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SHMD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49"/>
        <w:gridCol w:w="922"/>
        <w:gridCol w:w="792"/>
        <w:gridCol w:w="612"/>
        <w:gridCol w:w="341"/>
        <w:gridCol w:w="1009"/>
        <w:gridCol w:w="420"/>
        <w:gridCol w:w="587"/>
        <w:gridCol w:w="1350"/>
        <w:gridCol w:w="966"/>
        <w:gridCol w:w="125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500,000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16,085,322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C. Schmid Beteiligung GmbH &amp; Co. KG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Karl Reismueller as attorney in fact as for Christian Mathias Schmid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schmidedgar.txt"/>
      <w:bookmarkStart w:id="3" w:name="kspoaschmidedgar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FOR SEC FILINGS ON FORMS ID, 3, 4, 5 AND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RESPECT OF SECURITIES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SCHMID Group N.V.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Karl Sebastian Reismueller,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undersigneds true and lawful attorney-in-fact and agent,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and resubstitution for the undersigned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undersigneds name and stead in any and all capacities,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sign and file for and on the undersigneds behalf, in respect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acquisition, disposition or other change in ownership of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SCHMID Group N.V. (the "Company"), the following: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    any Form ID to be filed with the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(the "SEC");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   any Initial Statement of Beneficial Ownership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on Form 3 to be filed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  any Statement of Changes of Beneficial Ownership of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Form 4 to be filed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   any Annual Statement of Beneficial Ownership of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Form 5 to be filed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(v)     any Notice of Proposed Sale of Securities on Form 144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(vi)    any and all agreements, certificates, receipts, or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in connection therewith.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full power and authority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seek and obtain as the undersigneds representative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the undersigneds behalf, information on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Companys securities from any third party, including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employee benefit plan administrators and trustees, and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authorizes any such person to release such information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and approves and ratifies any such release of information.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unto such attorney-in-fact and agent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each and every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thing requisite and necessary in connection with such matters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hereby ratifies and confirms all that any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agent or substitute may do or cause to be done by virtue hereof.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    neither the Company nor such attorney-in-fact assumes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any liability for the undersigneds responsibility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requirement of 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"Exchange Act"), (ii) any liability of the undersigned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failure to comply with such requirements or (iii) any obligation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profit disgorgement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  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 undersigneds obligations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Act, including without limitation the reporting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 under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Date: Freudenstadt, 27th February 2026  /s/Christian Mathias Schmid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</w:t>
      </w:r>
      <w:r>
        <w:rPr/>
        <w:t>Christian Mathias Schmid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050" TargetMode="External"/><Relationship Id="rId5" Type="http://schemas.openxmlformats.org/officeDocument/2006/relationships/hyperlink" Target="http://www.sec.gov/cgi-bin/browse-edgar?action=getcompany&amp;CIK=00019872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1040</Words>
  <Characters>5623</Characters>
  <CharactersWithSpaces>6600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